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1312"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5168;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4384" behindDoc="0" locked="0" layoutInCell="1" allowOverlap="1">
                <wp:simplePos x="0" y="0"/>
                <wp:positionH relativeFrom="column">
                  <wp:posOffset>2762250</wp:posOffset>
                </wp:positionH>
                <wp:positionV relativeFrom="paragraph">
                  <wp:posOffset>34925</wp:posOffset>
                </wp:positionV>
                <wp:extent cx="3619500" cy="2084705"/>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08440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26</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二</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64.15pt;width:285pt;z-index:251664384;mso-width-relative:page;mso-height-relative:page;" filled="f" stroked="f" coordsize="21600,21600" o:gfxdata="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gyjWAAAACgEAAA8AAAAAAAAAAQAgAAAA&#10;IgAAAGRycy9kb3ducmV2LnhtbFBLAQIUABQAAAAIAIdO4kDaErVtDQIAAAkEAAAOAAAAAAAAAAEA&#10;IAAAACUBAABkcnMvZTJvRG9jLnhtbFBLBQYAAAAABgAGAFkBAACkBQ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3</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12</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26</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二</w:t>
                      </w:r>
                    </w:p>
                    <w:p>
                      <w:pPr>
                        <w:jc w:val="center"/>
                        <w:rPr>
                          <w:rFonts w:ascii="微软雅黑" w:hAnsi="微软雅黑" w:eastAsia="微软雅黑"/>
                          <w:b/>
                          <w:color w:val="FFFFFF" w:themeColor="background1"/>
                          <w:sz w:val="24"/>
                          <w:szCs w:val="24"/>
                          <w14:textFill>
                            <w14:solidFill>
                              <w14:schemeClr w14:val="bg1"/>
                            </w14:solidFill>
                          </w14:textFill>
                        </w:rPr>
                      </w:pPr>
                    </w:p>
                    <w:p>
                      <w:pPr>
                        <w:wordWrap w:val="0"/>
                        <w:jc w:val="right"/>
                        <w:rPr>
                          <w:rFonts w:ascii="微软雅黑" w:hAnsi="微软雅黑" w:eastAsia="微软雅黑"/>
                          <w:b/>
                          <w:color w:val="FFFFFF" w:themeColor="background1"/>
                          <w:sz w:val="24"/>
                          <w:szCs w:val="24"/>
                          <w14:textFill>
                            <w14:solidFill>
                              <w14:schemeClr w14:val="bg1"/>
                            </w14:solidFill>
                          </w14:textFill>
                        </w:rPr>
                      </w:pP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r>
        <w:drawing>
          <wp:anchor distT="0" distB="0" distL="114300" distR="114300" simplePos="0" relativeHeight="251665408" behindDoc="1" locked="0" layoutInCell="1" allowOverlap="1">
            <wp:simplePos x="0" y="0"/>
            <wp:positionH relativeFrom="margin">
              <wp:posOffset>2351405</wp:posOffset>
            </wp:positionH>
            <wp:positionV relativeFrom="paragraph">
              <wp:posOffset>220980</wp:posOffset>
            </wp:positionV>
            <wp:extent cx="3924300" cy="887730"/>
            <wp:effectExtent l="0" t="0" r="0" b="7620"/>
            <wp:wrapThrough wrapText="bothSides">
              <wp:wrapPolygon>
                <wp:start x="1573" y="0"/>
                <wp:lineTo x="734" y="1854"/>
                <wp:lineTo x="0" y="5099"/>
                <wp:lineTo x="0" y="16687"/>
                <wp:lineTo x="1363" y="21322"/>
                <wp:lineTo x="1992" y="21322"/>
                <wp:lineTo x="3146" y="21322"/>
                <wp:lineTo x="21495" y="17614"/>
                <wp:lineTo x="21495" y="1854"/>
                <wp:lineTo x="2726" y="0"/>
                <wp:lineTo x="1573" y="0"/>
              </wp:wrapPolygon>
            </wp:wrapThrough>
            <wp:docPr id="1"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X:\12. 其他\RUIDA\Logo short.jpg"/>
                    <pic:cNvPicPr>
                      <a:picLocks noChangeAspect="1" noChangeArrowheads="1"/>
                    </pic:cNvPicPr>
                  </pic:nvPicPr>
                  <pic:blipFill>
                    <a:blip r:embed="rId6"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3924300" cy="887730"/>
                    </a:xfrm>
                    <a:prstGeom prst="rect">
                      <a:avLst/>
                    </a:prstGeom>
                    <a:noFill/>
                    <a:ln>
                      <a:noFill/>
                    </a:ln>
                  </pic:spPr>
                </pic:pic>
              </a:graphicData>
            </a:graphic>
          </wp:anchor>
        </w:drawing>
      </w:r>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随着美联储将利率升至高位，美国长期住房按揭贷款利率持续攀升，在今年10月达到23年来高点。</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同时成屋供应趋紧导致房屋价格位于高位，购买房屋的可负担能力不断下降，美国住房销售持续受到拖累。</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德国经济产出仍停滞不前。</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俄乌冲突造成的能源危机和通货膨胀，加之工业不振、国外需求疲软、预算危机等因素，给2023年的德国经济复苏蒙上阴影。分析人士指出，德国经济2023年将难以避免衰退。</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日本生产率本部公布的2022年日本单位时间的劳动生产率为52.3美元</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，在经济合作与发展组织（OECD）的38个成员国中位列第30位，刷新有可比数据的1970年以来最低纪录。</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韩国贸易、工业和能源部表示，韩国政府将明年芯片、电池、显示器、生物、未来汽车和机器人的研发预算比今年增加了5.8%，达到2万亿韩元（15亿美元），旨在提高关键行业的竞争力。</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eastAsia"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0"/>
        </w:numPr>
        <w:tabs>
          <w:tab w:val="left" w:pos="360"/>
        </w:tabs>
        <w:spacing w:afterLines="100" w:line="360" w:lineRule="auto"/>
        <w:ind w:leftChars="0"/>
        <w:rPr>
          <w:rFonts w:hint="default" w:ascii="仿宋" w:hAnsi="仿宋" w:eastAsia="仿宋" w:cs="仿宋"/>
          <w:b w:val="0"/>
          <w:bCs w:val="0"/>
          <w:color w:val="000000" w:themeColor="text1"/>
          <w:szCs w:val="24"/>
          <w:lang w:val="en-US"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07:30 日本11月失业率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22:00 美国10月FHFA房价指数月率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22:00 美国10月S&amp;P/CS20座大城市房价指数年率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23:30 美国12月达拉斯联储商业活动指数</w:t>
      </w: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12月26日（周二），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周一为圣诞节假期，全球主要金融市场多数休市。</w:t>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二美元指数跌0.04%报101.7031。非美货币涨跌不一，欧元兑美元涨0.01%报1.1012；英镑兑美元涨0.06%报1.2698；澳元兑美元跌0.04%报0.68，；美元兑日元涨0.23%报142.4505。随着美联储将利率升至高位，美国长期住房按揭贷款利率持续攀升，在今年10月达到23年来高点。同时成屋供应趋紧导致房屋价格位于高位，购买房屋的可负担能力不断下降，美国住房销售持续受到拖累，整体有利后继经济增速放缓。往后看，短期内地缘冲突扰乱影响有所平息，同时市场对利率预期计价相对充分，美元指数或将小幅上涨。</w:t>
      </w:r>
    </w:p>
    <w:p>
      <w:pPr>
        <w:spacing w:line="360" w:lineRule="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64150" cy="1450975"/>
            <wp:effectExtent l="0" t="0" r="1270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4150" cy="145097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S&amp;P500</w:t>
      </w:r>
      <w:bookmarkStart w:id="0" w:name="OLE_LINK2"/>
      <w:bookmarkStart w:id="1" w:name="OLE_LINK1"/>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12月25日（周一）为美国圣诞节假期，美股休市一日截至12月26日，标普500指数收涨0.17%至4754.63点；迷你标普500主力合约收涨0.07%至4799.25点。策略上，指数短线突破高位，轻仓试多。详细支撑阻力位请见图表4。</w:t>
      </w:r>
    </w:p>
    <w:p>
      <w:pPr>
        <w:autoSpaceDE w:val="0"/>
        <w:autoSpaceDN w:val="0"/>
        <w:adjustRightInd w:val="0"/>
        <w:spacing w:line="360" w:lineRule="auto"/>
        <w:jc w:val="both"/>
        <w:rPr>
          <w:rFonts w:asciiTheme="minorEastAsia" w:hAnsiTheme="minorEastAsia" w:eastAsiaTheme="minorEastAsia"/>
          <w:sz w:val="18"/>
          <w:szCs w:val="20"/>
          <w:lang w:val="zh-CN"/>
        </w:rPr>
      </w:pPr>
      <w:r>
        <w:rPr>
          <w:rFonts w:hint="eastAsia" w:ascii="仿宋" w:hAnsi="仿宋" w:eastAsia="仿宋" w:cs="仿宋"/>
          <w:b/>
          <w:sz w:val="24"/>
          <w:szCs w:val="24"/>
        </w:rPr>
        <w:drawing>
          <wp:inline distT="0" distB="0" distL="0" distR="0">
            <wp:extent cx="5274310" cy="193865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4310" cy="1938655"/>
                    </a:xfrm>
                    <a:prstGeom prst="rect">
                      <a:avLst/>
                    </a:prstGeom>
                  </pic:spPr>
                </pic:pic>
              </a:graphicData>
            </a:graphic>
          </wp:inline>
        </w:drawing>
      </w:r>
      <w:r>
        <w:rPr>
          <w:rFonts w:hint="eastAsia" w:asciiTheme="minorEastAsia" w:hAnsiTheme="minorEastAsia" w:eastAsiaTheme="minorEastAsia"/>
          <w:sz w:val="18"/>
          <w:szCs w:val="20"/>
        </w:rPr>
        <w:t>图表</w:t>
      </w:r>
      <w:r>
        <w:rPr>
          <w:rFonts w:asciiTheme="minorEastAsia" w:hAnsiTheme="minorEastAsia" w:eastAsiaTheme="minorEastAsia"/>
          <w:sz w:val="18"/>
          <w:szCs w:val="20"/>
        </w:rPr>
        <w:t>3S&amp;P500</w:t>
      </w:r>
      <w:r>
        <w:rPr>
          <w:rFonts w:hint="eastAsia" w:asciiTheme="minorEastAsia" w:hAnsiTheme="minorEastAsia" w:eastAsiaTheme="minorEastAsia"/>
          <w:sz w:val="18"/>
          <w:szCs w:val="20"/>
        </w:rPr>
        <w:t>指数期货日线走势图及支撑位</w:t>
      </w:r>
      <w:bookmarkEnd w:id="0"/>
      <w:bookmarkEnd w:id="1"/>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富时中国A</w:t>
      </w:r>
      <w:r>
        <w:rPr>
          <w:rFonts w:ascii="宋体" w:hAnsi="宋体" w:eastAsia="宋体"/>
          <w:b/>
          <w:color w:val="002060"/>
          <w:sz w:val="28"/>
          <w:lang w:eastAsia="zh-CN"/>
        </w:rPr>
        <w:t>50</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截至12月25日，富时中国A50指数收涨0.28%至11231.62点；新交所富时A50期指主力合约收涨0.21%至11231点</w:t>
      </w:r>
      <w:r>
        <w:rPr>
          <w:rFonts w:hint="eastAsia" w:ascii="仿宋" w:hAnsi="仿宋" w:eastAsia="仿宋" w:cs="仿宋"/>
          <w:bCs/>
          <w:sz w:val="24"/>
          <w:szCs w:val="24"/>
        </w:rPr>
        <w:t>。在政策积极发力的背景下，随着短期风险因素收敛，市场交易或将转向政策预期，政策预期或将成为打破市场震荡行情的重要催化因素</w:t>
      </w:r>
      <w:r>
        <w:rPr>
          <w:rFonts w:hint="eastAsia" w:ascii="仿宋" w:hAnsi="仿宋" w:eastAsia="仿宋" w:cs="仿宋"/>
          <w:color w:val="000000"/>
          <w:sz w:val="24"/>
          <w:szCs w:val="24"/>
          <w:shd w:val="clear" w:color="auto" w:fill="FFFFFF"/>
        </w:rPr>
        <w:t>。</w:t>
      </w:r>
      <w:r>
        <w:rPr>
          <w:rFonts w:hint="eastAsia" w:ascii="仿宋" w:hAnsi="仿宋" w:eastAsia="仿宋" w:cs="仿宋"/>
          <w:sz w:val="24"/>
          <w:szCs w:val="24"/>
        </w:rPr>
        <w:t>策略上，短线谨慎，中长线逢低试多。详细支撑阻力位请见图表4。</w:t>
      </w:r>
    </w:p>
    <w:p>
      <w:pPr>
        <w:spacing w:line="360" w:lineRule="auto"/>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274310" cy="19221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4310" cy="1922145"/>
                    </a:xfrm>
                    <a:prstGeom prst="rect">
                      <a:avLst/>
                    </a:prstGeom>
                  </pic:spPr>
                </pic:pic>
              </a:graphicData>
            </a:graphic>
          </wp:inline>
        </w:drawing>
      </w:r>
    </w:p>
    <w:p>
      <w:pPr>
        <w:autoSpaceDE w:val="0"/>
        <w:autoSpaceDN w:val="0"/>
        <w:adjustRightInd w:val="0"/>
        <w:spacing w:line="360" w:lineRule="auto"/>
        <w:rPr>
          <w:rFonts w:asciiTheme="minorEastAsia" w:hAnsiTheme="minorEastAsia" w:eastAsiaTheme="minorEastAsia"/>
          <w:sz w:val="18"/>
          <w:szCs w:val="20"/>
        </w:rPr>
      </w:pPr>
      <w:r>
        <w:rPr>
          <w:rFonts w:hint="eastAsia" w:asciiTheme="minorEastAsia" w:hAnsiTheme="minorEastAsia" w:eastAsiaTheme="minorEastAsia"/>
          <w:sz w:val="18"/>
          <w:szCs w:val="20"/>
        </w:rPr>
        <w:t>图表</w:t>
      </w:r>
      <w:r>
        <w:rPr>
          <w:rFonts w:asciiTheme="minorEastAsia" w:hAnsiTheme="minorEastAsia" w:eastAsiaTheme="minorEastAsia"/>
          <w:sz w:val="18"/>
          <w:szCs w:val="20"/>
        </w:rPr>
        <w:t>4</w:t>
      </w:r>
      <w:r>
        <w:rPr>
          <w:rFonts w:hint="eastAsia" w:asciiTheme="minorEastAsia" w:hAnsiTheme="minorEastAsia" w:eastAsiaTheme="minorEastAsia"/>
          <w:sz w:val="18"/>
          <w:szCs w:val="20"/>
        </w:rPr>
        <w:t>富时中国A50指数期货日线走势图及支撑位</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震荡走弱，交投于101.70。据CME“美联储观察”，美联储明年2月维持利率在5.25%-5.50%区间不变的概率为83.5%，降息25个基点的概率为16.5%。到明年3月维持利率不变的概率为6.7%，累计降息25个基点的概率为78.1%，累计降息50个基点的概率为15.2%。</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库存方面：截至12月22日，LME铜库存为166675吨，环比1225吨。12月22日当周，上海期货交易所阴极铜库存为28718吨，周环比-5678吨。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外盘持仓方面：根据CFTC公布的最新数据显示，截止至12月19日当周，非商业多头持仓74637手，空头为69078手，净多持仓为5559手，较上周净多增加9563手。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圣诞节休市，COMEX铜无交易，12月22日数据COMEX铜震荡走弱，其中2403合约报收3.902美元/磅，跌幅0.41%。国内方面，截至12月25日周一，全国主流地区铜库存环比上周五下降0.62万吨至5.04万吨。相比上周五库存的变化，全国各地多数地区的库存是下降。总库存较去年同期的7.87万吨低2.93万吨。虽然2023年即将步入尾声，铜消费也已步入传统消费淡季，但国内库存方面仍处于相对较低的库存水位，国内需求表现较好。操作上，建议COMEX铜2403合约轻仓逢低短多交易，注意交易节奏及风险控制。</w:t>
      </w:r>
    </w:p>
    <w:p>
      <w:pPr>
        <w:spacing w:line="312"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drawing>
          <wp:inline distT="0" distB="0" distL="0" distR="0">
            <wp:extent cx="5274310" cy="168910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1689100"/>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2" w:name="OLE_LINK4"/>
      <w:bookmarkStart w:id="3" w:name="OLE_LINK3"/>
    </w:p>
    <w:bookmarkEnd w:id="2"/>
    <w:bookmarkEnd w:id="3"/>
    <w:p>
      <w:pPr>
        <w:pStyle w:val="31"/>
        <w:numPr>
          <w:numId w:val="0"/>
        </w:numPr>
        <w:spacing w:before="240"/>
        <w:ind w:leftChars="0"/>
        <w:rPr>
          <w:rFonts w:asciiTheme="majorEastAsia" w:hAnsiTheme="majorEastAsia" w:eastAsiaTheme="majorEastAsia"/>
          <w:b/>
          <w:color w:val="002060"/>
          <w:sz w:val="28"/>
          <w:szCs w:val="28"/>
          <w:lang w:eastAsia="zh-CN"/>
        </w:rPr>
      </w:pPr>
      <w:r>
        <w:rPr>
          <w:rFonts w:hint="eastAsia" w:ascii="仿宋" w:hAnsi="仿宋" w:eastAsia="仿宋" w:cs="仿宋"/>
          <w:b w:val="0"/>
          <w:bCs w:val="0"/>
          <w:sz w:val="24"/>
          <w:szCs w:val="24"/>
        </w:rPr>
        <w:t>因适逢圣诞节假期，美国洲际交易所(ICE)休市。</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r>
        <w:rPr>
          <w:rFonts w:hint="eastAsia" w:ascii="仿宋" w:hAnsi="仿宋" w:eastAsia="仿宋" w:cs="仿宋"/>
          <w:sz w:val="24"/>
          <w:szCs w:val="24"/>
        </w:rPr>
        <w:t>因适逢圣诞节假期，美国洲际交易所(ICE)休市。</w:t>
      </w:r>
    </w:p>
    <w:p>
      <w:pPr>
        <w:spacing w:line="360" w:lineRule="auto"/>
        <w:rPr>
          <w:rFonts w:hint="eastAsia" w:ascii="仿宋" w:hAnsi="仿宋" w:eastAsia="仿宋"/>
          <w:sz w:val="24"/>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bookmarkStart w:id="4" w:name="_GoBack"/>
      <w:bookmarkEnd w:id="4"/>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3360"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3360;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1"/>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2336;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兰亭超细黑简体" w:hAnsi="PMingLiU" w:eastAsia="方正兰亭超细黑简体"/>
        <w:b/>
        <w:color w:val="C00000"/>
        <w:sz w:val="36"/>
      </w:rPr>
    </w:pPr>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60288;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drawing>
        <wp:anchor distT="0" distB="0" distL="114300" distR="114300" simplePos="0" relativeHeight="251659264" behindDoc="1" locked="0" layoutInCell="1" allowOverlap="1">
          <wp:simplePos x="0" y="0"/>
          <wp:positionH relativeFrom="column">
            <wp:posOffset>3985895</wp:posOffset>
          </wp:positionH>
          <wp:positionV relativeFrom="paragraph">
            <wp:posOffset>-594360</wp:posOffset>
          </wp:positionV>
          <wp:extent cx="2187575" cy="483235"/>
          <wp:effectExtent l="0" t="0" r="3175" b="0"/>
          <wp:wrapThrough wrapText="bothSides">
            <wp:wrapPolygon>
              <wp:start x="1129" y="0"/>
              <wp:lineTo x="0" y="3406"/>
              <wp:lineTo x="0" y="17030"/>
              <wp:lineTo x="1129" y="20436"/>
              <wp:lineTo x="3574" y="20436"/>
              <wp:lineTo x="21443" y="17882"/>
              <wp:lineTo x="21443" y="852"/>
              <wp:lineTo x="3574" y="0"/>
              <wp:lineTo x="1129" y="0"/>
            </wp:wrapPolygon>
          </wp:wrapThrough>
          <wp:docPr id="6" name="圖片 5" descr="X:\12. 其他\RUIDA\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descr="X:\12. 其他\RUIDA\Logo short.jpg"/>
                  <pic:cNvPicPr>
                    <a:picLocks noChangeAspect="1" noChangeArrowheads="1"/>
                  </pic:cNvPicPr>
                </pic:nvPicPr>
                <pic:blipFill>
                  <a:blip r:embed="rId1"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a:xfrm>
                    <a:off x="0" y="0"/>
                    <a:ext cx="2187575" cy="483235"/>
                  </a:xfrm>
                  <a:prstGeom prst="rect">
                    <a:avLst/>
                  </a:prstGeom>
                  <a:noFill/>
                  <a:ln>
                    <a:noFill/>
                  </a:ln>
                </pic:spPr>
              </pic:pic>
            </a:graphicData>
          </a:graphic>
        </wp:anchor>
      </w:drawing>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F05F9C"/>
    <w:rsid w:val="1AF84CC0"/>
    <w:rsid w:val="1AFF1D9F"/>
    <w:rsid w:val="1AFF3718"/>
    <w:rsid w:val="1B0504F7"/>
    <w:rsid w:val="1B130A8B"/>
    <w:rsid w:val="1B226B02"/>
    <w:rsid w:val="1B3336F9"/>
    <w:rsid w:val="1B377E2E"/>
    <w:rsid w:val="1B417862"/>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4C060C"/>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qFormat/>
    <w:uiPriority w:val="99"/>
    <w:pPr>
      <w:jc w:val="left"/>
    </w:pPr>
    <w:rPr>
      <w:rFonts w:ascii="Cambria" w:hAnsi="Cambria" w:eastAsia="PMingLiU" w:cs="Times New Roman"/>
      <w:sz w:val="20"/>
      <w:szCs w:val="20"/>
      <w:lang w:eastAsia="zh-TW"/>
    </w:rPr>
  </w:style>
  <w:style w:type="paragraph" w:styleId="7">
    <w:name w:val="Date"/>
    <w:basedOn w:val="1"/>
    <w:next w:val="1"/>
    <w:link w:val="42"/>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qFormat/>
    <w:uiPriority w:val="22"/>
    <w:rPr>
      <w:b/>
    </w:rPr>
  </w:style>
  <w:style w:type="character" w:styleId="17">
    <w:name w:val="FollowedHyperlink"/>
    <w:basedOn w:val="15"/>
    <w:unhideWhenUsed/>
    <w:qFormat/>
    <w:uiPriority w:val="99"/>
    <w:rPr>
      <w:color w:val="444444"/>
      <w:u w:val="none"/>
    </w:rPr>
  </w:style>
  <w:style w:type="character" w:styleId="18">
    <w:name w:val="Emphasis"/>
    <w:basedOn w:val="15"/>
    <w:qFormat/>
    <w:uiPriority w:val="20"/>
    <w:rPr>
      <w:i/>
    </w:rPr>
  </w:style>
  <w:style w:type="character" w:styleId="19">
    <w:name w:val="HTML Definition"/>
    <w:basedOn w:val="15"/>
    <w:unhideWhenUsed/>
    <w:qFormat/>
    <w:uiPriority w:val="99"/>
    <w:rPr>
      <w:i/>
      <w:color w:val="E2544A"/>
      <w:sz w:val="27"/>
      <w:szCs w:val="27"/>
    </w:rPr>
  </w:style>
  <w:style w:type="character" w:styleId="20">
    <w:name w:val="HTML Variable"/>
    <w:basedOn w:val="15"/>
    <w:unhideWhenUsed/>
    <w:qFormat/>
    <w:uiPriority w:val="99"/>
    <w:rPr>
      <w:i/>
    </w:rPr>
  </w:style>
  <w:style w:type="character" w:styleId="21">
    <w:name w:val="Hyperlink"/>
    <w:basedOn w:val="15"/>
    <w:unhideWhenUsed/>
    <w:qFormat/>
    <w:uiPriority w:val="99"/>
    <w:rPr>
      <w:color w:val="0000FF" w:themeColor="hyperlink"/>
      <w:u w:val="single"/>
      <w14:textFill>
        <w14:solidFill>
          <w14:schemeClr w14:val="hlink"/>
        </w14:solidFill>
      </w14:textFill>
    </w:rPr>
  </w:style>
  <w:style w:type="character" w:styleId="22">
    <w:name w:val="HTML Code"/>
    <w:basedOn w:val="15"/>
    <w:unhideWhenUsed/>
    <w:qFormat/>
    <w:uiPriority w:val="99"/>
    <w:rPr>
      <w:rFonts w:ascii="Courier New" w:hAnsi="Courier New" w:eastAsia="Courier New" w:cs="Courier New"/>
      <w:sz w:val="20"/>
    </w:rPr>
  </w:style>
  <w:style w:type="character" w:styleId="23">
    <w:name w:val="HTML Cite"/>
    <w:basedOn w:val="15"/>
    <w:unhideWhenUsed/>
    <w:qFormat/>
    <w:uiPriority w:val="99"/>
    <w:rPr>
      <w:i/>
      <w:u w:val="none"/>
    </w:rPr>
  </w:style>
  <w:style w:type="character" w:styleId="24">
    <w:name w:val="HTML Keyboard"/>
    <w:basedOn w:val="15"/>
    <w:unhideWhenUsed/>
    <w:qFormat/>
    <w:uiPriority w:val="99"/>
    <w:rPr>
      <w:rFonts w:hint="default" w:ascii="Courier New" w:hAnsi="Courier New" w:eastAsia="Courier New" w:cs="Courier New"/>
      <w:sz w:val="20"/>
    </w:rPr>
  </w:style>
  <w:style w:type="character" w:styleId="25">
    <w:name w:val="HTML Sample"/>
    <w:basedOn w:val="15"/>
    <w:unhideWhenUsed/>
    <w:qFormat/>
    <w:uiPriority w:val="99"/>
    <w:rPr>
      <w:rFonts w:hint="default" w:ascii="Courier New" w:hAnsi="Courier New" w:eastAsia="Courier New" w:cs="Courier New"/>
    </w:rPr>
  </w:style>
  <w:style w:type="character" w:customStyle="1" w:styleId="26">
    <w:name w:val="标题 Char"/>
    <w:basedOn w:val="15"/>
    <w:link w:val="13"/>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qFormat/>
    <w:uiPriority w:val="99"/>
    <w:rPr>
      <w:kern w:val="0"/>
      <w:sz w:val="22"/>
      <w:lang w:eastAsia="ja-JP"/>
    </w:rPr>
  </w:style>
  <w:style w:type="character" w:customStyle="1" w:styleId="29">
    <w:name w:val="批注框文本 Char"/>
    <w:basedOn w:val="15"/>
    <w:link w:val="8"/>
    <w:semiHidden/>
    <w:qFormat/>
    <w:uiPriority w:val="99"/>
    <w:rPr>
      <w:kern w:val="0"/>
      <w:sz w:val="18"/>
      <w:szCs w:val="18"/>
      <w:lang w:eastAsia="en-US"/>
    </w:rPr>
  </w:style>
  <w:style w:type="character" w:customStyle="1" w:styleId="30">
    <w:name w:val="页脚 Char"/>
    <w:basedOn w:val="15"/>
    <w:link w:val="9"/>
    <w:qFormat/>
    <w:uiPriority w:val="99"/>
    <w:rPr>
      <w:kern w:val="0"/>
      <w:sz w:val="18"/>
      <w:szCs w:val="18"/>
      <w:lang w:eastAsia="en-US"/>
    </w:rPr>
  </w:style>
  <w:style w:type="paragraph" w:customStyle="1" w:styleId="31">
    <w:name w:val="列表段落1"/>
    <w:basedOn w:val="1"/>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qFormat/>
    <w:uiPriority w:val="99"/>
    <w:pPr>
      <w:ind w:left="480" w:leftChars="200"/>
      <w:jc w:val="left"/>
    </w:pPr>
    <w:rPr>
      <w:rFonts w:eastAsia="PMingLiU" w:cs="Times New Roman"/>
      <w:sz w:val="24"/>
      <w:szCs w:val="22"/>
      <w:lang w:eastAsia="zh-TW"/>
    </w:rPr>
  </w:style>
  <w:style w:type="paragraph" w:customStyle="1" w:styleId="33">
    <w:name w:val="列出段落11"/>
    <w:basedOn w:val="1"/>
    <w:qFormat/>
    <w:uiPriority w:val="99"/>
    <w:pPr>
      <w:ind w:left="480" w:leftChars="200"/>
      <w:jc w:val="left"/>
    </w:pPr>
    <w:rPr>
      <w:rFonts w:eastAsia="PMingLiU" w:cs="Times New Roman"/>
      <w:sz w:val="24"/>
      <w:szCs w:val="22"/>
      <w:lang w:eastAsia="zh-TW"/>
    </w:rPr>
  </w:style>
  <w:style w:type="character" w:customStyle="1" w:styleId="34">
    <w:name w:val="first-child"/>
    <w:basedOn w:val="15"/>
    <w:qFormat/>
    <w:uiPriority w:val="0"/>
  </w:style>
  <w:style w:type="character" w:customStyle="1" w:styleId="35">
    <w:name w:val="layui-layer-tabnow"/>
    <w:basedOn w:val="15"/>
    <w:qFormat/>
    <w:uiPriority w:val="0"/>
    <w:rPr>
      <w:bdr w:val="single" w:color="CCCCCC" w:sz="6" w:space="0"/>
      <w:shd w:val="clear" w:color="auto" w:fill="FFFFFF"/>
    </w:rPr>
  </w:style>
  <w:style w:type="character" w:customStyle="1" w:styleId="36">
    <w:name w:val="before"/>
    <w:basedOn w:val="15"/>
    <w:qFormat/>
    <w:uiPriority w:val="0"/>
  </w:style>
  <w:style w:type="character" w:customStyle="1" w:styleId="37">
    <w:name w:val="before1"/>
    <w:basedOn w:val="15"/>
    <w:qFormat/>
    <w:uiPriority w:val="0"/>
  </w:style>
  <w:style w:type="character" w:customStyle="1" w:styleId="38">
    <w:name w:val="popup-keyword1"/>
    <w:basedOn w:val="15"/>
    <w:qFormat/>
    <w:uiPriority w:val="0"/>
  </w:style>
  <w:style w:type="character" w:customStyle="1" w:styleId="39">
    <w:name w:val="popup-keyword"/>
    <w:basedOn w:val="15"/>
    <w:qFormat/>
    <w:uiPriority w:val="0"/>
  </w:style>
  <w:style w:type="character" w:customStyle="1" w:styleId="40">
    <w:name w:val="标题 2 Char"/>
    <w:basedOn w:val="15"/>
    <w:link w:val="3"/>
    <w:qFormat/>
    <w:uiPriority w:val="9"/>
    <w:rPr>
      <w:rFonts w:ascii="宋体" w:hAnsi="宋体" w:cs="宋体"/>
      <w:b/>
      <w:bCs/>
      <w:sz w:val="36"/>
      <w:szCs w:val="36"/>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qFormat/>
    <w:uiPriority w:val="0"/>
  </w:style>
  <w:style w:type="character" w:customStyle="1" w:styleId="45">
    <w:name w:val="标题 4 Char"/>
    <w:basedOn w:val="15"/>
    <w:link w:val="5"/>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qFormat/>
    <w:uiPriority w:val="0"/>
  </w:style>
  <w:style w:type="character" w:customStyle="1" w:styleId="47">
    <w:name w:val="标题 3 Char"/>
    <w:basedOn w:val="15"/>
    <w:link w:val="4"/>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qFormat/>
    <w:uiPriority w:val="0"/>
  </w:style>
  <w:style w:type="paragraph" w:customStyle="1" w:styleId="49">
    <w:name w:val="列表段落2"/>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qFormat/>
    <w:uiPriority w:val="99"/>
    <w:pPr>
      <w:ind w:firstLine="420" w:firstLineChars="200"/>
    </w:pPr>
  </w:style>
  <w:style w:type="paragraph" w:customStyle="1" w:styleId="56">
    <w:name w:val="列表段落9"/>
    <w:basedOn w:val="1"/>
    <w:qFormat/>
    <w:uiPriority w:val="99"/>
    <w:pPr>
      <w:ind w:firstLine="420" w:firstLineChars="200"/>
    </w:pPr>
  </w:style>
  <w:style w:type="paragraph" w:customStyle="1" w:styleId="57">
    <w:name w:val="列表段落10"/>
    <w:basedOn w:val="1"/>
    <w:qFormat/>
    <w:uiPriority w:val="99"/>
    <w:pPr>
      <w:ind w:firstLine="420" w:firstLineChars="200"/>
    </w:pPr>
  </w:style>
  <w:style w:type="paragraph" w:customStyle="1" w:styleId="58">
    <w:name w:val="列表段落11"/>
    <w:basedOn w:val="1"/>
    <w:qFormat/>
    <w:uiPriority w:val="99"/>
    <w:pPr>
      <w:ind w:firstLine="420" w:firstLineChars="200"/>
    </w:pPr>
  </w:style>
  <w:style w:type="paragraph" w:customStyle="1" w:styleId="59">
    <w:name w:val="列出段落2"/>
    <w:basedOn w:val="1"/>
    <w:qFormat/>
    <w:uiPriority w:val="99"/>
    <w:pPr>
      <w:ind w:firstLine="420" w:firstLineChars="200"/>
    </w:pPr>
  </w:style>
  <w:style w:type="paragraph" w:customStyle="1" w:styleId="60">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unhideWhenUsed/>
    <w:qFormat/>
    <w:uiPriority w:val="99"/>
    <w:pPr>
      <w:ind w:firstLine="420" w:firstLineChars="200"/>
    </w:pPr>
  </w:style>
  <w:style w:type="paragraph" w:styleId="6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0</TotalTime>
  <ScaleCrop>false</ScaleCrop>
  <LinksUpToDate>false</LinksUpToDate>
  <CharactersWithSpaces>3502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2023-12-26T01:23:20Z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0C9D05741E7445E9A49A1A5275D5DA39_13</vt:lpwstr>
  </property>
</Properties>
</file>