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1312"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5168;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4384" behindDoc="0" locked="0" layoutInCell="1" allowOverlap="1">
                <wp:simplePos x="0" y="0"/>
                <wp:positionH relativeFrom="column">
                  <wp:posOffset>2762250</wp:posOffset>
                </wp:positionH>
                <wp:positionV relativeFrom="paragraph">
                  <wp:posOffset>34925</wp:posOffset>
                </wp:positionV>
                <wp:extent cx="3619500" cy="2084705"/>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08440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27</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三</w:t>
                            </w:r>
                          </w:p>
                          <w:p>
                            <w:pPr>
                              <w:jc w:val="center"/>
                              <w:rPr>
                                <w:rFonts w:ascii="微软雅黑" w:hAnsi="微软雅黑" w:eastAsia="微软雅黑"/>
                                <w:b/>
                                <w:color w:val="FFFFFF" w:themeColor="background1"/>
                                <w:sz w:val="24"/>
                                <w:szCs w:val="24"/>
                                <w14:textFill>
                                  <w14:solidFill>
                                    <w14:schemeClr w14:val="bg1"/>
                                  </w14:solidFill>
                                </w14:textFill>
                              </w:rPr>
                            </w:pPr>
                          </w:p>
                          <w:p>
                            <w:pPr>
                              <w:wordWrap w:val="0"/>
                              <w:jc w:val="right"/>
                              <w:rPr>
                                <w:rFonts w:ascii="微软雅黑" w:hAnsi="微软雅黑" w:eastAsia="微软雅黑"/>
                                <w:b/>
                                <w:color w:val="FFFFFF" w:themeColor="background1"/>
                                <w:sz w:val="24"/>
                                <w:szCs w:val="24"/>
                                <w14:textFill>
                                  <w14:solidFill>
                                    <w14:schemeClr w14:val="bg1"/>
                                  </w14:solidFill>
                                </w14:textFill>
                              </w:rPr>
                            </w:pP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64.15pt;width:285pt;z-index:251664384;mso-width-relative:page;mso-height-relative:page;" filled="f" stroked="f" coordsize="21600,21600" o:gfxdata="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gyjWAAAACgEAAA8AAAAAAAAAAQAgAAAA&#10;IgAAAGRycy9kb3ducmV2LnhtbFBLAQIUABQAAAAIAIdO4kDaErVtDQIAAAkEAAAOAAAAAAAAAAEA&#10;IAAAACUBAABkcnMvZTJvRG9jLnhtbFBLBQYAAAAABgAGAFkBAACkBQ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27</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三</w:t>
                      </w:r>
                    </w:p>
                    <w:p>
                      <w:pPr>
                        <w:jc w:val="center"/>
                        <w:rPr>
                          <w:rFonts w:ascii="微软雅黑" w:hAnsi="微软雅黑" w:eastAsia="微软雅黑"/>
                          <w:b/>
                          <w:color w:val="FFFFFF" w:themeColor="background1"/>
                          <w:sz w:val="24"/>
                          <w:szCs w:val="24"/>
                          <w14:textFill>
                            <w14:solidFill>
                              <w14:schemeClr w14:val="bg1"/>
                            </w14:solidFill>
                          </w14:textFill>
                        </w:rPr>
                      </w:pPr>
                    </w:p>
                    <w:p>
                      <w:pPr>
                        <w:wordWrap w:val="0"/>
                        <w:jc w:val="right"/>
                        <w:rPr>
                          <w:rFonts w:ascii="微软雅黑" w:hAnsi="微软雅黑" w:eastAsia="微软雅黑"/>
                          <w:b/>
                          <w:color w:val="FFFFFF" w:themeColor="background1"/>
                          <w:sz w:val="24"/>
                          <w:szCs w:val="24"/>
                          <w14:textFill>
                            <w14:solidFill>
                              <w14:schemeClr w14:val="bg1"/>
                            </w14:solidFill>
                          </w14:textFill>
                        </w:rPr>
                      </w:pP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r>
        <w:drawing>
          <wp:anchor distT="0" distB="0" distL="114300" distR="114300" simplePos="0" relativeHeight="251665408" behindDoc="1" locked="0" layoutInCell="1" allowOverlap="1">
            <wp:simplePos x="0" y="0"/>
            <wp:positionH relativeFrom="margin">
              <wp:posOffset>2351405</wp:posOffset>
            </wp:positionH>
            <wp:positionV relativeFrom="paragraph">
              <wp:posOffset>220980</wp:posOffset>
            </wp:positionV>
            <wp:extent cx="3924300" cy="887730"/>
            <wp:effectExtent l="0" t="0" r="0" b="7620"/>
            <wp:wrapThrough wrapText="bothSides">
              <wp:wrapPolygon>
                <wp:start x="1573" y="0"/>
                <wp:lineTo x="734" y="1854"/>
                <wp:lineTo x="0" y="5099"/>
                <wp:lineTo x="0" y="16687"/>
                <wp:lineTo x="1363" y="21322"/>
                <wp:lineTo x="1992" y="21322"/>
                <wp:lineTo x="3146" y="21322"/>
                <wp:lineTo x="21495" y="17614"/>
                <wp:lineTo x="21495" y="1854"/>
                <wp:lineTo x="2726" y="0"/>
                <wp:lineTo x="1573" y="0"/>
              </wp:wrapPolygon>
            </wp:wrapThrough>
            <wp:docPr id="1" name="圖片 5" descr="X:\12. 其他\RUIDA\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5" descr="X:\12. 其他\RUIDA\Logo short.jpg"/>
                    <pic:cNvPicPr>
                      <a:picLocks noChangeAspect="1" noChangeArrowheads="1"/>
                    </pic:cNvPicPr>
                  </pic:nvPicPr>
                  <pic:blipFill>
                    <a:blip r:embed="rId6"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a:xfrm>
                      <a:off x="0" y="0"/>
                      <a:ext cx="3924300" cy="887730"/>
                    </a:xfrm>
                    <a:prstGeom prst="rect">
                      <a:avLst/>
                    </a:prstGeom>
                    <a:noFill/>
                    <a:ln>
                      <a:noFill/>
                    </a:ln>
                  </pic:spPr>
                </pic:pic>
              </a:graphicData>
            </a:graphic>
          </wp:anchor>
        </w:drawing>
      </w:r>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u w:val="none"/>
          <w:shd w:val="clear" w:fill="FFFFFF"/>
          <w14:textFill>
            <w14:solidFill>
              <w14:schemeClr w14:val="tx1"/>
            </w14:solidFill>
          </w14:textFill>
        </w:rPr>
        <w:t>万事达卡</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发布报告显示，今年11月1日至12月24日期间美国零售销售额同比增长3.1%</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；其中，电商销售额同比增长6.3%，服装类和餐饮类的销售额分别同比增长2.4%和7.8%，而电子产品销售额同比下降0.4%。</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据英国经济和商业研究中心预测，英国将在未来15年内成为欧洲表现最好的主要经济体，缩小与德国的差距，扩大对法国的领先优势。到2038年，英国的GDP增长率将在1.6%到1.8%之间。</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日本11月失业率2.5%，预期2.5%，前值2.5%；求才求职比1.28，预期1.3，前值1.3。</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日本内阁府</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表示，2022年日本人均名义GDP换算后为34064美元，在经济合作与发展组织（OECD）38个成员国中排第21位。这是自1980年有可比数据以来最差名次，在七国集团（</w:t>
      </w:r>
      <w:r>
        <w:rPr>
          <w:rFonts w:hint="eastAsia" w:ascii="仿宋" w:hAnsi="仿宋" w:eastAsia="仿宋" w:cs="仿宋"/>
          <w:b w:val="0"/>
          <w:bCs w:val="0"/>
          <w:color w:val="000000" w:themeColor="text1"/>
          <w:sz w:val="24"/>
          <w:szCs w:val="24"/>
          <w:u w:val="none"/>
          <w14:textFill>
            <w14:solidFill>
              <w14:schemeClr w14:val="tx1"/>
            </w14:solidFill>
          </w14:textFill>
        </w:rPr>
        <w:t>G7</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）中也自2008年之后再度垫底。日元贬值影响巨大，金额较上年下滑约15%。</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韩国房地产项目融资构成的威胁令人担忧。截至今年11月底，KB国民银行、</w:t>
      </w:r>
      <w:r>
        <w:rPr>
          <w:rFonts w:hint="eastAsia" w:ascii="仿宋" w:hAnsi="仿宋" w:eastAsia="仿宋" w:cs="仿宋"/>
          <w:b w:val="0"/>
          <w:bCs w:val="0"/>
          <w:color w:val="000000" w:themeColor="text1"/>
          <w:sz w:val="24"/>
          <w:szCs w:val="24"/>
          <w:u w:val="none"/>
          <w14:textFill>
            <w14:solidFill>
              <w14:schemeClr w14:val="tx1"/>
            </w14:solidFill>
          </w14:textFill>
        </w:rPr>
        <w:t>新韩银行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韩亚银行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友利银行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、NH NongHyup等5家主要银行的建筑贷款逾期金额为1051亿韩元（约8100万美元），比去年底的524亿韩元翻了个倍。拖欠率也从去年底的0.26%上升到今年11月底的0.45%。</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default"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07:50 日本央行公布审议委员意见摘要</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17:00 瑞士12月ZEW投资者信心指数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美国12月里奇蒙德联储制造业指数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次日05:30 美国至12月22日当周API原油库存</w:t>
      </w: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12月27日（周三），</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美国三大股指全线收涨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道指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涨0.43%报37545.33点，</w:t>
      </w:r>
      <w:r>
        <w:rPr>
          <w:rFonts w:hint="eastAsia" w:ascii="仿宋" w:hAnsi="仿宋" w:eastAsia="仿宋" w:cs="仿宋"/>
          <w:b w:val="0"/>
          <w:bCs w:val="0"/>
          <w:color w:val="000000" w:themeColor="text1"/>
          <w:sz w:val="24"/>
          <w:szCs w:val="24"/>
          <w:u w:val="none"/>
          <w14:textFill>
            <w14:solidFill>
              <w14:schemeClr w14:val="tx1"/>
            </w14:solidFill>
          </w14:textFill>
        </w:rPr>
        <w:t>标普500指数</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涨0.42%报4774.75点，</w:t>
      </w:r>
      <w:r>
        <w:rPr>
          <w:rFonts w:hint="eastAsia" w:ascii="仿宋" w:hAnsi="仿宋" w:eastAsia="仿宋" w:cs="仿宋"/>
          <w:b w:val="0"/>
          <w:bCs w:val="0"/>
          <w:color w:val="000000" w:themeColor="text1"/>
          <w:sz w:val="24"/>
          <w:szCs w:val="24"/>
          <w:u w:val="none"/>
          <w14:textFill>
            <w14:solidFill>
              <w14:schemeClr w14:val="tx1"/>
            </w14:solidFill>
          </w14:textFill>
        </w:rPr>
        <w:t>纳指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涨0.54%报15074.57点。</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国际金属期货</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普遍收涨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COMEX黄金期货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涨0.49%报2079.2美元/盎司，</w:t>
      </w:r>
      <w:r>
        <w:rPr>
          <w:rFonts w:hint="eastAsia" w:ascii="仿宋" w:hAnsi="仿宋" w:eastAsia="仿宋" w:cs="仿宋"/>
          <w:b w:val="0"/>
          <w:bCs w:val="0"/>
          <w:color w:val="000000" w:themeColor="text1"/>
          <w:sz w:val="24"/>
          <w:szCs w:val="24"/>
          <w:u w:val="none"/>
          <w14:textFill>
            <w14:solidFill>
              <w14:schemeClr w14:val="tx1"/>
            </w14:solidFill>
          </w14:textFill>
        </w:rPr>
        <w:t>COMEX白银期货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跌0.26%报24.5美元/盎司。</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月原糖期货合约</w:t>
      </w:r>
      <w:r>
        <w:rPr>
          <w:rFonts w:hint="eastAsia" w:ascii="仿宋" w:hAnsi="仿宋" w:eastAsia="仿宋" w:cs="仿宋"/>
          <w:b w:val="0"/>
          <w:bCs w:val="0"/>
          <w:color w:val="000000" w:themeColor="text1"/>
          <w:sz w:val="24"/>
          <w:szCs w:val="24"/>
          <w:lang w:val="en-US" w:eastAsia="zh-CN"/>
          <w14:textFill>
            <w14:solidFill>
              <w14:schemeClr w14:val="tx1"/>
            </w14:solidFill>
          </w14:textFill>
        </w:rPr>
        <w:t>收盘跌0.40%</w:t>
      </w:r>
      <w:r>
        <w:rPr>
          <w:rFonts w:hint="eastAsia" w:ascii="仿宋" w:hAnsi="仿宋" w:eastAsia="仿宋" w:cs="仿宋"/>
          <w:b w:val="0"/>
          <w:bCs w:val="0"/>
          <w:color w:val="000000" w:themeColor="text1"/>
          <w:sz w:val="24"/>
          <w:szCs w:val="24"/>
          <w14:textFill>
            <w14:solidFill>
              <w14:schemeClr w14:val="tx1"/>
            </w14:solidFill>
          </w14:textFill>
        </w:rPr>
        <w:t>，结算价</w:t>
      </w:r>
      <w:r>
        <w:rPr>
          <w:rFonts w:hint="eastAsia" w:ascii="仿宋" w:hAnsi="仿宋" w:eastAsia="仿宋" w:cs="仿宋"/>
          <w:b w:val="0"/>
          <w:bCs w:val="0"/>
          <w:color w:val="000000" w:themeColor="text1"/>
          <w:sz w:val="24"/>
          <w:szCs w:val="24"/>
          <w:lang w:val="en-US" w:eastAsia="zh-CN"/>
          <w14:textFill>
            <w14:solidFill>
              <w14:schemeClr w14:val="tx1"/>
            </w14:solidFill>
          </w14:textFill>
        </w:rPr>
        <w:t>20.53</w:t>
      </w:r>
      <w:r>
        <w:rPr>
          <w:rFonts w:hint="eastAsia" w:ascii="仿宋" w:hAnsi="仿宋" w:eastAsia="仿宋" w:cs="仿宋"/>
          <w:b w:val="0"/>
          <w:bCs w:val="0"/>
          <w:color w:val="000000" w:themeColor="text1"/>
          <w:sz w:val="24"/>
          <w:szCs w:val="24"/>
          <w14:textFill>
            <w14:solidFill>
              <w14:schemeClr w14:val="tx1"/>
            </w14:solidFill>
          </w14:textFill>
        </w:rPr>
        <w:t>每磅美分。ICE</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月期棉</w:t>
      </w:r>
      <w:r>
        <w:rPr>
          <w:rFonts w:hint="eastAsia" w:ascii="仿宋" w:hAnsi="仿宋" w:eastAsia="仿宋" w:cs="仿宋"/>
          <w:b w:val="0"/>
          <w:bCs w:val="0"/>
          <w:color w:val="000000" w:themeColor="text1"/>
          <w:sz w:val="24"/>
          <w:szCs w:val="24"/>
          <w:lang w:val="en-US" w:eastAsia="zh-CN"/>
          <w14:textFill>
            <w14:solidFill>
              <w14:schemeClr w14:val="tx1"/>
            </w14:solidFill>
          </w14:textFill>
        </w:rPr>
        <w:t>涨0.40</w:t>
      </w:r>
      <w:r>
        <w:rPr>
          <w:rFonts w:hint="eastAsia" w:ascii="仿宋" w:hAnsi="仿宋" w:eastAsia="仿宋" w:cs="仿宋"/>
          <w:b w:val="0"/>
          <w:bCs w:val="0"/>
          <w:color w:val="000000" w:themeColor="text1"/>
          <w:sz w:val="24"/>
          <w:szCs w:val="24"/>
          <w14:textFill>
            <w14:solidFill>
              <w14:schemeClr w14:val="tx1"/>
            </w14:solidFill>
          </w14:textFill>
        </w:rPr>
        <w:t>%，结算价报</w:t>
      </w:r>
      <w:r>
        <w:rPr>
          <w:rFonts w:hint="eastAsia" w:ascii="仿宋" w:hAnsi="仿宋" w:eastAsia="仿宋" w:cs="仿宋"/>
          <w:b w:val="0"/>
          <w:bCs w:val="0"/>
          <w:color w:val="000000" w:themeColor="text1"/>
          <w:sz w:val="24"/>
          <w:szCs w:val="24"/>
          <w:lang w:val="en-US" w:eastAsia="zh-CN"/>
          <w14:textFill>
            <w14:solidFill>
              <w14:schemeClr w14:val="tx1"/>
            </w14:solidFill>
          </w14:textFill>
        </w:rPr>
        <w:t>80.05</w:t>
      </w:r>
      <w:r>
        <w:rPr>
          <w:rFonts w:hint="eastAsia" w:ascii="仿宋" w:hAnsi="仿宋" w:eastAsia="仿宋" w:cs="仿宋"/>
          <w:b w:val="0"/>
          <w:bCs w:val="0"/>
          <w:color w:val="000000" w:themeColor="text1"/>
          <w:sz w:val="24"/>
          <w:szCs w:val="24"/>
          <w14:textFill>
            <w14:solidFill>
              <w14:schemeClr w14:val="tx1"/>
            </w14:solidFill>
          </w14:textFill>
        </w:rPr>
        <w:t>美分/磅。</w:t>
      </w:r>
    </w:p>
    <w:p>
      <w:pPr>
        <w:spacing w:line="360" w:lineRule="auto"/>
        <w:rPr>
          <w:rFonts w:hint="eastAsia" w:ascii="仿宋" w:hAnsi="仿宋" w:eastAsia="仿宋" w:cs="仿宋"/>
          <w:b w:val="0"/>
          <w:bCs w:val="0"/>
          <w:color w:val="000000" w:themeColor="text1"/>
          <w:sz w:val="24"/>
          <w:szCs w:val="24"/>
          <w14:textFill>
            <w14:solidFill>
              <w14:schemeClr w14:val="tx1"/>
            </w14:solidFill>
          </w14:textFill>
        </w:rPr>
      </w:pPr>
      <w:r>
        <w:drawing>
          <wp:inline distT="0" distB="0" distL="114300" distR="114300">
            <wp:extent cx="5271135" cy="2966720"/>
            <wp:effectExtent l="0" t="0" r="57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1135" cy="2966720"/>
                    </a:xfrm>
                    <a:prstGeom prst="rect">
                      <a:avLst/>
                    </a:prstGeom>
                    <a:noFill/>
                    <a:ln>
                      <a:noFill/>
                    </a:ln>
                  </pic:spPr>
                </pic:pic>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ind w:firstLine="420" w:firstLineChars="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至周三美元指数跌0.24%报101.46，非美货币多数上涨，欧元兑美元涨0.31%报1.1042，英镑兑美元涨0.18%报1.2720，澳元兑美元涨0.33%报0.6825，美元兑日元涨0.05%报142.40。万事达卡发布报告显示，今年11月1日至12月24日期间美国零售销售额同比增长3.1%；其中，电商销售额同比增长6.3%，服装类和餐饮类的销售额分别同比增长2.4%和7.8%，而电子产品销售额同比下降0.4%；零售销售额整体持续增长或暗示经济韧性尚存，整体不利价格指数下降。往后看，短期内美元指数在利率预期下调的影响下或持续承压。</w:t>
      </w:r>
    </w:p>
    <w:p>
      <w:pPr>
        <w:spacing w:line="360" w:lineRule="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74945" cy="1450975"/>
            <wp:effectExtent l="0" t="0" r="1905"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274945" cy="1450975"/>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S&amp;P500</w:t>
      </w:r>
      <w:bookmarkStart w:id="0" w:name="OLE_LINK2"/>
      <w:bookmarkStart w:id="1" w:name="OLE_LINK1"/>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截至12月27日，标普500指数收涨0.42%至4774.75点；迷你标普500主力合约收涨0.58%至4827点。美股周二美股收高，道指与标普500指数均逼近历史最高收盘纪录。主要股指可能以强劲的基调结束2023年。但在三大股指连续八周上涨后，华尓街对美股未来走势的看法产生分歧。策略上，指数短线突破高位，轻仓试多。详细支撑阻力位请见图表</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autoSpaceDE w:val="0"/>
        <w:autoSpaceDN w:val="0"/>
        <w:adjustRightInd w:val="0"/>
        <w:spacing w:line="360" w:lineRule="auto"/>
        <w:jc w:val="both"/>
        <w:rPr>
          <w:rFonts w:asciiTheme="minorEastAsia" w:hAnsiTheme="minorEastAsia" w:eastAsiaTheme="minorEastAsia"/>
          <w:sz w:val="18"/>
          <w:szCs w:val="20"/>
          <w:lang w:val="zh-CN"/>
        </w:rPr>
      </w:pPr>
      <w:r>
        <w:rPr>
          <w:rFonts w:hint="eastAsia" w:ascii="仿宋" w:hAnsi="仿宋" w:eastAsia="仿宋" w:cs="仿宋"/>
          <w:b/>
          <w:sz w:val="24"/>
          <w:szCs w:val="24"/>
        </w:rPr>
        <w:drawing>
          <wp:inline distT="0" distB="0" distL="0" distR="0">
            <wp:extent cx="5274310" cy="193865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1938655"/>
                    </a:xfrm>
                    <a:prstGeom prst="rect">
                      <a:avLst/>
                    </a:prstGeom>
                  </pic:spPr>
                </pic:pic>
              </a:graphicData>
            </a:graphic>
          </wp:inline>
        </w:drawing>
      </w:r>
      <w:r>
        <w:rPr>
          <w:rFonts w:hint="eastAsia" w:asciiTheme="minorEastAsia" w:hAnsiTheme="minorEastAsia" w:eastAsiaTheme="minorEastAsia"/>
          <w:sz w:val="18"/>
          <w:szCs w:val="20"/>
        </w:rPr>
        <w:t>图表</w:t>
      </w:r>
      <w:r>
        <w:rPr>
          <w:rFonts w:asciiTheme="minorEastAsia" w:hAnsiTheme="minorEastAsia" w:eastAsiaTheme="minorEastAsia"/>
          <w:sz w:val="18"/>
          <w:szCs w:val="20"/>
        </w:rPr>
        <w:t>3S&amp;P500</w:t>
      </w:r>
      <w:r>
        <w:rPr>
          <w:rFonts w:hint="eastAsia" w:asciiTheme="minorEastAsia" w:hAnsiTheme="minorEastAsia" w:eastAsiaTheme="minorEastAsia"/>
          <w:sz w:val="18"/>
          <w:szCs w:val="20"/>
        </w:rPr>
        <w:t>指数期货日线走势图及支撑位</w:t>
      </w:r>
      <w:bookmarkEnd w:id="0"/>
      <w:bookmarkEnd w:id="1"/>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富时中国A</w:t>
      </w:r>
      <w:r>
        <w:rPr>
          <w:rFonts w:ascii="宋体" w:hAnsi="宋体" w:eastAsia="宋体"/>
          <w:b/>
          <w:color w:val="002060"/>
          <w:sz w:val="28"/>
          <w:lang w:eastAsia="zh-CN"/>
        </w:rPr>
        <w:t>50</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截至12月26日，富时中国A50指数收跌0.52%至11173.03点；新交所富时A50期指主力合约收跌0.63%至11160点</w:t>
      </w:r>
      <w:r>
        <w:rPr>
          <w:rFonts w:hint="eastAsia" w:ascii="仿宋" w:hAnsi="仿宋" w:eastAsia="仿宋" w:cs="仿宋"/>
          <w:bCs/>
          <w:sz w:val="24"/>
          <w:szCs w:val="24"/>
        </w:rPr>
        <w:t>。在政策积极发力的背景下，随着短期风险因素收敛，市场交易或将转向政策预期，政策预期或将成为打破市场震荡行情的重要催化因素</w:t>
      </w:r>
      <w:r>
        <w:rPr>
          <w:rFonts w:hint="eastAsia" w:ascii="仿宋" w:hAnsi="仿宋" w:eastAsia="仿宋" w:cs="仿宋"/>
          <w:color w:val="000000"/>
          <w:sz w:val="24"/>
          <w:szCs w:val="24"/>
          <w:shd w:val="clear" w:color="auto" w:fill="FFFFFF"/>
        </w:rPr>
        <w:t>。</w:t>
      </w:r>
      <w:r>
        <w:rPr>
          <w:rFonts w:hint="eastAsia" w:ascii="仿宋" w:hAnsi="仿宋" w:eastAsia="仿宋" w:cs="仿宋"/>
          <w:sz w:val="24"/>
          <w:szCs w:val="24"/>
        </w:rPr>
        <w:t>策略上，短线谨慎，中长线逢低试多。详细支撑阻力位请见图表4。</w:t>
      </w:r>
    </w:p>
    <w:p>
      <w:pPr>
        <w:rPr>
          <w:rFonts w:ascii="新宋体" w:hAnsi="新宋体" w:eastAsia="新宋体"/>
        </w:rPr>
      </w:pPr>
      <w:r>
        <w:rPr>
          <w:rFonts w:ascii="新宋体" w:hAnsi="新宋体" w:eastAsia="新宋体"/>
        </w:rPr>
        <w:drawing>
          <wp:inline distT="0" distB="0" distL="0" distR="0">
            <wp:extent cx="5274310" cy="19221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1922145"/>
                    </a:xfrm>
                    <a:prstGeom prst="rect">
                      <a:avLst/>
                    </a:prstGeom>
                  </pic:spPr>
                </pic:pic>
              </a:graphicData>
            </a:graphic>
          </wp:inline>
        </w:drawing>
      </w:r>
    </w:p>
    <w:p>
      <w:pPr>
        <w:autoSpaceDE w:val="0"/>
        <w:autoSpaceDN w:val="0"/>
        <w:adjustRightInd w:val="0"/>
        <w:spacing w:line="360" w:lineRule="auto"/>
        <w:rPr>
          <w:rFonts w:asciiTheme="minorEastAsia" w:hAnsiTheme="minorEastAsia" w:eastAsiaTheme="minorEastAsia"/>
          <w:sz w:val="18"/>
          <w:szCs w:val="20"/>
        </w:rPr>
      </w:pPr>
      <w:r>
        <w:rPr>
          <w:rFonts w:hint="eastAsia" w:asciiTheme="minorEastAsia" w:hAnsiTheme="minorEastAsia" w:eastAsiaTheme="minorEastAsia"/>
          <w:sz w:val="18"/>
          <w:szCs w:val="20"/>
        </w:rPr>
        <w:t>图表</w:t>
      </w:r>
      <w:r>
        <w:rPr>
          <w:rFonts w:asciiTheme="minorEastAsia" w:hAnsiTheme="minorEastAsia" w:eastAsiaTheme="minorEastAsia"/>
          <w:sz w:val="18"/>
          <w:szCs w:val="20"/>
        </w:rPr>
        <w:t>4</w:t>
      </w:r>
      <w:r>
        <w:rPr>
          <w:rFonts w:hint="eastAsia" w:asciiTheme="minorEastAsia" w:hAnsiTheme="minorEastAsia" w:eastAsiaTheme="minorEastAsia"/>
          <w:sz w:val="18"/>
          <w:szCs w:val="20"/>
        </w:rPr>
        <w:t>富时中国A50指数期货日线走势图及支撑位</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隔夜美元指数震荡走弱，交投于101.46。美元指数延续下行之势，10年期美债收益率接近平收，报3.897%，对美联储政策利率更敏感的两年期美债收益率收报4.356%。</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库存方面：截至12月22日，LME铜库存为166675吨，环比1225吨。12月22日当周，上海期货交易所阴极铜库存为28718吨，周环比-5678吨。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外盘持仓方面：根据CFTC公布的最新数据显示，截止至12月19日当周，非商业多头持仓74637手，空头为69078手，净多持仓为5559手，较上周净多增加9563手。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COMEX铜先涨后跌，其中2403合约报收3.903美元/磅，跌幅0.05%。国际方面，2024年美国经济将明显放缓，但美联储也有望采取行动，确保联邦基金利率与实际通胀之间的差距不会拉得太大。如果通胀下降速度远快于美联储基准利率，货币环境的收紧程度可能会超出美联储政策制定者的预期，并增加经济硬着陆的风险。国内方面，国资委：2024年中央企业效益要稳步提升，利润总额、净利润和归母净利润协同增长。基本面上，据ICSG统计，截至2023年 10月，全球供需平衡当月状态为供给缺口，当月值为-5.3万吨。操作上，建议COMEX铜2403合约轻仓逢低短多交易，注意交易节奏及风险控制。</w:t>
      </w:r>
    </w:p>
    <w:p>
      <w:pPr>
        <w:spacing w:line="312" w:lineRule="auto"/>
        <w:rPr>
          <w:rFonts w:ascii="宋体" w:hAnsi="宋体" w:eastAsia="宋体"/>
          <w:color w:val="000000" w:themeColor="text1"/>
          <w14:textFill>
            <w14:solidFill>
              <w14:schemeClr w14:val="tx1"/>
            </w14:solidFill>
          </w14:textFill>
        </w:rPr>
      </w:pPr>
      <w:r>
        <w:drawing>
          <wp:inline distT="0" distB="0" distL="0" distR="0">
            <wp:extent cx="5274310" cy="1717675"/>
            <wp:effectExtent l="0" t="0" r="254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1717675"/>
                    </a:xfrm>
                    <a:prstGeom prst="rect">
                      <a:avLst/>
                    </a:prstGeom>
                  </pic:spPr>
                </pic:pic>
              </a:graphicData>
            </a:graphic>
          </wp:inline>
        </w:drawing>
      </w:r>
    </w:p>
    <w:p>
      <w:pPr>
        <w:autoSpaceDE w:val="0"/>
        <w:autoSpaceDN w:val="0"/>
        <w:adjustRightInd w:val="0"/>
        <w:spacing w:line="360" w:lineRule="auto"/>
        <w:rPr>
          <w:rFonts w:hint="eastAsia" w:ascii="仿宋" w:hAnsi="仿宋" w:eastAsia="仿宋" w:cs="仿宋"/>
          <w:sz w:val="24"/>
          <w:szCs w:val="24"/>
          <w:lang w:eastAsia="zh-CN"/>
        </w:rPr>
      </w:pPr>
      <w:r>
        <w:rPr>
          <w:rFonts w:hint="eastAsia" w:asciiTheme="minorEastAsia" w:hAnsiTheme="minorEastAsia" w:eastAsiaTheme="minorEastAsia"/>
          <w:sz w:val="18"/>
          <w:szCs w:val="20"/>
        </w:rPr>
        <w:t>图表</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2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消息面：</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万事达卡发布报告显示，今年11月1日至12月24日期间美国零售销售额同比增长3.1%；其中，电商销售额同比增长6.3%，服装类和餐饮类的销售额分别同比增长2.4%和7.8%，而电子产品销售额同比下降0.4%；零售销售额整体持续增长或暗示经济韧性尚存，整体不利价格指数下降。</w:t>
      </w:r>
    </w:p>
    <w:p>
      <w:pPr>
        <w:spacing w:line="360" w:lineRule="auto"/>
        <w:ind w:firstLine="42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外盘持仓方面：截至</w:t>
      </w: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日，SPDR Gold Trust黄金ETF持仓量为</w:t>
      </w:r>
      <w:r>
        <w:rPr>
          <w:rFonts w:hint="eastAsia" w:ascii="仿宋" w:hAnsi="仿宋" w:eastAsia="仿宋" w:cs="仿宋"/>
          <w:color w:val="000000" w:themeColor="text1"/>
          <w:sz w:val="24"/>
          <w:szCs w:val="24"/>
          <w:lang w:val="en-US" w:eastAsia="zh-CN"/>
          <w14:textFill>
            <w14:solidFill>
              <w14:schemeClr w14:val="tx1"/>
            </w14:solidFill>
          </w14:textFill>
        </w:rPr>
        <w:t>878.25</w:t>
      </w:r>
      <w:r>
        <w:rPr>
          <w:rFonts w:hint="eastAsia" w:ascii="仿宋" w:hAnsi="仿宋" w:eastAsia="仿宋" w:cs="仿宋"/>
          <w:color w:val="000000" w:themeColor="text1"/>
          <w:sz w:val="24"/>
          <w:szCs w:val="24"/>
          <w14:textFill>
            <w14:solidFill>
              <w14:schemeClr w14:val="tx1"/>
            </w14:solidFill>
          </w14:textFill>
        </w:rPr>
        <w:t>吨，较上一交易日</w:t>
      </w:r>
      <w:r>
        <w:rPr>
          <w:rFonts w:hint="eastAsia" w:ascii="仿宋" w:hAnsi="仿宋" w:eastAsia="仿宋" w:cs="仿宋"/>
          <w:color w:val="000000" w:themeColor="text1"/>
          <w:sz w:val="24"/>
          <w:szCs w:val="24"/>
          <w:lang w:val="en-US" w:eastAsia="zh-CN"/>
          <w14:textFill>
            <w14:solidFill>
              <w14:schemeClr w14:val="tx1"/>
            </w14:solidFill>
          </w14:textFill>
        </w:rPr>
        <w:t>持平</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firstLineChars="0"/>
        <w:jc w:val="both"/>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往后看，短期内美元指数及美债收益率在利率预期下调的影响下或持续承压，但当前经济数据与美联储目标仍旧背离，下跌幅度或相对受限，贵金属价格或多于高位震荡。操作上建议，日内观望为主，请投资者注意风险控制。</w:t>
      </w:r>
      <w:r>
        <w:drawing>
          <wp:inline distT="0" distB="0" distL="114300" distR="114300">
            <wp:extent cx="5264150" cy="1450975"/>
            <wp:effectExtent l="0" t="0" r="12700" b="1587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2"/>
                    <a:stretch>
                      <a:fillRect/>
                    </a:stretch>
                  </pic:blipFill>
                  <pic:spPr>
                    <a:xfrm>
                      <a:off x="0" y="0"/>
                      <a:ext cx="5264150" cy="1450975"/>
                    </a:xfrm>
                    <a:prstGeom prst="rect">
                      <a:avLst/>
                    </a:prstGeom>
                    <a:noFill/>
                    <a:ln>
                      <a:noFill/>
                    </a:ln>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图表6COMEX黄金日线走势图</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hint="eastAsia" w:asciiTheme="majorEastAsia" w:hAnsiTheme="majorEastAsia" w:eastAsiaTheme="majorEastAsia"/>
          <w:b/>
          <w:color w:val="002060"/>
          <w:sz w:val="28"/>
          <w:szCs w:val="28"/>
          <w:lang w:val="en-US" w:eastAsia="zh-CN"/>
        </w:rPr>
        <w:t>原油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尽管联合国呼吁加沙休战，但是以色列加强了对哈马斯武装的打击，造成更多加沙平民伤亡。以色列军事负责人赫兹哈勒维表示，针对哈马斯的战争可能会持续数月。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与此同时，支持巴勒斯坦民众的也门胡塞武装继续对驶往以色列的红海船只实施袭击，令人担忧航运中断，也对油价上涨提供支持。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纽约再资本公司的合伙人约翰基多夫表示，目前中东地缘政治局势十分紧张，令人担忧原油和其他货物运输的安全。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周二，胡塞武装声称对红海一艘集装箱船遭到导弹袭击负责，并试图用无人机袭击以色列。以色列部长周二暗示，该国已对伊拉克、也门和伊朗对其发动的袭击进行报复。伊朗方面证实其革命卫队司令因以色列袭击而死亡。随着以色列与哈马斯反抗组织的战争扩大到其他地区，巴勒斯坦平民死亡人数继续攀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随着红海船只持续遭到胡塞武装打击，航运公司已停止派遣船只通过红海，并对改道船只征收附加费。红海与苏伊士运河相连，是占到全球贸易量约12%的主要航线。经济学家指出，由于红海遇到航运安全问题，导致船只绕过非洲好望角，导致成本增长。这对于2024年来说可能不是一个很好的开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标普全球市场分析师表示，随着红海袭击产生连锁反应，能源供应链将面临又一轮剧变。途经好望角的过境时间至少增加10天。</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不过一些分析师指出，尽管市场对红海船舶改道感到担忧，但是原油实际供应尚未受到影响。周日丹麦航运巨头马士基公司宣布重启红海航线，法国达飞船运公司增加通过苏伊士运河的船只数量，也在一定程度上缓解了担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美联储明年降息的预期也为油价提供支撑。借贷成本降低有利于促进经济增长和原油需求。降息预期也导致周二美元指数小幅走低，接近周五触及的五个月低点101.42。美元走软使得美元计价的原油对持有其他货币的买家更便宜。</w:t>
      </w:r>
    </w:p>
    <w:p>
      <w:pPr>
        <w:spacing w:line="360" w:lineRule="auto"/>
      </w:pPr>
      <w:r>
        <w:rPr>
          <w:rFonts w:hint="eastAsia" w:ascii="仿宋" w:hAnsi="仿宋" w:eastAsia="仿宋" w:cs="仿宋"/>
          <w:color w:val="000000"/>
          <w:sz w:val="24"/>
          <w:szCs w:val="24"/>
        </w:rPr>
        <w:t xml:space="preserve">    </w:t>
      </w:r>
      <w:r>
        <w:rPr>
          <w:rFonts w:hint="eastAsia" w:ascii="仿宋" w:hAnsi="仿宋" w:eastAsia="仿宋" w:cs="仿宋"/>
          <w:sz w:val="24"/>
          <w:szCs w:val="24"/>
        </w:rPr>
        <w:t>纽约商品期货交易所（NYMEX）的西德克萨斯中质原油（WTI）2月合约较上一交易日下跌0.33美元或0.45%，报收73.56美元/桶，短期呈现宽幅震荡走势。支撑位：72.4；压力位：77.5。</w:t>
      </w:r>
    </w:p>
    <w:p>
      <w:r>
        <w:drawing>
          <wp:inline distT="0" distB="0" distL="0" distR="0">
            <wp:extent cx="5274310" cy="311277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74310" cy="3112770"/>
                    </a:xfrm>
                    <a:prstGeom prst="rect">
                      <a:avLst/>
                    </a:prstGeom>
                  </pic:spPr>
                </pic:pic>
              </a:graphicData>
            </a:graphic>
          </wp:inline>
        </w:drawing>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原糖</w:t>
      </w:r>
      <w:bookmarkStart w:id="2" w:name="OLE_LINK4"/>
      <w:bookmarkStart w:id="3" w:name="OLE_LINK3"/>
    </w:p>
    <w:bookmarkEnd w:id="2"/>
    <w:bookmarkEnd w:id="3"/>
    <w:p>
      <w:pPr>
        <w:autoSpaceDE w:val="0"/>
        <w:autoSpaceDN w:val="0"/>
        <w:adjustRightInd w:val="0"/>
        <w:spacing w:line="360" w:lineRule="auto"/>
        <w:ind w:firstLine="42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洲际期货交易所（ICE）原糖期货周二下跌，因巴西糖产量依然强劲。交投最活跃的ICE 3月原糖期货合约收盘收跌0.09美分或0.40%，结算价每磅20.53美分。操作上，建议3月 ICE 原糖短期观望为主。</w:t>
      </w:r>
    </w:p>
    <w:p>
      <w:pPr>
        <w:autoSpaceDE w:val="0"/>
        <w:autoSpaceDN w:val="0"/>
        <w:adjustRightInd w:val="0"/>
        <w:spacing w:line="360" w:lineRule="auto"/>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drawing>
          <wp:inline distT="0" distB="0" distL="114300" distR="114300">
            <wp:extent cx="5277485" cy="2153285"/>
            <wp:effectExtent l="0" t="0" r="18415" b="18415"/>
            <wp:docPr id="10" name="图片 10" descr="0f979ef01d1d461a5ad9cef9172c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f979ef01d1d461a5ad9cef9172c0cb"/>
                    <pic:cNvPicPr>
                      <a:picLocks noChangeAspect="1"/>
                    </pic:cNvPicPr>
                  </pic:nvPicPr>
                  <pic:blipFill>
                    <a:blip r:embed="rId14"/>
                    <a:stretch>
                      <a:fillRect/>
                    </a:stretch>
                  </pic:blipFill>
                  <pic:spPr>
                    <a:xfrm>
                      <a:off x="0" y="0"/>
                      <a:ext cx="5277485" cy="2153285"/>
                    </a:xfrm>
                    <a:prstGeom prst="rect">
                      <a:avLst/>
                    </a:prstGeom>
                  </pic:spPr>
                </pic:pic>
              </a:graphicData>
            </a:graphic>
          </wp:inline>
        </w:drawing>
      </w:r>
    </w:p>
    <w:p>
      <w:pPr>
        <w:autoSpaceDE w:val="0"/>
        <w:autoSpaceDN w:val="0"/>
        <w:adjustRightInd w:val="0"/>
        <w:jc w:val="left"/>
        <w:rPr>
          <w:rFonts w:hint="default" w:cs="Simplified Arabic" w:asciiTheme="minorEastAsia" w:hAnsiTheme="minorEastAsia" w:eastAsiaTheme="minorEastAsia"/>
          <w:sz w:val="18"/>
          <w:szCs w:val="18"/>
          <w:lang w:val="en-US" w:eastAsia="zh-CN"/>
        </w:rPr>
      </w:pPr>
      <w:r>
        <w:rPr>
          <w:rFonts w:hint="eastAsia" w:cs="Simplified Arabic" w:asciiTheme="minorEastAsia" w:hAnsiTheme="minorEastAsia" w:eastAsiaTheme="minorEastAsia"/>
          <w:sz w:val="18"/>
          <w:szCs w:val="18"/>
          <w:lang w:val="zh-CN"/>
        </w:rPr>
        <w:t>图表</w:t>
      </w:r>
      <w:r>
        <w:rPr>
          <w:rFonts w:cs="Simplified Arabic" w:asciiTheme="minorEastAsia" w:hAnsiTheme="minorEastAsia" w:eastAsiaTheme="minorEastAsia"/>
          <w:sz w:val="18"/>
          <w:szCs w:val="18"/>
        </w:rPr>
        <w:t>8ICE</w:t>
      </w:r>
      <w:r>
        <w:rPr>
          <w:rFonts w:hint="eastAsia" w:cs="Simplified Arabic" w:asciiTheme="minorEastAsia" w:hAnsiTheme="minorEastAsia" w:eastAsiaTheme="minorEastAsia"/>
          <w:sz w:val="18"/>
          <w:szCs w:val="18"/>
          <w:lang w:val="zh-CN"/>
        </w:rPr>
        <w:t>原糖期货主力合约日走势图及支撑位、阻力位</w:t>
      </w:r>
    </w:p>
    <w:p>
      <w:pPr>
        <w:pStyle w:val="31"/>
        <w:numPr>
          <w:ilvl w:val="0"/>
          <w:numId w:val="2"/>
        </w:numPr>
        <w:spacing w:before="240"/>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棉花</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洲际交易所(ICE)棉花期货周二小幅上涨，受助于美元走弱及市场经济氛围。交投最活跃的ICE 3月期棉收涨0.29美分或0.40%，结算价报80.05美分/磅。操作上，建议3月 ICE 期棉短期暂且观望。</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75580" cy="2165985"/>
            <wp:effectExtent l="0" t="0" r="1270" b="5715"/>
            <wp:docPr id="11" name="图片 11" descr="d3cda00ad10de59d81f7ce77a5e9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3cda00ad10de59d81f7ce77a5e939c"/>
                    <pic:cNvPicPr>
                      <a:picLocks noChangeAspect="1"/>
                    </pic:cNvPicPr>
                  </pic:nvPicPr>
                  <pic:blipFill>
                    <a:blip r:embed="rId15"/>
                    <a:stretch>
                      <a:fillRect/>
                    </a:stretch>
                  </pic:blipFill>
                  <pic:spPr>
                    <a:xfrm>
                      <a:off x="0" y="0"/>
                      <a:ext cx="5275580" cy="2165985"/>
                    </a:xfrm>
                    <a:prstGeom prst="rect">
                      <a:avLst/>
                    </a:prstGeom>
                  </pic:spPr>
                </pic:pic>
              </a:graphicData>
            </a:graphic>
          </wp:inline>
        </w:drawing>
      </w:r>
    </w:p>
    <w:p>
      <w:pPr>
        <w:spacing w:line="360" w:lineRule="auto"/>
        <w:rPr>
          <w:rFonts w:ascii="仿宋" w:hAnsi="仿宋" w:eastAsia="仿宋"/>
          <w:sz w:val="24"/>
        </w:rPr>
      </w:pPr>
      <w:r>
        <w:rPr>
          <w:rFonts w:hint="eastAsia" w:ascii="SimSun-ExtB" w:hAnsi="SimSun-ExtB" w:cs="宋体"/>
          <w:kern w:val="0"/>
          <w:sz w:val="18"/>
          <w:szCs w:val="18"/>
          <w:lang w:val="zh-CN"/>
        </w:rPr>
        <w:t>图表</w:t>
      </w:r>
      <w:r>
        <w:rPr>
          <w:rFonts w:ascii="SimSun-ExtB" w:hAnsi="SimSun-ExtB" w:eastAsia="SimSun-ExtB"/>
          <w:kern w:val="0"/>
          <w:sz w:val="18"/>
          <w:szCs w:val="18"/>
        </w:rPr>
        <w:t>9ICE</w:t>
      </w:r>
      <w:r>
        <w:rPr>
          <w:rFonts w:hint="eastAsia" w:ascii="SimSun-ExtB" w:hAnsi="SimSun-ExtB" w:cs="宋体"/>
          <w:kern w:val="0"/>
          <w:sz w:val="18"/>
          <w:szCs w:val="18"/>
          <w:lang w:val="zh-CN"/>
        </w:rPr>
        <w:t>棉花期货主力合约日走势图及支撑位、阻力位</w:t>
      </w: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spacing w:line="360" w:lineRule="auto"/>
        <w:rPr>
          <w:rFonts w:hint="eastAsia" w:ascii="仿宋" w:hAnsi="仿宋" w:eastAsia="仿宋"/>
          <w:sz w:val="24"/>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bookmarkStart w:id="4" w:name="_GoBack"/>
      <w:bookmarkEnd w:id="4"/>
    </w:p>
    <w:p>
      <w:pPr>
        <w:spacing w:line="360" w:lineRule="auto"/>
        <w:rPr>
          <w:rFonts w:hint="eastAsia"/>
          <w:lang w:val="en-US" w:eastAsia="zh-CN"/>
        </w:rPr>
      </w:pPr>
      <w:r>
        <mc:AlternateContent>
          <mc:Choice Requires="wps">
            <w:drawing>
              <wp:anchor distT="0" distB="0" distL="114300" distR="114300" simplePos="0" relativeHeight="251663360"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3360;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6"/>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2336;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auto"/>
    <w:pitch w:val="default"/>
    <w:sig w:usb0="00000001" w:usb1="080E0000" w:usb2="00000000" w:usb3="00000000" w:csb0="00040000" w:csb1="00000000"/>
  </w:font>
  <w:font w:name="汉仪仿宋简">
    <w:panose1 w:val="02010600000101010101"/>
    <w:charset w:val="80"/>
    <w:family w:val="auto"/>
    <w:pitch w:val="default"/>
    <w:sig w:usb0="800002BF" w:usb1="184F6CF8" w:usb2="00000012" w:usb3="00000000" w:csb0="0002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兰亭超细黑简体" w:hAnsi="PMingLiU" w:eastAsia="方正兰亭超细黑简体"/>
        <w:b/>
        <w:color w:val="C00000"/>
        <w:sz w:val="36"/>
      </w:rPr>
    </w:pPr>
    <w: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60288;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drawing>
        <wp:anchor distT="0" distB="0" distL="114300" distR="114300" simplePos="0" relativeHeight="251659264" behindDoc="1" locked="0" layoutInCell="1" allowOverlap="1">
          <wp:simplePos x="0" y="0"/>
          <wp:positionH relativeFrom="column">
            <wp:posOffset>3985895</wp:posOffset>
          </wp:positionH>
          <wp:positionV relativeFrom="paragraph">
            <wp:posOffset>-594360</wp:posOffset>
          </wp:positionV>
          <wp:extent cx="2187575" cy="483235"/>
          <wp:effectExtent l="0" t="0" r="3175" b="0"/>
          <wp:wrapThrough wrapText="bothSides">
            <wp:wrapPolygon>
              <wp:start x="1129" y="0"/>
              <wp:lineTo x="0" y="3406"/>
              <wp:lineTo x="0" y="17030"/>
              <wp:lineTo x="1129" y="20436"/>
              <wp:lineTo x="3574" y="20436"/>
              <wp:lineTo x="21443" y="17882"/>
              <wp:lineTo x="21443" y="852"/>
              <wp:lineTo x="3574" y="0"/>
              <wp:lineTo x="1129" y="0"/>
            </wp:wrapPolygon>
          </wp:wrapThrough>
          <wp:docPr id="6" name="圖片 5" descr="X:\12. 其他\RUIDA\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descr="X:\12. 其他\RUIDA\Logo short.jpg"/>
                  <pic:cNvPicPr>
                    <a:picLocks noChangeAspect="1" noChangeArrowheads="1"/>
                  </pic:cNvPicPr>
                </pic:nvPicPr>
                <pic:blipFill>
                  <a:blip r:embed="rId1"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a:xfrm>
                    <a:off x="0" y="0"/>
                    <a:ext cx="2187575" cy="483235"/>
                  </a:xfrm>
                  <a:prstGeom prst="rect">
                    <a:avLst/>
                  </a:prstGeom>
                  <a:noFill/>
                  <a:ln>
                    <a:noFill/>
                  </a:ln>
                </pic:spPr>
              </pic:pic>
            </a:graphicData>
          </a:graphic>
        </wp:anchor>
      </w:drawing>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F05F9C"/>
    <w:rsid w:val="1AF84CC0"/>
    <w:rsid w:val="1AFF1D9F"/>
    <w:rsid w:val="1AFF3718"/>
    <w:rsid w:val="1B0504F7"/>
    <w:rsid w:val="1B130A8B"/>
    <w:rsid w:val="1B226B02"/>
    <w:rsid w:val="1B3336F9"/>
    <w:rsid w:val="1B377E2E"/>
    <w:rsid w:val="1B417862"/>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3F40C4"/>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qFormat/>
    <w:uiPriority w:val="99"/>
    <w:pPr>
      <w:jc w:val="left"/>
    </w:pPr>
    <w:rPr>
      <w:rFonts w:ascii="Cambria" w:hAnsi="Cambria" w:eastAsia="PMingLiU" w:cs="Times New Roman"/>
      <w:sz w:val="20"/>
      <w:szCs w:val="20"/>
      <w:lang w:eastAsia="zh-TW"/>
    </w:rPr>
  </w:style>
  <w:style w:type="paragraph" w:styleId="7">
    <w:name w:val="Date"/>
    <w:basedOn w:val="1"/>
    <w:next w:val="1"/>
    <w:link w:val="42"/>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qFormat/>
    <w:uiPriority w:val="22"/>
    <w:rPr>
      <w:b/>
    </w:rPr>
  </w:style>
  <w:style w:type="character" w:styleId="17">
    <w:name w:val="FollowedHyperlink"/>
    <w:basedOn w:val="15"/>
    <w:unhideWhenUsed/>
    <w:qFormat/>
    <w:uiPriority w:val="99"/>
    <w:rPr>
      <w:color w:val="444444"/>
      <w:u w:val="none"/>
    </w:rPr>
  </w:style>
  <w:style w:type="character" w:styleId="18">
    <w:name w:val="Emphasis"/>
    <w:basedOn w:val="15"/>
    <w:qFormat/>
    <w:uiPriority w:val="20"/>
    <w:rPr>
      <w:i/>
    </w:rPr>
  </w:style>
  <w:style w:type="character" w:styleId="19">
    <w:name w:val="HTML Definition"/>
    <w:basedOn w:val="15"/>
    <w:unhideWhenUsed/>
    <w:qFormat/>
    <w:uiPriority w:val="99"/>
    <w:rPr>
      <w:i/>
      <w:color w:val="E2544A"/>
      <w:sz w:val="27"/>
      <w:szCs w:val="27"/>
    </w:rPr>
  </w:style>
  <w:style w:type="character" w:styleId="20">
    <w:name w:val="HTML Variable"/>
    <w:basedOn w:val="15"/>
    <w:unhideWhenUsed/>
    <w:qFormat/>
    <w:uiPriority w:val="99"/>
    <w:rPr>
      <w:i/>
    </w:rPr>
  </w:style>
  <w:style w:type="character" w:styleId="21">
    <w:name w:val="Hyperlink"/>
    <w:basedOn w:val="15"/>
    <w:unhideWhenUsed/>
    <w:qFormat/>
    <w:uiPriority w:val="99"/>
    <w:rPr>
      <w:color w:val="0000FF" w:themeColor="hyperlink"/>
      <w:u w:val="single"/>
      <w14:textFill>
        <w14:solidFill>
          <w14:schemeClr w14:val="hlink"/>
        </w14:solidFill>
      </w14:textFill>
    </w:rPr>
  </w:style>
  <w:style w:type="character" w:styleId="22">
    <w:name w:val="HTML Code"/>
    <w:basedOn w:val="15"/>
    <w:unhideWhenUsed/>
    <w:qFormat/>
    <w:uiPriority w:val="99"/>
    <w:rPr>
      <w:rFonts w:ascii="Courier New" w:hAnsi="Courier New" w:eastAsia="Courier New" w:cs="Courier New"/>
      <w:sz w:val="20"/>
    </w:rPr>
  </w:style>
  <w:style w:type="character" w:styleId="23">
    <w:name w:val="HTML Cite"/>
    <w:basedOn w:val="15"/>
    <w:unhideWhenUsed/>
    <w:qFormat/>
    <w:uiPriority w:val="99"/>
    <w:rPr>
      <w:i/>
      <w:u w:val="none"/>
    </w:rPr>
  </w:style>
  <w:style w:type="character" w:styleId="24">
    <w:name w:val="HTML Keyboard"/>
    <w:basedOn w:val="15"/>
    <w:unhideWhenUsed/>
    <w:qFormat/>
    <w:uiPriority w:val="99"/>
    <w:rPr>
      <w:rFonts w:hint="default" w:ascii="Courier New" w:hAnsi="Courier New" w:eastAsia="Courier New" w:cs="Courier New"/>
      <w:sz w:val="20"/>
    </w:rPr>
  </w:style>
  <w:style w:type="character" w:styleId="25">
    <w:name w:val="HTML Sample"/>
    <w:basedOn w:val="15"/>
    <w:unhideWhenUsed/>
    <w:qFormat/>
    <w:uiPriority w:val="99"/>
    <w:rPr>
      <w:rFonts w:hint="default" w:ascii="Courier New" w:hAnsi="Courier New" w:eastAsia="Courier New" w:cs="Courier New"/>
    </w:rPr>
  </w:style>
  <w:style w:type="character" w:customStyle="1" w:styleId="26">
    <w:name w:val="标题 Char"/>
    <w:basedOn w:val="15"/>
    <w:link w:val="13"/>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qFormat/>
    <w:uiPriority w:val="99"/>
    <w:rPr>
      <w:kern w:val="0"/>
      <w:sz w:val="22"/>
      <w:lang w:eastAsia="ja-JP"/>
    </w:rPr>
  </w:style>
  <w:style w:type="character" w:customStyle="1" w:styleId="29">
    <w:name w:val="批注框文本 Char"/>
    <w:basedOn w:val="15"/>
    <w:link w:val="8"/>
    <w:semiHidden/>
    <w:qFormat/>
    <w:uiPriority w:val="99"/>
    <w:rPr>
      <w:kern w:val="0"/>
      <w:sz w:val="18"/>
      <w:szCs w:val="18"/>
      <w:lang w:eastAsia="en-US"/>
    </w:rPr>
  </w:style>
  <w:style w:type="character" w:customStyle="1" w:styleId="30">
    <w:name w:val="页脚 Char"/>
    <w:basedOn w:val="15"/>
    <w:link w:val="9"/>
    <w:qFormat/>
    <w:uiPriority w:val="99"/>
    <w:rPr>
      <w:kern w:val="0"/>
      <w:sz w:val="18"/>
      <w:szCs w:val="18"/>
      <w:lang w:eastAsia="en-US"/>
    </w:rPr>
  </w:style>
  <w:style w:type="paragraph" w:customStyle="1" w:styleId="31">
    <w:name w:val="列表段落1"/>
    <w:basedOn w:val="1"/>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qFormat/>
    <w:uiPriority w:val="99"/>
    <w:pPr>
      <w:ind w:left="480" w:leftChars="200"/>
      <w:jc w:val="left"/>
    </w:pPr>
    <w:rPr>
      <w:rFonts w:eastAsia="PMingLiU" w:cs="Times New Roman"/>
      <w:sz w:val="24"/>
      <w:szCs w:val="22"/>
      <w:lang w:eastAsia="zh-TW"/>
    </w:rPr>
  </w:style>
  <w:style w:type="paragraph" w:customStyle="1" w:styleId="33">
    <w:name w:val="列出段落11"/>
    <w:basedOn w:val="1"/>
    <w:qFormat/>
    <w:uiPriority w:val="99"/>
    <w:pPr>
      <w:ind w:left="480" w:leftChars="200"/>
      <w:jc w:val="left"/>
    </w:pPr>
    <w:rPr>
      <w:rFonts w:eastAsia="PMingLiU" w:cs="Times New Roman"/>
      <w:sz w:val="24"/>
      <w:szCs w:val="22"/>
      <w:lang w:eastAsia="zh-TW"/>
    </w:rPr>
  </w:style>
  <w:style w:type="character" w:customStyle="1" w:styleId="34">
    <w:name w:val="first-child"/>
    <w:basedOn w:val="15"/>
    <w:qFormat/>
    <w:uiPriority w:val="0"/>
  </w:style>
  <w:style w:type="character" w:customStyle="1" w:styleId="35">
    <w:name w:val="layui-layer-tabnow"/>
    <w:basedOn w:val="15"/>
    <w:qFormat/>
    <w:uiPriority w:val="0"/>
    <w:rPr>
      <w:bdr w:val="single" w:color="CCCCCC" w:sz="6" w:space="0"/>
      <w:shd w:val="clear" w:color="auto" w:fill="FFFFFF"/>
    </w:rPr>
  </w:style>
  <w:style w:type="character" w:customStyle="1" w:styleId="36">
    <w:name w:val="before"/>
    <w:basedOn w:val="15"/>
    <w:qFormat/>
    <w:uiPriority w:val="0"/>
  </w:style>
  <w:style w:type="character" w:customStyle="1" w:styleId="37">
    <w:name w:val="before1"/>
    <w:basedOn w:val="15"/>
    <w:qFormat/>
    <w:uiPriority w:val="0"/>
  </w:style>
  <w:style w:type="character" w:customStyle="1" w:styleId="38">
    <w:name w:val="popup-keyword1"/>
    <w:basedOn w:val="15"/>
    <w:qFormat/>
    <w:uiPriority w:val="0"/>
  </w:style>
  <w:style w:type="character" w:customStyle="1" w:styleId="39">
    <w:name w:val="popup-keyword"/>
    <w:basedOn w:val="15"/>
    <w:qFormat/>
    <w:uiPriority w:val="0"/>
  </w:style>
  <w:style w:type="character" w:customStyle="1" w:styleId="40">
    <w:name w:val="标题 2 Char"/>
    <w:basedOn w:val="15"/>
    <w:link w:val="3"/>
    <w:qFormat/>
    <w:uiPriority w:val="9"/>
    <w:rPr>
      <w:rFonts w:ascii="宋体" w:hAnsi="宋体" w:cs="宋体"/>
      <w:b/>
      <w:bCs/>
      <w:sz w:val="36"/>
      <w:szCs w:val="36"/>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qFormat/>
    <w:uiPriority w:val="0"/>
  </w:style>
  <w:style w:type="character" w:customStyle="1" w:styleId="45">
    <w:name w:val="标题 4 Char"/>
    <w:basedOn w:val="15"/>
    <w:link w:val="5"/>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qFormat/>
    <w:uiPriority w:val="0"/>
  </w:style>
  <w:style w:type="character" w:customStyle="1" w:styleId="47">
    <w:name w:val="标题 3 Char"/>
    <w:basedOn w:val="15"/>
    <w:link w:val="4"/>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qFormat/>
    <w:uiPriority w:val="0"/>
  </w:style>
  <w:style w:type="paragraph" w:customStyle="1" w:styleId="49">
    <w:name w:val="列表段落2"/>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qFormat/>
    <w:uiPriority w:val="99"/>
    <w:pPr>
      <w:ind w:firstLine="420" w:firstLineChars="200"/>
    </w:pPr>
  </w:style>
  <w:style w:type="paragraph" w:customStyle="1" w:styleId="56">
    <w:name w:val="列表段落9"/>
    <w:basedOn w:val="1"/>
    <w:qFormat/>
    <w:uiPriority w:val="99"/>
    <w:pPr>
      <w:ind w:firstLine="420" w:firstLineChars="200"/>
    </w:pPr>
  </w:style>
  <w:style w:type="paragraph" w:customStyle="1" w:styleId="57">
    <w:name w:val="列表段落10"/>
    <w:basedOn w:val="1"/>
    <w:qFormat/>
    <w:uiPriority w:val="99"/>
    <w:pPr>
      <w:ind w:firstLine="420" w:firstLineChars="200"/>
    </w:pPr>
  </w:style>
  <w:style w:type="paragraph" w:customStyle="1" w:styleId="58">
    <w:name w:val="列表段落11"/>
    <w:basedOn w:val="1"/>
    <w:qFormat/>
    <w:uiPriority w:val="99"/>
    <w:pPr>
      <w:ind w:firstLine="420" w:firstLineChars="200"/>
    </w:pPr>
  </w:style>
  <w:style w:type="paragraph" w:customStyle="1" w:styleId="59">
    <w:name w:val="列出段落2"/>
    <w:basedOn w:val="1"/>
    <w:qFormat/>
    <w:uiPriority w:val="99"/>
    <w:pPr>
      <w:ind w:firstLine="420" w:firstLineChars="200"/>
    </w:pPr>
  </w:style>
  <w:style w:type="paragraph" w:customStyle="1" w:styleId="60">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unhideWhenUsed/>
    <w:qFormat/>
    <w:uiPriority w:val="99"/>
    <w:pPr>
      <w:ind w:firstLine="420" w:firstLineChars="200"/>
    </w:pPr>
  </w:style>
  <w:style w:type="paragraph" w:styleId="6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0</TotalTime>
  <ScaleCrop>false</ScaleCrop>
  <LinksUpToDate>false</LinksUpToDate>
  <CharactersWithSpaces>3502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2023-12-27T01:08:52Z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F345224E421B441ABB0A80670BFC58E1_13</vt:lpwstr>
  </property>
</Properties>
</file>