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美联储会议纪要显示，美联储官员在去年12月的会议上一致认为，始于2022年的加息周期可能已经结束。</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他们指出，通胀有所放缓，尤其是六个月年化通胀率，而且有迹象显示供应链正在恢复正常，而且随着更多的人加入劳动力市场，劳动力市场开始放松。他们还说，将利率提高到5%以上抑制了消费者需求，从而使通胀有所缓和。他们没有讨论何时开始降息。</w:t>
      </w:r>
      <w:r>
        <w:rPr>
          <w:rFonts w:hint="eastAsia" w:ascii="仿宋" w:hAnsi="仿宋" w:eastAsia="仿宋" w:cs="仿宋"/>
          <w:b w:val="0"/>
          <w:bCs w:val="0"/>
          <w:color w:val="000000" w:themeColor="text1"/>
          <w:sz w:val="24"/>
          <w:szCs w:val="24"/>
          <w:u w:val="none"/>
          <w14:textFill>
            <w14:solidFill>
              <w14:schemeClr w14:val="tx1"/>
            </w14:solidFill>
          </w14:textFill>
        </w:rPr>
        <w:t>美联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点阵图显示该行计划在2024年降息三次。</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美联储票委巴尔金就经济前景发表讲话称，对通胀和经济信心将决定利率路径；</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美联储在通胀问题上正在取得实质性进展，而经济仍保持健康状态；软着陆看起来更有可能，但并非必然；美联储进一步加息可能性仍然存在。</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欧洲央行将于2024年对银行进行网络压力测试，评估银行对网络攻击应对和恢复能力，而非其预防能力。</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w:t>
      </w:r>
      <w:r>
        <w:rPr>
          <w:rFonts w:hint="eastAsia" w:ascii="仿宋" w:hAnsi="仿宋" w:eastAsia="仿宋" w:cs="仿宋"/>
          <w:b w:val="0"/>
          <w:bCs w:val="0"/>
          <w:color w:val="000000" w:themeColor="text1"/>
          <w:sz w:val="24"/>
          <w:szCs w:val="24"/>
          <w:u w:val="none"/>
          <w14:textFill>
            <w14:solidFill>
              <w14:schemeClr w14:val="tx1"/>
            </w14:solidFill>
          </w14:textFill>
        </w:rPr>
        <w:t>ISM制造业PMI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为47.4，预期47.1，前值46.7。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美国上周MBA30年期固定抵押贷款利率为6.76%，前值6.83%；申请活动指数为173.5，前值191.6；购买指数为140.7，前值148.7；再融资活动指数为358.2，前值437.6。</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截至1月2日，美国担保隔夜融资利率（SOFR）利率固定在5.40%，与历史最高水平一致。</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德国2023年12月季调后失业率5.9%，与预期及前值一致；季调后失业人数新增0.5万人，预期2万人，前值2.2万人；季调后失业总人数 270.3万人，前值270.2万人。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09:45 中国12月财新服务业PMI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法国12月CPI月率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16:50 法国12月服务业PMI终值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德国12月服务业PMI终值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欧元区12月服务业PMI终值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英国11月央行抵押贷款许可</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英国12月服务业PMI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美国12月挑战者企业裁员人数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21:00 德国12月CPI月率初值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美国12月ADP就业人数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美国至12月30日当周初请失业金人数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美国12月Markit服务业PMI终值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美国12月全球供应链压力指数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美国至12月29日当周EIA天然气库存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美国至12月29日当周EIA原油库存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美国至12月29日当周EIA库欣原油库存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次日00:00 美国至12月29日当周EIA战略石油储备库存</w:t>
      </w:r>
    </w:p>
    <w:p>
      <w:pPr>
        <w:pStyle w:val="31"/>
        <w:widowControl/>
        <w:numPr>
          <w:ilvl w:val="0"/>
          <w:numId w:val="0"/>
        </w:numPr>
        <w:tabs>
          <w:tab w:val="left" w:pos="360"/>
        </w:tabs>
        <w:spacing w:afterLines="100" w:line="360" w:lineRule="auto"/>
        <w:ind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1月4日（周四），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跌0.76%报37430.19点，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跌0.8%报4704.81点，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跌1.18%报14592.21点。国际金属期货普遍收跌，</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跌0.35%报8515美元/吨，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跌1.15%报2049.6美元/盎司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跌3.14%报23.2美元/盎司。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20.85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涨1.24</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80.93</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夜盘美元指数涨0.22%报102.47，非美货币多数下跌，欧元兑美元跌0.17%报1.0922，英镑兑美元涨0.38%报1.2668，澳元兑美元跌0.43%报0.6732，美元兑日元涨0.92%报143.29。昨日公布的最新美联储会议纪要显示，美联储官员在去年12月的会议上一致认为未来或不再加息，通胀有所放缓，尤其是六个月年化通胀率，同时迹象显示供应链正在恢复正常。随着更多的人加入劳动力市场，劳动力市场供需逐渐走向平衡。他们还说，将利率提高到5%以上抑制了消费者需求，从而使通胀有所缓和。然而本次会议并未讨论何时开始降息，美联点阵图显示2024年有三次25基点的降息机会。美国2023年12月ISM制造业PMI为47.4，预期47.1，前值46.7，制造业PMI再次走强或暗示整体经济活跃度有所回升。往后看，短期内美元指数及美债收益率对降息预期计价相对充分，在经济数据尚未显著回落的情况下预期或将有所回调，利率预期上升或有利美元指数上调。</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4150" cy="1443990"/>
            <wp:effectExtent l="0" t="0" r="1270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4150" cy="144399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截至1月4日，标普500指数收跌0.80%至4704.81点；迷你标普500主力合约收跌0.83%至4748.75点。</w:t>
      </w:r>
      <w:r>
        <w:rPr>
          <w:rFonts w:hint="eastAsia" w:ascii="仿宋" w:hAnsi="仿宋" w:eastAsia="仿宋" w:cs="仿宋"/>
          <w:bCs/>
          <w:sz w:val="24"/>
          <w:szCs w:val="24"/>
        </w:rPr>
        <w:t>美股周三收跌。纳指连续第四个交易日下挫，标普指数连续第三日走低。10年期美国国债收益率突破4%之后回落。美联储12月货币政策会议纪要显示，货币政策制定者们认为2024年降息的可能性很高，但利率路径高度不确定。</w:t>
      </w:r>
      <w:r>
        <w:rPr>
          <w:rFonts w:hint="eastAsia" w:ascii="仿宋" w:hAnsi="仿宋" w:eastAsia="仿宋" w:cs="仿宋"/>
          <w:sz w:val="24"/>
          <w:szCs w:val="24"/>
        </w:rPr>
        <w:t>策略上，指数短线回调，逢低试多。详细支撑阻力位请见图表4。</w:t>
      </w:r>
    </w:p>
    <w:p>
      <w:pPr>
        <w:pStyle w:val="31"/>
        <w:numPr>
          <w:numId w:val="0"/>
        </w:numPr>
        <w:spacing w:line="360" w:lineRule="auto"/>
        <w:ind w:leftChars="0"/>
        <w:rPr>
          <w:rFonts w:hint="eastAsia" w:ascii="仿宋" w:hAnsi="仿宋" w:eastAsia="仿宋" w:cs="仿宋"/>
          <w:b/>
          <w:color w:val="002060"/>
          <w:sz w:val="24"/>
          <w:szCs w:val="24"/>
          <w:lang w:eastAsia="zh-CN"/>
        </w:rPr>
      </w:pPr>
      <w:r>
        <w:rPr>
          <w:rFonts w:hint="eastAsia" w:ascii="仿宋" w:hAnsi="仿宋" w:eastAsia="仿宋" w:cs="仿宋"/>
          <w:b/>
          <w:sz w:val="24"/>
          <w:szCs w:val="24"/>
        </w:rPr>
        <w:drawing>
          <wp:inline distT="0" distB="0" distL="0" distR="0">
            <wp:extent cx="5274310" cy="19424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5274310" cy="1942465"/>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bookmarkStart w:id="2" w:name="_GoBack"/>
      <w:r>
        <w:rPr>
          <w:rFonts w:hint="eastAsia" w:ascii="仿宋" w:hAnsi="仿宋" w:eastAsia="仿宋" w:cs="仿宋"/>
          <w:sz w:val="24"/>
          <w:szCs w:val="24"/>
        </w:rPr>
        <w:t>截至1月3日，富时中国A50指数收涨0.04%至11311.34点；新交所富时A50期指主力合约收涨0.11%至11318点</w:t>
      </w:r>
      <w:r>
        <w:rPr>
          <w:rFonts w:hint="eastAsia" w:ascii="仿宋" w:hAnsi="仿宋" w:eastAsia="仿宋" w:cs="仿宋"/>
          <w:bCs/>
          <w:sz w:val="24"/>
          <w:szCs w:val="24"/>
        </w:rPr>
        <w:t>。基本面上，从当前边际变化来看，积极信号正在发生，年内利润压力最大的时段或已经过去。当前市场已较充分计价基本面下行压力，短期指数估值、两市成交额已经降至历史低位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bookmarkEnd w:id="2"/>
    <w:p>
      <w:pPr>
        <w:rPr>
          <w:rFonts w:ascii="新宋体" w:hAnsi="新宋体" w:eastAsia="新宋体"/>
        </w:rPr>
      </w:pPr>
      <w:r>
        <w:rPr>
          <w:rFonts w:ascii="新宋体" w:hAnsi="新宋体" w:eastAsia="新宋体"/>
        </w:rPr>
        <w:drawing>
          <wp:inline distT="0" distB="0" distL="0" distR="0">
            <wp:extent cx="5274310" cy="19240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2405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强，交投于102.47。美债收益率涨跌互现，10年期美债收益率盘中自12月14日以来首次攀升至4%以上，随后回吐日内全部涨幅，最终收报3.92%；对美联储政策利率更敏感的两年期美债收益率收报4.333%。</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库存方面：截至1月3日，LME铜库存为165700吨，环比持平。12月29日当周，上海期货交易所阴极铜库存为30905吨，周环比2187吨。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外盘持仓方面：根据CFTC公布的最新数据显示，截止至12月26日当周，非商业多头持仓73086手，空头为66009手，净多持仓为7077手，较上周净多增加1518手。</w:t>
      </w:r>
    </w:p>
    <w:p>
      <w:pPr>
        <w:spacing w:line="360" w:lineRule="auto"/>
        <w:ind w:firstLine="480" w:firstLineChars="200"/>
        <w:rPr>
          <w:rFonts w:ascii="宋体" w:hAnsi="宋体" w:eastAsia="宋体"/>
          <w:color w:val="000000" w:themeColor="text1"/>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3.872美元/磅，跌幅0.23%。国际方面，美国12月制造业PMI升至47.4，此前连续两个月保持在46.7不变。这是PMI连续第14个月低于50，为自2000年8月至2002年1月以来持续时间最长的一次。美联储会议纪要显示，美联储官员一致认为加息周期可能已经结束，没有讨论何时开始降息。国内方面，1月3日，进行140亿元7天期逆回购操作，中标利率为1.80%，与此前持平。因有5720亿元逆回购到期，实现净回笼5580亿元。基本面上，据ICSG统计，截至2023年 10月，全球供需平衡当月状态为供给缺口，当月值为-5.3万吨。国内11月表观消费较10月小幅增长，库存方面仍保持低水位运行，整体需求表现偏暖。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7379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3799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公布的最新美联储会议纪要显示，美联储官员在去年12月的会议上一致认为未来或不再加息，通胀有所放缓，尤其是六个月年化通胀率，同时迹象显示供应链正在恢复正常。随着更多的人加入劳动力市场，劳动力市场供需逐渐走向平衡。他们还说，将利率提高到5%以上抑制了消费者需求，从而使通胀有所缓和。然而本次会议并未讨论何时开始降息，美联点阵图显示2024年有三次25基点的降息机会。美国2023年12月ISM制造业PMI为47.4，预期47.1，前值46.7，制造业PMI再次走强或暗示整体经济活跃度有所回升。</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874.21</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减少4.33吨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美元指数及美债收益率对降息预期计价相对充分，在经济数据尚未显著回落的情况下预期或将有所回调，利率预期上升或有利美元指数及美债收益率回涨。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5580" cy="1461770"/>
            <wp:effectExtent l="0" t="0" r="127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75580" cy="146177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分析师克莱格欧拉姆表示，今日油价上涨是因为，利比亚最大油田因抗议活动而关闭，以及红海船只继续受到袭击。</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在欧佩克成员国利比亚，抗议活动迫使日产30万桶的沙拉拉油田停产。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中东，以色列和哈马斯组织的战争延伸至黎巴嫩，因为哈马斯的高级领导人在贝鲁特遭到暗杀，以色列还加强了对加沙地带的轰炸。黎巴嫩真主党领导人警告说，哈马斯高级领导人被杀是以色列“犯下的严重罪行，我们不能对此保持沉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红海，也门胡塞武装继续袭击船只。此前美国海军曾在周日击沉胡塞武装的三艘快艇，并杀死船上的10名人员。周一伊朗派一艘军舰进入红海。红海事态令人担心冲突扩大，可能导致红海以及波斯湾等重要的石油运输水道关闭。</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在欧佩克成员国伊朗，在纪念2020年被美国无人机杀害的最高指挥官卡西姆苏莱马尼的仪式上，两起炸弹爆炸事件造成100多人死亡，数十人受伤。</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欧佩克里面周三表示，在安哥拉上个月宣布退出该组织后，该联盟内的合作与对话将继续进行。消息人士称，欧佩克联盟计划于2月1日召开会议，审查最新减产的实施情况。</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纽约商品期货交易所（NYMEX）的西德克萨斯中质原油（WTI）2月合约较上一交易日上涨2.32美元或3.30%，报72.70美元/桶，短期呈现宽幅震荡走势。支撑位：70；压力位：74.2。</w:t>
      </w:r>
    </w:p>
    <w:p/>
    <w:p>
      <w:r>
        <w:drawing>
          <wp:inline distT="0" distB="0" distL="0" distR="0">
            <wp:extent cx="5274310" cy="29006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290068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洲际期货交易所（ICE）原糖期货周三几无变动，市场仍继续受到印度和泰国糖歉收支撑。交投最活跃的ICE 3月原糖期货合约收盘收跌0.05美分或0.1%，结算价每磅20.85美分。操作上，建议3月 ICE 原糖短期观望为主。</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1135" cy="2152650"/>
            <wp:effectExtent l="0" t="0" r="5715" b="0"/>
            <wp:docPr id="16" name="图片 16" descr="620a840557ffebd355daae8886c9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20a840557ffebd355daae8886c9e12"/>
                    <pic:cNvPicPr>
                      <a:picLocks noChangeAspect="1"/>
                    </pic:cNvPicPr>
                  </pic:nvPicPr>
                  <pic:blipFill>
                    <a:blip r:embed="rId14"/>
                    <a:stretch>
                      <a:fillRect/>
                    </a:stretch>
                  </pic:blipFill>
                  <pic:spPr>
                    <a:xfrm>
                      <a:off x="0" y="0"/>
                      <a:ext cx="5271135" cy="215265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洲际交易所(ICE)棉花期货周三上涨，因受巴西棉花出口出现困难，且市场预计美棉种植面积缩减。交投最活跃的ICE 3月期棉收涨0.99美分或1.24%，结算价报80.93美分/磅。操作上，建议3月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8595" cy="2149475"/>
            <wp:effectExtent l="0" t="0" r="8255" b="3175"/>
            <wp:docPr id="19" name="图片 19" descr="65f66d324d17ac6038e2b4a146ec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5f66d324d17ac6038e2b4a146eca76"/>
                    <pic:cNvPicPr>
                      <a:picLocks noChangeAspect="1"/>
                    </pic:cNvPicPr>
                  </pic:nvPicPr>
                  <pic:blipFill>
                    <a:blip r:embed="rId15"/>
                    <a:stretch>
                      <a:fillRect/>
                    </a:stretch>
                  </pic:blipFill>
                  <pic:spPr>
                    <a:xfrm>
                      <a:off x="0" y="0"/>
                      <a:ext cx="5268595" cy="21494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17</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2024-01-04T01:22:54Z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105F09AFA9E549219AB5DF4C09D0B8FD_13</vt:lpwstr>
  </property>
</Properties>
</file>