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Theme="minorEastAsia"/>
          <w:b/>
          <w:bCs/>
          <w:lang w:val="en-US" w:eastAsia="zh-CN"/>
        </w:rPr>
      </w:pPr>
      <w:bookmarkStart w:id="0" w:name="_GoBack"/>
      <w:r>
        <w:rPr>
          <w:rFonts w:hint="eastAsia"/>
          <w:b/>
          <w:bCs/>
          <w:lang w:val="en-US" w:eastAsia="zh-CN"/>
        </w:rPr>
        <w:t>投资日经225指数的可选项</w:t>
      </w:r>
    </w:p>
    <w:bookmarkEnd w:id="0"/>
    <w:p>
      <w:pPr>
        <w:spacing w:line="360" w:lineRule="auto"/>
        <w:ind w:firstLine="420" w:firstLineChars="200"/>
        <w:rPr>
          <w:rFonts w:hint="eastAsia"/>
          <w:b w:val="0"/>
          <w:bCs w:val="0"/>
        </w:rPr>
      </w:pPr>
      <w:r>
        <w:rPr>
          <w:rFonts w:hint="eastAsia"/>
          <w:b w:val="0"/>
          <w:bCs w:val="0"/>
        </w:rPr>
        <w:t>近日，华夏野村日经ETF成为各路资金追捧的对象。截至1月1</w:t>
      </w:r>
      <w:r>
        <w:rPr>
          <w:b w:val="0"/>
          <w:bCs w:val="0"/>
        </w:rPr>
        <w:t>6</w:t>
      </w:r>
      <w:r>
        <w:rPr>
          <w:rFonts w:hint="eastAsia"/>
          <w:b w:val="0"/>
          <w:bCs w:val="0"/>
        </w:rPr>
        <w:t>日开盘，华夏野村日经ETF已连续上涨6个交易日，涨势强势。早盘低开高走大涨超</w:t>
      </w:r>
      <w:r>
        <w:rPr>
          <w:b w:val="0"/>
          <w:bCs w:val="0"/>
        </w:rPr>
        <w:t>9%，溢价率一度上升逼近24%，带动另外3只日经ETF产品盘中翻红，引发市场资金高度关注</w:t>
      </w:r>
      <w:r>
        <w:rPr>
          <w:rFonts w:hint="eastAsia"/>
          <w:b w:val="0"/>
          <w:bCs w:val="0"/>
        </w:rPr>
        <w:t>。当天早间，华夏基金便发布开年以来该</w:t>
      </w:r>
      <w:r>
        <w:rPr>
          <w:b w:val="0"/>
          <w:bCs w:val="0"/>
        </w:rPr>
        <w:t>ETF的第四份公告提示风险。公告显示，近期华夏基金旗下华夏野村日经225ETF二级市场交易价格出现较大幅度溢价</w:t>
      </w:r>
      <w:r>
        <w:rPr>
          <w:rFonts w:hint="eastAsia"/>
          <w:b w:val="0"/>
          <w:bCs w:val="0"/>
        </w:rPr>
        <w:t>，</w:t>
      </w:r>
      <w:r>
        <w:rPr>
          <w:b w:val="0"/>
          <w:bCs w:val="0"/>
        </w:rPr>
        <w:t>特此提示投资者关注二级市场交易价格溢价风险，投资者如果盲目投资，可能遭受重大损失。</w:t>
      </w:r>
      <w:r>
        <w:rPr>
          <w:rFonts w:hint="eastAsia"/>
          <w:b w:val="0"/>
          <w:bCs w:val="0"/>
        </w:rPr>
        <w:t>日经ETF产生高溢价的原因或主要为以下两个方面。</w:t>
      </w:r>
    </w:p>
    <w:p>
      <w:pPr>
        <w:spacing w:line="360" w:lineRule="auto"/>
        <w:jc w:val="center"/>
        <w:rPr>
          <w:rFonts w:hint="default" w:eastAsiaTheme="minorEastAsia"/>
          <w:b/>
          <w:bCs/>
          <w:lang w:val="en-US" w:eastAsia="zh-CN"/>
        </w:rPr>
      </w:pPr>
      <w:r>
        <w:rPr>
          <w:rFonts w:hint="eastAsia"/>
          <w:b/>
          <w:bCs/>
          <w:lang w:val="en-US" w:eastAsia="zh-CN"/>
        </w:rPr>
        <w:t>图1华夏野村日经225ETF与日经225指数走势</w:t>
      </w:r>
    </w:p>
    <w:p>
      <w:pPr>
        <w:spacing w:line="360" w:lineRule="auto"/>
        <w:rPr>
          <w:rFonts w:hint="eastAsia" w:eastAsiaTheme="minorEastAsia"/>
          <w:b w:val="0"/>
          <w:bCs w:val="0"/>
          <w:lang w:eastAsia="zh-CN"/>
        </w:rPr>
      </w:pPr>
      <w:r>
        <w:rPr>
          <w:rFonts w:hint="eastAsia" w:eastAsiaTheme="minorEastAsia"/>
          <w:b w:val="0"/>
          <w:bCs w:val="0"/>
          <w:lang w:eastAsia="zh-CN"/>
        </w:rPr>
        <w:drawing>
          <wp:inline distT="0" distB="0" distL="114300" distR="114300">
            <wp:extent cx="5271770" cy="2385695"/>
            <wp:effectExtent l="0" t="0" r="5080" b="14605"/>
            <wp:docPr id="1" name="图片 1" descr="f1042b8b7429b6848593d8545f69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042b8b7429b6848593d8545f693bb"/>
                    <pic:cNvPicPr>
                      <a:picLocks noChangeAspect="1"/>
                    </pic:cNvPicPr>
                  </pic:nvPicPr>
                  <pic:blipFill>
                    <a:blip r:embed="rId4"/>
                    <a:stretch>
                      <a:fillRect/>
                    </a:stretch>
                  </pic:blipFill>
                  <pic:spPr>
                    <a:xfrm>
                      <a:off x="0" y="0"/>
                      <a:ext cx="5271770" cy="2385695"/>
                    </a:xfrm>
                    <a:prstGeom prst="rect">
                      <a:avLst/>
                    </a:prstGeom>
                  </pic:spPr>
                </pic:pic>
              </a:graphicData>
            </a:graphic>
          </wp:inline>
        </w:drawing>
      </w:r>
    </w:p>
    <w:p>
      <w:pPr>
        <w:spacing w:line="360" w:lineRule="auto"/>
        <w:rPr>
          <w:rFonts w:hint="default" w:eastAsiaTheme="minorEastAsia"/>
          <w:b w:val="0"/>
          <w:bCs w:val="0"/>
          <w:i/>
          <w:iCs/>
          <w:sz w:val="18"/>
          <w:szCs w:val="18"/>
          <w:lang w:val="en-US" w:eastAsia="zh-CN"/>
        </w:rPr>
      </w:pPr>
      <w:r>
        <w:rPr>
          <w:rFonts w:hint="eastAsia" w:eastAsiaTheme="minorEastAsia"/>
          <w:b w:val="0"/>
          <w:bCs w:val="0"/>
          <w:i/>
          <w:iCs/>
          <w:sz w:val="18"/>
          <w:szCs w:val="18"/>
          <w:lang w:eastAsia="zh-CN"/>
        </w:rPr>
        <w:t>资料来源：</w:t>
      </w:r>
      <w:r>
        <w:rPr>
          <w:rFonts w:hint="eastAsia"/>
          <w:b w:val="0"/>
          <w:bCs w:val="0"/>
          <w:i/>
          <w:iCs/>
          <w:sz w:val="18"/>
          <w:szCs w:val="18"/>
          <w:lang w:val="en-US" w:eastAsia="zh-CN"/>
        </w:rPr>
        <w:t>Wind,瑞达期货研究院</w:t>
      </w:r>
    </w:p>
    <w:p>
      <w:pPr>
        <w:spacing w:line="360" w:lineRule="auto"/>
        <w:ind w:firstLine="420" w:firstLineChars="200"/>
        <w:rPr>
          <w:b w:val="0"/>
          <w:bCs w:val="0"/>
        </w:rPr>
      </w:pPr>
      <w:r>
        <w:rPr>
          <w:rFonts w:hint="eastAsia"/>
          <w:b w:val="0"/>
          <w:bCs w:val="0"/>
        </w:rPr>
        <w:t>从产品本身性质来看。1、跨境ETF</w:t>
      </w:r>
      <w:r>
        <w:rPr>
          <w:b w:val="0"/>
          <w:bCs w:val="0"/>
        </w:rPr>
        <w:t xml:space="preserve"> </w:t>
      </w:r>
      <w:r>
        <w:rPr>
          <w:rFonts w:hint="eastAsia"/>
          <w:b w:val="0"/>
          <w:bCs w:val="0"/>
        </w:rPr>
        <w:t>T</w:t>
      </w:r>
      <w:r>
        <w:rPr>
          <w:b w:val="0"/>
          <w:bCs w:val="0"/>
        </w:rPr>
        <w:t>0</w:t>
      </w:r>
      <w:r>
        <w:rPr>
          <w:rFonts w:hint="eastAsia"/>
          <w:b w:val="0"/>
          <w:bCs w:val="0"/>
        </w:rPr>
        <w:t>交易的特殊性质。跨境</w:t>
      </w:r>
      <w:r>
        <w:rPr>
          <w:b w:val="0"/>
          <w:bCs w:val="0"/>
        </w:rPr>
        <w:t>ETF可以T+0，</w:t>
      </w:r>
      <w:r>
        <w:rPr>
          <w:rFonts w:hint="eastAsia"/>
          <w:b w:val="0"/>
          <w:bCs w:val="0"/>
        </w:rPr>
        <w:t>意味着投资者</w:t>
      </w:r>
      <w:r>
        <w:rPr>
          <w:b w:val="0"/>
          <w:bCs w:val="0"/>
        </w:rPr>
        <w:t>在一天里可以多次交易，</w:t>
      </w:r>
      <w:r>
        <w:rPr>
          <w:rFonts w:hint="eastAsia"/>
          <w:b w:val="0"/>
          <w:bCs w:val="0"/>
        </w:rPr>
        <w:t>流动性的提升</w:t>
      </w:r>
      <w:r>
        <w:rPr>
          <w:b w:val="0"/>
          <w:bCs w:val="0"/>
        </w:rPr>
        <w:t>为做价差制造了空间，且ETF税费和佣金都很低，更符合高频</w:t>
      </w:r>
      <w:r>
        <w:rPr>
          <w:rFonts w:hint="eastAsia"/>
          <w:b w:val="0"/>
          <w:bCs w:val="0"/>
        </w:rPr>
        <w:t>资金的</w:t>
      </w:r>
      <w:r>
        <w:rPr>
          <w:b w:val="0"/>
          <w:bCs w:val="0"/>
        </w:rPr>
        <w:t>交易需求。</w:t>
      </w:r>
      <w:r>
        <w:rPr>
          <w:rFonts w:hint="eastAsia"/>
          <w:b w:val="0"/>
          <w:bCs w:val="0"/>
        </w:rPr>
        <w:t>此外，日经ETF的溢价相对较高，受到外汇额度的限制，套利资金的额度无法消除溢价价差，为持续高溢价形成机会。2、日经ETF的主要交易方。资本市场中，一般散户和游资或是将溢价行情推高的主要参与者。从华夏野村日经</w:t>
      </w:r>
      <w:r>
        <w:rPr>
          <w:b w:val="0"/>
          <w:bCs w:val="0"/>
        </w:rPr>
        <w:t>ETF持有人结构看，</w:t>
      </w:r>
      <w:r>
        <w:rPr>
          <w:rFonts w:hint="eastAsia"/>
          <w:b w:val="0"/>
          <w:bCs w:val="0"/>
        </w:rPr>
        <w:t>其中</w:t>
      </w:r>
      <w:r>
        <w:rPr>
          <w:b w:val="0"/>
          <w:bCs w:val="0"/>
        </w:rPr>
        <w:t>散户持有人占较高，自2020年以来，个人投资者比例始终维持在80%以上，不过2023年上半年，机构持有者占比增加较多，由年初的12.42%增加至37.87%，且部分私募已早早布局于此。</w:t>
      </w:r>
    </w:p>
    <w:p>
      <w:pPr>
        <w:spacing w:line="360" w:lineRule="auto"/>
        <w:ind w:firstLine="420" w:firstLineChars="200"/>
        <w:rPr>
          <w:rFonts w:hint="eastAsia"/>
          <w:b w:val="0"/>
          <w:bCs w:val="0"/>
        </w:rPr>
      </w:pPr>
      <w:r>
        <w:rPr>
          <w:rFonts w:hint="eastAsia"/>
          <w:b w:val="0"/>
          <w:bCs w:val="0"/>
        </w:rPr>
        <w:t>从市场本身的预期上看，日本股市在最近一年内表现确实相对较为强劲，长期内日股估值相对于美欧股票长期偏低，外资投资性价比提升。</w:t>
      </w:r>
      <w:r>
        <w:rPr>
          <w:b w:val="0"/>
          <w:bCs w:val="0"/>
        </w:rPr>
        <w:t>2023年日经225指数涨幅超过20%，</w:t>
      </w:r>
      <w:r>
        <w:rPr>
          <w:rFonts w:hint="eastAsia"/>
          <w:b w:val="0"/>
          <w:bCs w:val="0"/>
        </w:rPr>
        <w:t>这或意味着市场预期日本经济逐渐走出通缩，企业治理得到改善，以及日本作为亚洲投资多元化目标的吸引力增强。这也直接导致了日经ETF作为持有标的日经股指的经济受到资金的追捧。</w:t>
      </w:r>
    </w:p>
    <w:p>
      <w:pPr>
        <w:spacing w:line="360" w:lineRule="auto"/>
        <w:ind w:firstLine="420" w:firstLineChars="0"/>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而除近期备受关注的跨境日经225ETF外，海外期货交易所在90年代初期便已推出日经225指数期货来增加投资者的投资渠道。日经225指数于期货最早于1986年由新加坡交易所(SGX)推出，日本境内相关的指数期货则于1988年9月由大阪证券交易所（OSE）推动上市，美国芝加哥商品交易所也在1990年上市相关股指期货。在早期，由于市场对于这种新型金融工具的接受仍需要时间，日经225指数期货的交易量相对较为有限。然而，随着时间的推移，日经225指数期货合约逐渐受到投资者的关注，整体流动性在大量交易涌入后也逐渐增强。随着科技的不断发展，全球金融市场同样迎来了电子交易的时代，日经225指数期货也在这一趋势下逐渐实现了电子化交易，交易效率进而逐步提升，同时也吸引了更多来自全球的零售和机构投资者参与。</w:t>
      </w:r>
    </w:p>
    <w:p>
      <w:pPr>
        <w:spacing w:line="360" w:lineRule="auto"/>
        <w:ind w:firstLine="420" w:firstLineChars="0"/>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t>对于国际企业和投资者而言，日经225指数期货为投资者提供了参与日本股票市场的机会，而不必直接购买所有成分股票。全球投资组合经理和机构投资者</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可以</w:t>
      </w:r>
      <w: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t>通过日经225指数期货来实现对日本股市的投资，从而实现资产组合的多元化。</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除此之外，日经225指数的波动也可以间接反映日本经济和亚太地区的整体经济健康状况。因此，全球投资者往往会将日经225指数的走势纳入其全球市场状况的分析中。</w:t>
      </w:r>
    </w:p>
    <w:p>
      <w:pPr>
        <w:spacing w:line="360" w:lineRule="auto"/>
        <w:jc w:val="cente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b/>
          <w:bCs/>
          <w:lang w:val="en-US" w:eastAsia="zh-CN"/>
        </w:rPr>
        <w:t>图2SGX日经225股指期货与日经225指数走势</w:t>
      </w:r>
    </w:p>
    <w:p>
      <w:pPr>
        <w:spacing w:line="360" w:lineRule="auto"/>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drawing>
          <wp:inline distT="0" distB="0" distL="114300" distR="114300">
            <wp:extent cx="5261610" cy="2332990"/>
            <wp:effectExtent l="0" t="0" r="15240" b="10160"/>
            <wp:docPr id="2" name="图片 2" descr="69afed357acad5ad9d49a15d3a3aa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9afed357acad5ad9d49a15d3a3aa09"/>
                    <pic:cNvPicPr>
                      <a:picLocks noChangeAspect="1"/>
                    </pic:cNvPicPr>
                  </pic:nvPicPr>
                  <pic:blipFill>
                    <a:blip r:embed="rId5"/>
                    <a:stretch>
                      <a:fillRect/>
                    </a:stretch>
                  </pic:blipFill>
                  <pic:spPr>
                    <a:xfrm>
                      <a:off x="0" y="0"/>
                      <a:ext cx="5261610" cy="2332990"/>
                    </a:xfrm>
                    <a:prstGeom prst="rect">
                      <a:avLst/>
                    </a:prstGeom>
                  </pic:spPr>
                </pic:pic>
              </a:graphicData>
            </a:graphic>
          </wp:inline>
        </w:drawing>
      </w:r>
    </w:p>
    <w:p>
      <w:pPr>
        <w:spacing w:line="360" w:lineRule="auto"/>
        <w:rPr>
          <w:rFonts w:hint="eastAsia"/>
          <w:b w:val="0"/>
          <w:bCs w:val="0"/>
          <w:i/>
          <w:iCs/>
          <w:sz w:val="18"/>
          <w:szCs w:val="18"/>
          <w:lang w:val="en-US" w:eastAsia="zh-CN"/>
        </w:rPr>
      </w:pPr>
      <w:r>
        <w:rPr>
          <w:rFonts w:hint="eastAsia" w:eastAsiaTheme="minorEastAsia"/>
          <w:b w:val="0"/>
          <w:bCs w:val="0"/>
          <w:i/>
          <w:iCs/>
          <w:sz w:val="18"/>
          <w:szCs w:val="18"/>
          <w:lang w:eastAsia="zh-CN"/>
        </w:rPr>
        <w:t>资料来源：</w:t>
      </w:r>
      <w:r>
        <w:rPr>
          <w:rFonts w:hint="eastAsia"/>
          <w:b w:val="0"/>
          <w:bCs w:val="0"/>
          <w:i/>
          <w:iCs/>
          <w:sz w:val="18"/>
          <w:szCs w:val="18"/>
          <w:lang w:val="en-US" w:eastAsia="zh-CN"/>
        </w:rPr>
        <w:t>Wind,瑞达期货研究院</w:t>
      </w:r>
    </w:p>
    <w:p>
      <w:pPr>
        <w:spacing w:line="360" w:lineRule="auto"/>
        <w:rPr>
          <w:rFonts w:hint="eastAsia"/>
          <w:b w:val="0"/>
          <w:bCs w:val="0"/>
          <w:i/>
          <w:iCs/>
          <w:sz w:val="18"/>
          <w:szCs w:val="18"/>
          <w:lang w:val="en-US" w:eastAsia="zh-CN"/>
        </w:rPr>
      </w:pPr>
    </w:p>
    <w:p>
      <w:pPr>
        <w:spacing w:line="360" w:lineRule="auto"/>
        <w:rPr>
          <w:rFonts w:hint="eastAsia"/>
          <w:b w:val="0"/>
          <w:bCs w:val="0"/>
          <w:i/>
          <w:iCs/>
          <w:sz w:val="18"/>
          <w:szCs w:val="18"/>
          <w:lang w:val="en-US" w:eastAsia="zh-CN"/>
        </w:rPr>
      </w:pPr>
    </w:p>
    <w:p>
      <w:pPr>
        <w:spacing w:line="360" w:lineRule="auto"/>
        <w:rPr>
          <w:rFonts w:hint="eastAsia"/>
          <w:b w:val="0"/>
          <w:bCs w:val="0"/>
          <w:i/>
          <w:iCs/>
          <w:sz w:val="18"/>
          <w:szCs w:val="18"/>
          <w:lang w:val="en-US" w:eastAsia="zh-CN"/>
        </w:rPr>
      </w:pPr>
    </w:p>
    <w:p>
      <w:pPr>
        <w:spacing w:line="360" w:lineRule="auto"/>
        <w:rPr>
          <w:rFonts w:hint="default"/>
          <w:b w:val="0"/>
          <w:bCs w:val="0"/>
          <w:i/>
          <w:iCs/>
          <w:sz w:val="18"/>
          <w:szCs w:val="18"/>
          <w:lang w:val="en-US" w:eastAsia="zh-CN"/>
        </w:rPr>
      </w:pPr>
    </w:p>
    <w:p>
      <w:pPr>
        <w:jc w:val="center"/>
        <w:rPr>
          <w:rFonts w:hint="default" w:ascii="Segoe UI" w:hAnsi="Segoe UI" w:eastAsia="宋体" w:cs="Segoe UI"/>
          <w:b/>
          <w:bCs/>
          <w:i w:val="0"/>
          <w:iCs w:val="0"/>
          <w:caps w:val="0"/>
          <w:color w:val="000000" w:themeColor="text1"/>
          <w:spacing w:val="0"/>
          <w:sz w:val="21"/>
          <w:szCs w:val="21"/>
          <w:lang w:val="en-US" w:eastAsia="zh-CN"/>
          <w14:textFill>
            <w14:solidFill>
              <w14:schemeClr w14:val="tx1"/>
            </w14:solidFill>
          </w14:textFill>
        </w:rPr>
      </w:pPr>
      <w:r>
        <w:rPr>
          <w:rFonts w:hint="eastAsia" w:ascii="Segoe UI" w:hAnsi="Segoe UI" w:eastAsia="宋体" w:cs="Segoe UI"/>
          <w:b/>
          <w:bCs/>
          <w:i w:val="0"/>
          <w:iCs w:val="0"/>
          <w:caps w:val="0"/>
          <w:color w:val="000000" w:themeColor="text1"/>
          <w:spacing w:val="0"/>
          <w:sz w:val="21"/>
          <w:szCs w:val="21"/>
          <w:lang w:val="en-US" w:eastAsia="zh-CN"/>
          <w14:textFill>
            <w14:solidFill>
              <w14:schemeClr w14:val="tx1"/>
            </w14:solidFill>
          </w14:textFill>
        </w:rPr>
        <w:t>表1：大阪交易所日经225指数合约</w:t>
      </w:r>
    </w:p>
    <w:tbl>
      <w:tblPr>
        <w:tblStyle w:val="4"/>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交易所</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大阪证券交易所(OSE)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交易标的</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日经225指数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交易时间</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&lt;日间&gt;开盘(集合竞价): 8:45</w:t>
            </w:r>
          </w:p>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 xml:space="preserve">       盘中交易(连续竞价): 8:45~15:10</w:t>
            </w:r>
          </w:p>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 xml:space="preserve">       收盘(集合竞价): 15:15</w:t>
            </w:r>
          </w:p>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&lt;夜间&gt;开盘(集合竞价): 16:30</w:t>
            </w:r>
          </w:p>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 xml:space="preserve">       盘中交易(连续竞价): 16:30~次日5:55</w:t>
            </w:r>
          </w:p>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 xml:space="preserve">       收盘(集合竞价): 次日6:00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合约月份</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季度合约月份（最长8年）</w:t>
            </w:r>
            <w:r>
              <w:rPr>
                <w:rFonts w:hint="eastAsia" w:ascii="黑体" w:hAnsi="黑体" w:eastAsia="黑体" w:cs="黑体"/>
                <w:i w:val="0"/>
                <w:iCs w:val="0"/>
                <w:caps w:val="0"/>
                <w:color w:val="000000" w:themeColor="text1"/>
                <w:spacing w:val="15"/>
                <w:sz w:val="21"/>
                <w:szCs w:val="21"/>
                <w14:textFill>
                  <w14:solidFill>
                    <w14:schemeClr w14:val="tx1"/>
                  </w14:solidFill>
                </w14:textFill>
              </w:rPr>
              <w:br w:type="textWrapping"/>
            </w: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6・12合约月份：最近16个合约月份</w:t>
            </w:r>
            <w:r>
              <w:rPr>
                <w:rFonts w:hint="eastAsia" w:ascii="黑体" w:hAnsi="黑体" w:eastAsia="黑体" w:cs="黑体"/>
                <w:i w:val="0"/>
                <w:iCs w:val="0"/>
                <w:caps w:val="0"/>
                <w:color w:val="000000" w:themeColor="text1"/>
                <w:spacing w:val="15"/>
                <w:sz w:val="21"/>
                <w:szCs w:val="21"/>
                <w14:textFill>
                  <w14:solidFill>
                    <w14:schemeClr w14:val="tx1"/>
                  </w14:solidFill>
                </w14:textFill>
              </w:rPr>
              <w:br w:type="textWrapping"/>
            </w: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3・9合约月份：最近3个合约月份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最后交易日</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各合约月份的第2星期五（如果是非交易日，则依次提前）前一个结束的交易日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交易单位</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日经平均股价 × 1,000日元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报价单位</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10日元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涨跌幅限制</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通常涨跌幅：8%</w:t>
            </w:r>
          </w:p>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第一次扩大涨跌幅：12%</w:t>
            </w:r>
          </w:p>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第二次扩大涨跌幅：16%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市场熔断机制</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如果主力月份在涨跌幅的上限（下限）成交或存在买（卖）单，所有合约月份交易暂停10分钟以上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结算价</w:t>
            </w:r>
          </w:p>
        </w:tc>
        <w:tc>
          <w:tcPr>
            <w:tcW w:w="6856" w:type="dxa"/>
          </w:tcPr>
          <w:p>
            <w:pP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pP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从下午3点至日间收盘之间的最后合约数值等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保证金</w:t>
            </w:r>
          </w:p>
        </w:tc>
        <w:tc>
          <w:tcPr>
            <w:tcW w:w="6856" w:type="dxa"/>
          </w:tcPr>
          <w:p>
            <w:pP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14:textFill>
                  <w14:solidFill>
                    <w14:schemeClr w14:val="tx1"/>
                  </w14:solidFill>
                </w14:textFill>
              </w:rPr>
              <w:t>采取SPAN保证金制度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结算方法</w:t>
            </w:r>
          </w:p>
        </w:tc>
        <w:tc>
          <w:tcPr>
            <w:tcW w:w="6856" w:type="dxa"/>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回购或转让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65" w:beforeAutospacing="0" w:after="0" w:afterAutospacing="0" w:line="240" w:lineRule="auto"/>
              <w:ind w:right="0" w:rightChars="0"/>
              <w:jc w:val="left"/>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最后结算交割（以最后结算值做结算交割）</w:t>
            </w:r>
          </w:p>
          <w:p>
            <w:pPr>
              <w:rPr>
                <w:rFonts w:hint="eastAsia" w:ascii="黑体" w:hAnsi="黑体" w:eastAsia="黑体" w:cs="黑体"/>
                <w:i w:val="0"/>
                <w:iCs w:val="0"/>
                <w:caps w:val="0"/>
                <w:color w:val="000000" w:themeColor="text1"/>
                <w:spacing w:val="0"/>
                <w:sz w:val="21"/>
                <w:szCs w:val="21"/>
                <w:shd w:val="clear" w:fill="FFFFFF"/>
                <w14:textFill>
                  <w14:solidFill>
                    <w14:schemeClr w14:val="tx1"/>
                  </w14:solidFill>
                </w14:textFill>
              </w:rPr>
            </w:pPr>
          </w:p>
        </w:tc>
      </w:tr>
    </w:tbl>
    <w:p>
      <w:pPr>
        <w:spacing w:line="360" w:lineRule="auto"/>
        <w:rPr>
          <w:color w:val="000000" w:themeColor="text1"/>
          <w:sz w:val="24"/>
          <w:szCs w:val="24"/>
          <w14:textFill>
            <w14:solidFill>
              <w14:schemeClr w14:val="tx1"/>
            </w14:solidFill>
          </w14:textFill>
        </w:rPr>
      </w:pPr>
      <w:r>
        <w:rPr>
          <w:rFonts w:hint="eastAsia" w:eastAsiaTheme="minorEastAsia"/>
          <w:b w:val="0"/>
          <w:bCs w:val="0"/>
          <w:i/>
          <w:iCs/>
          <w:sz w:val="18"/>
          <w:szCs w:val="18"/>
          <w:lang w:eastAsia="zh-CN"/>
        </w:rPr>
        <w:t>资料来源：</w:t>
      </w:r>
      <w:r>
        <w:rPr>
          <w:rFonts w:hint="eastAsia"/>
          <w:b w:val="0"/>
          <w:bCs w:val="0"/>
          <w:i/>
          <w:iCs/>
          <w:sz w:val="18"/>
          <w:szCs w:val="18"/>
          <w:lang w:val="en-US" w:eastAsia="zh-CN"/>
        </w:rPr>
        <w:t>大阪期货交易所, 瑞达期货研究院</w:t>
      </w:r>
    </w:p>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lang w:val="en-US" w:eastAsia="zh-CN"/>
          <w14:textFill>
            <w14:solidFill>
              <w14:schemeClr w14:val="tx1"/>
            </w14:solidFill>
          </w14:textFill>
        </w:rPr>
        <w:t>表2：新加坡交易所日经225指数合约</w:t>
      </w:r>
    </w:p>
    <w:tbl>
      <w:tblPr>
        <w:tblStyle w:val="4"/>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交易所</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新加坡交易所(SGX)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交易标的</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t>日经225指数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交易时间</w:t>
            </w:r>
          </w:p>
        </w:tc>
        <w:tc>
          <w:tcPr>
            <w:tcW w:w="685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T 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预开市：上午 7.15 - 上午 7.28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不可撤单：上午 7.28 - 上午 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开市：上午 7.30 - 下午 2.25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预收市：下午 2.25 - 下午 2.29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不可撤单： 下午 2. 29 - 下午 2.30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T+1 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预开市：下午 2.45 - 下午 2.53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不可撤单：下午 2.53 - 下午 2.55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开市：下午 2.55 - 次日凌晨 5.15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预收市：NA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textAlignment w:val="baseline"/>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vertAlign w:val="baseline"/>
                <w14:textFill>
                  <w14:solidFill>
                    <w14:schemeClr w14:val="tx1"/>
                  </w14:solidFill>
                </w14:textFill>
              </w:rPr>
              <w:t>不可撤单：NA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合约月份</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季度合约月份（最长8年）</w:t>
            </w:r>
            <w:r>
              <w:rPr>
                <w:rFonts w:hint="eastAsia" w:ascii="黑体" w:hAnsi="黑体" w:eastAsia="黑体" w:cs="黑体"/>
                <w:i w:val="0"/>
                <w:iCs w:val="0"/>
                <w:caps w:val="0"/>
                <w:color w:val="000000" w:themeColor="text1"/>
                <w:spacing w:val="15"/>
                <w:sz w:val="21"/>
                <w:szCs w:val="21"/>
                <w14:textFill>
                  <w14:solidFill>
                    <w14:schemeClr w14:val="tx1"/>
                  </w14:solidFill>
                </w14:textFill>
              </w:rPr>
              <w:br w:type="textWrapping"/>
            </w: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6・12合约月份：最近16个合约月份</w:t>
            </w:r>
            <w:r>
              <w:rPr>
                <w:rFonts w:hint="eastAsia" w:ascii="黑体" w:hAnsi="黑体" w:eastAsia="黑体" w:cs="黑体"/>
                <w:i w:val="0"/>
                <w:iCs w:val="0"/>
                <w:caps w:val="0"/>
                <w:color w:val="000000" w:themeColor="text1"/>
                <w:spacing w:val="15"/>
                <w:sz w:val="21"/>
                <w:szCs w:val="21"/>
                <w14:textFill>
                  <w14:solidFill>
                    <w14:schemeClr w14:val="tx1"/>
                  </w14:solidFill>
                </w14:textFill>
              </w:rPr>
              <w:br w:type="textWrapping"/>
            </w:r>
            <w: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t>3・9合约月份：最近3个合约月份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最后交易日</w:t>
            </w:r>
          </w:p>
        </w:tc>
        <w:tc>
          <w:tcPr>
            <w:tcW w:w="6856" w:type="dxa"/>
            <w:shd w:val="clear" w:color="auto" w:fill="auto"/>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14:textFill>
                  <w14:solidFill>
                    <w14:schemeClr w14:val="tx1"/>
                  </w14:solidFill>
                </w14:textFill>
              </w:rPr>
              <w:t>合约当月第二个周五之前的一天。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交易单位</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14:textFill>
                  <w14:solidFill>
                    <w14:schemeClr w14:val="tx1"/>
                  </w14:solidFill>
                </w14:textFill>
              </w:rPr>
              <w:t>500 日元 x 日经 225 指数期货价格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最低波动单位</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14:textFill>
                  <w14:solidFill>
                    <w14:schemeClr w14:val="tx1"/>
                  </w14:solidFill>
                </w14:textFill>
              </w:rPr>
              <w:t>单笔：5 个指数点（2500 日元） 策略性的交易：1 个指数点（500 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涨跌幅限制</w:t>
            </w:r>
          </w:p>
        </w:tc>
        <w:tc>
          <w:tcPr>
            <w:tcW w:w="6856" w:type="dxa"/>
          </w:tcPr>
          <w:p>
            <w:pPr>
              <w:rPr>
                <w:rFonts w:hint="eastAsia" w:ascii="黑体" w:hAnsi="黑体" w:eastAsia="黑体" w:cs="黑体"/>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14:textFill>
                  <w14:solidFill>
                    <w14:schemeClr w14:val="tx1"/>
                  </w14:solidFill>
                </w14:textFill>
              </w:rPr>
              <w:t>当价格相比前一日的结算价格上升或下跌10%和15%时，将启动 5 分钟冷静期。</w:t>
            </w:r>
            <w:r>
              <w:rPr>
                <w:rFonts w:hint="eastAsia" w:ascii="黑体" w:hAnsi="黑体" w:eastAsia="黑体" w:cs="黑体"/>
                <w:i w:val="0"/>
                <w:iCs w:val="0"/>
                <w:caps w:val="0"/>
                <w:color w:val="000000" w:themeColor="text1"/>
                <w:spacing w:val="0"/>
                <w:sz w:val="21"/>
                <w:szCs w:val="21"/>
                <w:shd w:val="clear"/>
                <w14:textFill>
                  <w14:solidFill>
                    <w14:schemeClr w14:val="tx1"/>
                  </w14:solidFill>
                </w14:textFill>
              </w:rPr>
              <w:br w:type="textWrapping"/>
            </w:r>
            <w:r>
              <w:rPr>
                <w:rFonts w:hint="eastAsia" w:ascii="黑体" w:hAnsi="黑体" w:eastAsia="黑体" w:cs="黑体"/>
                <w:i w:val="0"/>
                <w:iCs w:val="0"/>
                <w:caps w:val="0"/>
                <w:color w:val="000000" w:themeColor="text1"/>
                <w:spacing w:val="0"/>
                <w:sz w:val="21"/>
                <w:szCs w:val="21"/>
                <w:shd w:val="clear"/>
                <w14:textFill>
                  <w14:solidFill>
                    <w14:schemeClr w14:val="tx1"/>
                  </w14:solidFill>
                </w14:textFill>
              </w:rPr>
              <w:t>此后在该交易日余下的时间内将不再有价格限制。到期合约在最后交易日没有价格限额。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结算价</w:t>
            </w:r>
          </w:p>
        </w:tc>
        <w:tc>
          <w:tcPr>
            <w:tcW w:w="6856" w:type="dxa"/>
          </w:tcPr>
          <w:p>
            <w:pPr>
              <w:rPr>
                <w:rFonts w:hint="eastAsia" w:ascii="黑体" w:hAnsi="黑体" w:eastAsia="黑体" w:cs="黑体"/>
                <w:i w:val="0"/>
                <w:iCs w:val="0"/>
                <w:caps w:val="0"/>
                <w:color w:val="000000" w:themeColor="text1"/>
                <w:spacing w:val="15"/>
                <w:sz w:val="21"/>
                <w:szCs w:val="21"/>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14:textFill>
                  <w14:solidFill>
                    <w14:schemeClr w14:val="tx1"/>
                  </w14:solidFill>
                </w14:textFill>
              </w:rPr>
              <w:t>日经 225 指数特别报价，按日经 225 指数中每个成份股在最后交易日后一个营业日的开盘价计算。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jc w:val="cente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21"/>
                <w:szCs w:val="21"/>
                <w:vertAlign w:val="baseline"/>
                <w:lang w:val="en-US" w:eastAsia="zh-CN"/>
                <w14:textFill>
                  <w14:solidFill>
                    <w14:schemeClr w14:val="tx1"/>
                  </w14:solidFill>
                </w14:textFill>
              </w:rPr>
              <w:t>结算方法</w:t>
            </w:r>
          </w:p>
        </w:tc>
        <w:tc>
          <w:tcPr>
            <w:tcW w:w="6856" w:type="dxa"/>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65" w:beforeAutospacing="0" w:after="0" w:afterAutospacing="0" w:line="240" w:lineRule="auto"/>
              <w:ind w:right="0" w:rightChars="0"/>
              <w:jc w:val="left"/>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i w:val="0"/>
                <w:iCs w:val="0"/>
                <w:caps w:val="0"/>
                <w:color w:val="000000" w:themeColor="text1"/>
                <w:spacing w:val="0"/>
                <w:sz w:val="21"/>
                <w:szCs w:val="21"/>
                <w:shd w:val="clear" w:fill="FFFFFF"/>
                <w14:textFill>
                  <w14:solidFill>
                    <w14:schemeClr w14:val="tx1"/>
                  </w14:solidFill>
                </w14:textFill>
              </w:rPr>
              <w:t>现金结算</w:t>
            </w:r>
          </w:p>
          <w:p>
            <w:pPr>
              <w:rPr>
                <w:rFonts w:hint="eastAsia" w:ascii="黑体" w:hAnsi="黑体" w:eastAsia="黑体" w:cs="黑体"/>
                <w:i w:val="0"/>
                <w:iCs w:val="0"/>
                <w:caps w:val="0"/>
                <w:color w:val="000000" w:themeColor="text1"/>
                <w:spacing w:val="0"/>
                <w:sz w:val="21"/>
                <w:szCs w:val="21"/>
                <w:shd w:val="clear" w:fill="FFFFFF"/>
                <w14:textFill>
                  <w14:solidFill>
                    <w14:schemeClr w14:val="tx1"/>
                  </w14:solidFill>
                </w14:textFill>
              </w:rPr>
            </w:pPr>
          </w:p>
        </w:tc>
      </w:tr>
    </w:tbl>
    <w:p>
      <w:pPr>
        <w:spacing w:line="360" w:lineRule="auto"/>
        <w:rPr>
          <w:rFonts w:hint="default" w:eastAsiaTheme="minorEastAsia"/>
          <w:b w:val="0"/>
          <w:bCs w:val="0"/>
          <w:i/>
          <w:iCs/>
          <w:sz w:val="18"/>
          <w:szCs w:val="18"/>
          <w:lang w:val="en-US" w:eastAsia="zh-CN"/>
        </w:rPr>
      </w:pPr>
      <w:r>
        <w:rPr>
          <w:rFonts w:hint="eastAsia" w:eastAsiaTheme="minorEastAsia"/>
          <w:b w:val="0"/>
          <w:bCs w:val="0"/>
          <w:i/>
          <w:iCs/>
          <w:sz w:val="18"/>
          <w:szCs w:val="18"/>
          <w:lang w:eastAsia="zh-CN"/>
        </w:rPr>
        <w:t>资料来源：</w:t>
      </w:r>
      <w:r>
        <w:rPr>
          <w:rFonts w:hint="eastAsia"/>
          <w:b w:val="0"/>
          <w:bCs w:val="0"/>
          <w:i/>
          <w:iCs/>
          <w:sz w:val="18"/>
          <w:szCs w:val="18"/>
          <w:lang w:val="en-US" w:eastAsia="zh-CN"/>
        </w:rPr>
        <w:t>SGX,瑞达期货研究院</w:t>
      </w:r>
    </w:p>
    <w:p>
      <w:pPr>
        <w:rPr>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TQ2YTkyMzU3YjI3Y2QwOGNkYzVjNGE5OTQxYWMifQ=="/>
  </w:docVars>
  <w:rsids>
    <w:rsidRoot w:val="06590B84"/>
    <w:rsid w:val="06590B84"/>
    <w:rsid w:val="0E230C39"/>
    <w:rsid w:val="1A830C8C"/>
    <w:rsid w:val="35E52AF5"/>
    <w:rsid w:val="4AB55333"/>
    <w:rsid w:val="4C80670A"/>
    <w:rsid w:val="5B0B05EE"/>
    <w:rsid w:val="624B2879"/>
    <w:rsid w:val="79F1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2024-01-16T06:56:00Z</dcterms:created>
  <dc:creator>TimmyW</dc:creator>
  <cp:lastModifiedBy>TimmyW</cp:lastModifiedBy>
  <dcterms:modified xsi:type="dcterms:W3CDTF">2024-01-17T02:36:59Z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78AD0CC430094C8DA4304EA068B129A9_13</vt:lpwstr>
  </property>
</Properties>
</file>