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美联储博斯蒂克表示，希望确保在降息之前稳步朝着2%的目标迈进；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对于根据数据调整降息时机持开放态度</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美联储古尔斯比表示，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通胀数据将决定利率路径，通胀下降为降息敞开大门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，美联储将逐次会议作出决策。市场应关注经济数据，如果通胀进展逆转，可能需要加息。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美联储戴利表示，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宣布战胜通胀为时尚早，尚未将通胀降至2%；并认为即将降息也是为时过早</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。此外，劳动力市场可能出现问题的任何早期迹象也可能引发政策调整。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美国短期利率期货交易员现在押注，美联储在5月会议之前不会开始降息；利率互换合约显示，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美联储3月份降息的可能性已进一步降至40%左右</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美国1月密歇根大学消费者信心指数初值为78.8，预期70，前值69.7。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美国1月一年期通胀率预期为2.9%，</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为2020年以来最低水平</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，预期3.1%，前值3.1%。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美国2023年12月成屋销售总数年化为378万户，预期382万户，前值382万户。</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德国2023年12月PPI环比下降1.2%，预期降0.5%，前值降0.5%；同比下降8.6%，预期降8%，前值降7.9%。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英国2023年12月季调后零售销售环比下降3.2%，预期降0.50%，前值升1.30%；同比下降2.4%，预期升1.1%，前值升0.1%。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日本2023年12月CPI同比上涨2.6%，预期2.5%，前值2.8%；环比下降0.1%，前值降0.2%；核心CPI同比上涨2.3%，预期2.3%，前值2.5%。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09:15 中国至1月22日一年期贷款市场报价利率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美国12月谘商会领先指标月率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次日03:30 纽约原油2月完成场内最后交易</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1月22日（周一），</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道指</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涨1.05%报37863.8点，</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标普500指数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涨1.23%报4839.81点，</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纳指</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涨1.7%报15310.97点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涨0.84%报8380美元/吨，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收涨0.5%报2031.8美元/盎司，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收跌0.25%报22.75美元/盎司。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收盘涨2.3%</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23.57</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涨0.90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82.51</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夜盘美元指数跌0.17%报103.2317。非美货币多数上涨，欧元兑美元涨0.22%报1.0898，英镑兑美元跌0.03%报1.2705，澳元兑美元涨0.39%报0.6599，美元兑日元涨0.02%报148.182。美联储博斯蒂克于公开演讲中表示希望确保在降息之前稳步朝着2%的目标迈进，对于根据数据调整降息时机持开放态度，整体发言基调相对中性。美联储古尔斯比表示，通胀数据将决定利率路径，通胀下降为降息敞开大门，美联储将逐次会议作出决策。市场应关注经济数据，如果通胀进展逆转，可能需要加息，整体发言中性偏鹰。美联储戴利则表示，宣布战胜通胀为时尚早，尚未将通胀降至2%；并认为即将降息也是为时过早。此外，劳动力市场可能出现问题的任何早期迹象也可能引发政策调整，整体发言基调偏鹰。往后看，数位美联储官员于上周向市场释放鹰派信号，市场降息预期得到相应抑制，利率曲线持续走高或利多美元。</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1135" cy="1454785"/>
            <wp:effectExtent l="0" t="0" r="5715"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271135" cy="14547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jc w:val="both"/>
        <w:rPr>
          <w:rFonts w:hint="eastAsia" w:ascii="仿宋" w:hAnsi="仿宋" w:eastAsia="仿宋" w:cs="仿宋"/>
          <w:bCs/>
          <w:sz w:val="24"/>
          <w:szCs w:val="24"/>
        </w:rPr>
      </w:pPr>
      <w:r>
        <w:rPr>
          <w:rFonts w:hint="eastAsia" w:ascii="仿宋" w:hAnsi="仿宋" w:eastAsia="仿宋" w:cs="仿宋"/>
          <w:sz w:val="24"/>
          <w:szCs w:val="24"/>
        </w:rPr>
        <w:t>截至1月20日，标普500指数收涨1.23%至4839.81点；迷你标普500主力合约收涨1.23%至4869.75点</w:t>
      </w:r>
      <w:r>
        <w:rPr>
          <w:rFonts w:hint="eastAsia" w:ascii="仿宋" w:hAnsi="仿宋" w:eastAsia="仿宋" w:cs="仿宋"/>
          <w:bCs/>
          <w:sz w:val="24"/>
          <w:szCs w:val="24"/>
        </w:rPr>
        <w:t>。美股周五收高，道指与标普500指数创造历史新高。市场在新年伊始的短暂下挫之后恢复涨势。投资者对美联储3月降息的预期有所降低。</w:t>
      </w:r>
      <w:r>
        <w:rPr>
          <w:rFonts w:hint="eastAsia" w:ascii="仿宋" w:hAnsi="仿宋" w:eastAsia="仿宋" w:cs="仿宋"/>
          <w:sz w:val="24"/>
          <w:szCs w:val="24"/>
        </w:rPr>
        <w:t>策略上，指数短线冲高，低多为主。详细支撑阻力位请见图表4。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jc w:val="both"/>
        <w:rPr>
          <w:rFonts w:hint="eastAsia" w:ascii="仿宋" w:hAnsi="仿宋" w:eastAsia="仿宋" w:cs="仿宋"/>
          <w:sz w:val="24"/>
          <w:szCs w:val="24"/>
        </w:rPr>
      </w:pPr>
      <w:r>
        <w:rPr>
          <w:rFonts w:hint="eastAsia" w:ascii="仿宋" w:hAnsi="仿宋" w:eastAsia="仿宋" w:cs="仿宋"/>
          <w:sz w:val="24"/>
          <w:szCs w:val="24"/>
        </w:rPr>
        <w:t>截至1月19日，富时中国A50指数收涨0.35%至11055.93点；新交所富时A50期指主力合约收涨1.11%至11026点</w:t>
      </w:r>
      <w:r>
        <w:rPr>
          <w:rFonts w:hint="eastAsia" w:ascii="仿宋" w:hAnsi="仿宋" w:eastAsia="仿宋" w:cs="仿宋"/>
          <w:bCs/>
          <w:sz w:val="24"/>
          <w:szCs w:val="24"/>
        </w:rPr>
        <w:t>。从CPI、PPI以以及GDP平减指数来看，国内经济生产仍存在负产出缺口，实际增长未能达到潜在增长速度。2024年，财政政策对经济增长的刺激将成为重点，力度和时点均对市场预期形成影响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hint="eastAsia" w:ascii="宋体" w:hAnsi="宋体" w:eastAsia="宋体"/>
          <w:b/>
          <w:color w:val="002060"/>
          <w:sz w:val="28"/>
          <w:lang w:val="en-US" w:eastAsia="zh-CN"/>
        </w:rPr>
      </w:pPr>
      <w:r>
        <w:drawing>
          <wp:inline distT="0" distB="0" distL="0" distR="0">
            <wp:extent cx="5274310" cy="191389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bookmarkStart w:id="2" w:name="_GoBack"/>
      <w:bookmarkEnd w:id="2"/>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弱，交投于103.23。美联储古尔斯比表示，通胀数据将决定利率路径，通胀下降为降息敞开大门，若通胀进展逆转则可能需要加息。博斯蒂克也指出，希望确保在降息之前稳步朝2%目标迈进。戴利则认为，现在宣布战胜通胀和即将降息都为时尚早。</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库存方面：截至1月19日，LME铜库存为157875吨，环比+550吨。1月19日当周，上海期货交易所阴极铜库存为47753吨，周环比+4668吨。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外盘持仓方面：根据CFTC公布的最新数据显示，截止至1月16日当周，非商业多头持仓62408手，空头为87714手，净空持仓为25306手，较上周净空增加12139手。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3.79美元/磅，涨跌幅+1.20%。国际方面，美国1月一年期通胀率预期录得2.9%，为2020年以来最低水平，消费者信心达到2021年7月以来的最高水平。利率互换合约显示，美联储3月份降息的可能性已进一步降至40%左右。10年期美债收益率一度涨至4.2%附近，但最终未能站上此处，收报4.130%；对美联储政策利率更敏感的两年期美债收益率收报4.388%。国内方面，商务部：我国2023年全年网上零售额15.42万亿元，连续11年成为全球第一大网络零售市场。全国吸收外资1.1万亿元人民币，规模仍处历史高位。商品销售稳步增长，去年汽车销售增长12%，新能源汽车增约38%。基本面上，12月表观消费较11月小幅上涨，库存方面，国内库存仍保持低水位运行，但有所积累。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560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5608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联储博斯蒂克于公开演讲中表示希望确保在降息之前稳步朝着2%的目标迈进，对于根据数据调整降息时机持开放态度，整体发言基调相对中性。美联储古尔斯比表示，通胀数据将决定利率路径，通胀下降为降息敞开大门，美联储将逐次会议作出决策。市场应关注经济数据，如果通胀进展逆转，可能需要加息，整体发言中性偏鹰。美联储戴利则表示，宣布战胜通胀为时尚早，尚未将通胀降至2%；并认为即将降息也是为时过早。此外，劳动力市场可能出现问题的任何早期迹象也可能引发政策调整，整体发言基调偏鹰。</w:t>
      </w:r>
    </w:p>
    <w:p>
      <w:pPr>
        <w:spacing w:line="360" w:lineRule="auto"/>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21</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860.95</w:t>
      </w:r>
      <w:r>
        <w:rPr>
          <w:rFonts w:hint="eastAsia" w:ascii="仿宋" w:hAnsi="仿宋" w:eastAsia="仿宋" w:cs="仿宋"/>
          <w:color w:val="000000" w:themeColor="text1"/>
          <w:sz w:val="24"/>
          <w:szCs w:val="24"/>
          <w14:textFill>
            <w14:solidFill>
              <w14:schemeClr w14:val="tx1"/>
            </w14:solidFill>
          </w14:textFill>
        </w:rPr>
        <w:t>吨，较上一交易</w:t>
      </w:r>
      <w:r>
        <w:rPr>
          <w:rFonts w:hint="eastAsia" w:ascii="仿宋" w:hAnsi="仿宋" w:eastAsia="仿宋" w:cs="仿宋"/>
          <w:color w:val="000000" w:themeColor="text1"/>
          <w:sz w:val="24"/>
          <w:szCs w:val="24"/>
          <w:lang w:val="en-US" w:eastAsia="zh-CN"/>
          <w14:textFill>
            <w14:solidFill>
              <w14:schemeClr w14:val="tx1"/>
            </w14:solidFill>
          </w14:textFill>
        </w:rPr>
        <w:t>减少1.15吨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往后看，数位美联储官员于上周向市场释放鹰派信号，市场降息预期得到相应抑制，利率曲线持续走高或利多美元及美债收益率，贵金属价格或相对承压。操作上建议，日内轻仓做空，请投资者注意风险控制。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372235"/>
            <wp:effectExtent l="0" t="0" r="5080" b="184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71770" cy="137223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在中东，地缘政治风险支撑了本周的原油价格。周五，以色列不顾国际社会要求停火的呼声，继续在加沙地区展开军事行动。三个多月来的巴以冲突导致2万多名巴勒斯坦平民死亡，促使南非将以色列告上国际法庭，指控以色列在加沙实施种族灭绝。胡塞武装则对驶往以色列的红海船只进行打击，以声援巴勒斯坦人民。本周早些时候，美国对胡塞武装发动新的打击，令人担心紧张局势可能蔓延到中东其他地区。</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尽管中东冲突并未导致任何原油生产中断，但是由于航运公司避开红海航线，转向航线更长成本更高的替代航线，这导致海上在途的原油库存增长，变相导致供应趋紧。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与此同时，利比亚沙拉拉油田继续关闭，供应中断仍在继续。</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美国，北达科他州管道管理局周五表示，由于严寒，该州约30%的原油生产仍处于关闭状态。在周三，该州原油产量减少了约70万桶/日或者50%左右。该州监管机构周五表示，原油生产可能需要一个月的时间才能恢复到正常水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经纪公司OANDA分析师克雷格·埃拉姆表示，供应中断仍然构成油价的上行风险，但是全球经济前景不振，对油价构成下行风险。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瑞穗银行能源期货主管鲍勃·亚戈尔表示，本周中国股市跌至接近五年低点。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国际能源署本周上调2024年全球原油需求预测，同时表示，除非供应出现重大中断，否则2024年市场供应看起来相当充足。</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纽约商品期货交易所（NYMEX）的西德克萨斯中质原油（WTI）3月合约较上一交易日下跌0.70美元或0.92%，报收73.25美元/桶，短期呈现宽幅震荡走势。支撑位：70.5；压力位：75。</w:t>
      </w:r>
    </w:p>
    <w:p>
      <w:r>
        <w:drawing>
          <wp:inline distT="0" distB="0" distL="0" distR="0">
            <wp:extent cx="5295900" cy="2978150"/>
            <wp:effectExtent l="0" t="0" r="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95900" cy="2978150"/>
                    </a:xfrm>
                    <a:prstGeom prst="rect">
                      <a:avLst/>
                    </a:prstGeom>
                  </pic:spPr>
                </pic:pic>
              </a:graphicData>
            </a:graphic>
          </wp:inline>
        </w:drawing>
      </w:r>
    </w:p>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洲际期货交易所（ICE）原糖期货周五收高，交易商称，对全球最大产糖果巴西天气干燥，及印度和泰国收成糟糕的担忧支撑市场。交投最活跃的ICE 3月原糖期货合约收盘收涨0.53美分或2.30%，结算价每磅23.57美分。操作上，建议3月 ICE 原糖短期偏多思路对待。</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5580" cy="2152650"/>
            <wp:effectExtent l="0" t="0" r="1270" b="0"/>
            <wp:docPr id="19" name="图片 19" descr="6bccfe970467d9be77884a36370e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bccfe970467d9be77884a36370e6af"/>
                    <pic:cNvPicPr>
                      <a:picLocks noChangeAspect="1"/>
                    </pic:cNvPicPr>
                  </pic:nvPicPr>
                  <pic:blipFill>
                    <a:blip r:embed="rId14"/>
                    <a:stretch>
                      <a:fillRect/>
                    </a:stretch>
                  </pic:blipFill>
                  <pic:spPr>
                    <a:xfrm>
                      <a:off x="0" y="0"/>
                      <a:ext cx="5275580" cy="215265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洲际交易所(ICE)棉花期货周五攀升至两个半月来的最高水平，此前美农出口销售报告为美棉出口强劲再添佐证。交投最活跃的ICE 3月期棉收涨1.44美分或1.70%，结算价报83.95美分/磅。操作上，建议3月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4785" cy="2130425"/>
            <wp:effectExtent l="0" t="0" r="12065" b="3175"/>
            <wp:docPr id="20" name="图片 20" descr="4906c7c168680bc36732b423800f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906c7c168680bc36732b423800f67c"/>
                    <pic:cNvPicPr>
                      <a:picLocks noChangeAspect="1"/>
                    </pic:cNvPicPr>
                  </pic:nvPicPr>
                  <pic:blipFill>
                    <a:blip r:embed="rId15"/>
                    <a:stretch>
                      <a:fillRect/>
                    </a:stretch>
                  </pic:blipFill>
                  <pic:spPr>
                    <a:xfrm>
                      <a:off x="0" y="0"/>
                      <a:ext cx="5264785" cy="213042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2024-01-22T01:27:39Z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EB4F04DD163F4FF7BB7DC7B3D8F075B5_13</vt:lpwstr>
  </property>
</Properties>
</file>