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26</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26</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美联储提高紧急贷款计划利率以阻止套利，立即生效</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。新的银行定期融资计划（BTFP）贷款利率“不低于”准备金利率，BTFB将于3月11日结束；银行业仍然可以通过贴现窗来满足流动性需求。</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欧洲央行将主要再融资利率、存款机制利率、边际贷款利率分别维持在4.5%、4%及4.75%不变，符合市场预期</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。欧洲央行行长拉加德表示，现在谈论降息为时过早。2023年第四季度经济可能停滞不前，预计通胀将在2024年进一步缓解。</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挪威央行将利率维持在4.50%不变，土耳其央行将基准利率从42.50%上调至45%</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，南非央行将基准利率维持在8.25%不变，乌克兰央行将基准利率维持在15%，均符合市场预期。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美国商务部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公布初读数据显示，美国去年四季度实际国内生产总值（GDP）按年率计算增长3.3%，预期2.0%，前值4.9%。</w:t>
      </w:r>
      <w:r>
        <w:rPr>
          <w:rFonts w:hint="eastAsia" w:ascii="仿宋" w:hAnsi="仿宋" w:eastAsia="仿宋" w:cs="仿宋"/>
          <w:b w:val="0"/>
          <w:bCs w:val="0"/>
          <w:color w:val="000000" w:themeColor="text1"/>
          <w:sz w:val="24"/>
          <w:szCs w:val="24"/>
          <w:u w:val="none"/>
          <w14:textFill>
            <w14:solidFill>
              <w14:schemeClr w14:val="tx1"/>
            </w14:solidFill>
          </w14:textFill>
        </w:rPr>
        <w:t>CME</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美联储观察工具显示，美联储3月降息25个基点概率降至44.3%，按兵不动概率为54.6%。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美国2023年第四季度核心PCE物价指数年化季率初值2%，预期2%，2023年第三季度终值2%；PCE物价指数年化季率初值1.7%，2023年第三季度终值2.6%。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美国2023年第四季度实际个人消费支出季率初值2.8%，预期2.5%，2023年第三季度终值3.1%。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美国2023年12月耐用品订单环比持平，预期增1.1%，前值由增5.4%修正至增5.5%；批发库存环比上升0.4%，预期降0.2%，前值由降0.2%修正至降0.4%。当月芝加哥联储全国活动指数为-0.15，预期0.06，前值0.03。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美国上周初请失业金人数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为21.4万人，预期20万人，前值18.7万人；1月13日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183.3万，预期182.8万人，前值180.6万人。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英国1月</w:t>
      </w:r>
      <w:r>
        <w:rPr>
          <w:rFonts w:hint="eastAsia" w:ascii="仿宋" w:hAnsi="仿宋" w:eastAsia="仿宋" w:cs="仿宋"/>
          <w:b w:val="0"/>
          <w:bCs w:val="0"/>
          <w:color w:val="000000" w:themeColor="text1"/>
          <w:sz w:val="24"/>
          <w:szCs w:val="24"/>
          <w:u w:val="none"/>
          <w14:textFill>
            <w14:solidFill>
              <w14:schemeClr w14:val="tx1"/>
            </w14:solidFill>
          </w14:textFill>
        </w:rPr>
        <w:t>CBI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零售销售差值-50，预期-20，前值-32；CBI零售销售预期指数-50，前值-41。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韩国2023年第四季度GDP初值同比增长2.2%，预期2.1%，前值1.4%；环比增长0.6%，预期0.5%，前值0.6%。韩国央行将公开市场操作参与者扩大至资产管理公司、储蓄银行和信用合作社。</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08:01 英国1月Gfk消费者信心指数(金十数据APP)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德国2月Gfk消费者信心指数(金十数据APP)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美国12月核心PCE物价指数年率(金十数据APP)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美国12月个人支出月率(金十数据APP)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美国12月核心PCE物价指数月率(金十数据APP)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美国12月成屋签约销售指数月率(金十数据APP)</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美国至1月26日当周石油钻井总数(金十数据APP)</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1月26日（周五），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涨0.64%报38049.13点，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涨0.53%报4894.16点，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涨0.18%报15510.5点。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跌0.18%报8547.5美元/吨，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涨0.25%报2021美元/盎司，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涨0.62%报23.03美元/盎司。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收盘跌1.7%</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24.04</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涨0.42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85.76</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五美元指数涨0.22%报103.48，非美货币多数下跌，欧元兑美元跌0.35%报1.0846，英镑兑美元跌0.12%报1.2710，澳元兑美元涨0.11%报0.6585，美元兑日元涨0.1%报147.66。美国四季度实际GDP年化环比初值上涨3.3%，增幅较前值4.9%放缓，但高于预期的2%。除GDP外，四季度实际个人消费支出季率初值2.8%，预期2.5%，2023年第三季度终值3.1%。整体经济在消费项支撑下仍就火热，整体不利美联储开展后继降息进程。美国上周初请失业金人数为21.4万人，预期20万人，前值18.7万人；1月13日当周续请失业金人数183.3万，预期182.8万人，前值180.6万人，失业金申请人数有所上调或暗示后继失业率数据将有所抬升，有利劳动力市场得到平衡。往后看，短期内经济数据走强或持续抬升市场利率预期，美元指数或再次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4150" cy="1248410"/>
            <wp:effectExtent l="0" t="0" r="1270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4150" cy="124841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截至1月26日，标普500指数收涨0.53%至4894.16点；迷你标普500主力合约收涨0.36%至4919点</w:t>
      </w:r>
      <w:r>
        <w:rPr>
          <w:rFonts w:hint="eastAsia" w:ascii="仿宋" w:hAnsi="仿宋" w:eastAsia="仿宋" w:cs="仿宋"/>
          <w:bCs/>
          <w:sz w:val="24"/>
          <w:szCs w:val="24"/>
        </w:rPr>
        <w:t>。美股周四收高，道指与标普500指数再创历史新高。投资者继续关注特斯拉等的财报。美国第四季度GDP数据显示经济强劲增长、通胀下降，增加了市场对美联储从3月份开始降息的押注。</w:t>
      </w:r>
      <w:r>
        <w:rPr>
          <w:rFonts w:hint="eastAsia" w:ascii="仿宋" w:hAnsi="仿宋" w:eastAsia="仿宋" w:cs="仿宋"/>
          <w:sz w:val="24"/>
          <w:szCs w:val="24"/>
        </w:rPr>
        <w:t>策略上，指数短线冲高，低多为主。详细支撑阻力位请见图表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截至1月24日，富时中国A50指数收涨1.75%至11305.05点；新交所富时A50期指主力合约收涨0.28%至11288点</w:t>
      </w:r>
      <w:r>
        <w:rPr>
          <w:rFonts w:hint="eastAsia" w:ascii="仿宋" w:hAnsi="仿宋" w:eastAsia="仿宋" w:cs="仿宋"/>
          <w:bCs/>
          <w:sz w:val="24"/>
          <w:szCs w:val="24"/>
        </w:rPr>
        <w:t>。央行行长宣布降准降息，本次时间以及幅度均超过市场预期，市场所关注的利好兑现，或对近日行情有所提振</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103.48。由于美国第四季度经济增长大超预期，或暗示美联储更不急于降息。10年期美债收益率盘中一度逼近4.2%关口，但随后扭头之下，收报4.120%；对美联储政策利率更敏感的两年期美债收益率收报4.299%。</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库存方面：截至1月25日，LME铜库存为155175吨，环比-2550吨。1月19日当周，上海期货交易所阴极铜库存为47753吨，周环比+4668吨。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外盘持仓方面：根据CFTC公布的最新数据显示，截止至1月16日当周，非商业多头持仓62408手，空头为87714手，净空持仓为25306手，较上周净空增加12139手。</w:t>
      </w:r>
    </w:p>
    <w:p>
      <w:pPr>
        <w:spacing w:line="360" w:lineRule="auto"/>
        <w:ind w:firstLine="480" w:firstLineChars="200"/>
        <w:rPr>
          <w:rFonts w:ascii="宋体" w:hAnsi="宋体" w:eastAsia="宋体"/>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先强后弱，其中2403合约报收3.869美元/磅，涨跌幅-0.44%。国际方面，受个人支出增长推动，美国第四季度GDP超预期增长3.3%。美国至1月20日当周初请失业金人数录得21.4万人，为2023年12月23日当周以来新高。国内方面，自2024年2月5日起，下调金融机构存款准备金率0.5个百分点，向市场提供长期流动性约1万亿元。基本面上，12月表观消费较11月小幅上涨，库存方面，国内库存仍保持低水位运行，但有所积累，海外库存持续去化，需求及经济恢复情况转暖。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744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7449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四季度实际GDP年化环比初值上涨3.3%，增幅较前值4.9%放缓，但高于预期的2%。除GDP外，四季度实际个人消费支出季率初值2.8%，预期2.5%，2023年第三季度终值3.1%。整体经济在消费项支撑下仍就火热，整体不利美联储开展后继降息进程。美国上周初请失业金人数为21.4万人，预期20万人，前值18.7万人；1月13日当周续请失业金人数183.3万，预期182.8万人，前值180.6万人，失业金申请人数有所上调或暗示后继失业率数据将有所抬升，有利劳动力市场得到平衡。</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25</w:t>
      </w:r>
      <w:bookmarkStart w:id="2" w:name="_GoBack"/>
      <w:bookmarkEnd w:id="2"/>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858.93</w:t>
      </w:r>
      <w:r>
        <w:rPr>
          <w:rFonts w:hint="eastAsia" w:ascii="仿宋" w:hAnsi="仿宋" w:eastAsia="仿宋" w:cs="仿宋"/>
          <w:b w:val="0"/>
          <w:bCs w:val="0"/>
          <w:color w:val="000000" w:themeColor="text1"/>
          <w:sz w:val="24"/>
          <w:szCs w:val="24"/>
          <w14:textFill>
            <w14:solidFill>
              <w14:schemeClr w14:val="tx1"/>
            </w14:solidFill>
          </w14:textFill>
        </w:rPr>
        <w:t>吨，较上一交易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往后看，短期内经济数据走强或持续抬升市场利率预期，美债收益率及美元指数或再次得到一定支撑，贵金属或相对承压。操作上建议，日内轻仓做空，请投资者注意风险控制。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44600"/>
            <wp:effectExtent l="0" t="0" r="5080"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71770" cy="124460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美国经济数据显示第四季度GDP增长快于预期，加上红海紧张局势持续扰乱全球贸易，推动油价创下2023年11月底以来最高水平。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中东地缘政治紧张局势和红海走廊航运中断仍然是焦点。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丹麦航运巨头马士基表示，在附近发生爆炸后，该公司两艘运载美国军用物资的船只在通过曼德海峡北行时掉头，尽管这两艘船当时得到美国海军护航。</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军方表示周三早些时候对也门发动了更多打击，摧毁了两枚瞄准红海并准备发射的胡塞武装反舰导弹。与此同时，也门胡塞武装领导人表示，该组织将继续瞄准与以色列有联系的船只，直到人道主义援助能够送达加沙的巴勒斯坦人民手中。</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斯科普市场公司分析师约书亚马霍尼表示，现在市场终于意识到供应链中断确实可能持续数月，（美国)通过军事解决方案来确保安全通行的前景看起来不太可行。</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瑞穗能源期货总监鲍勃亚戈尔表示，乌克兰无人机隔夜袭击了俄罗斯南部一家炼油厂，也引发了供应担忧。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在美国，极度寒冷天气导致上周原油产量下降，上周原油库存降幅超出预期，也支撑了油价上涨。美国能源信息署（EIA）的数据显示上周美国库存减少920万桶。</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周四数据显示美国第四季度经济增长3.3%，高于经济学家预期的2.0%，也被视为积极的需求指标。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中国央行宣布2月初将会降准0.5%，将向银行系统释放1万亿元的流动性，提振了这个头号原油进口国的经济增长前景。</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不过其他地方的央行仍然可能维持高利率。欧洲央行周四将利率维持在4%的历史高位，没有暗示在考虑放松货币政策。</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纽约商品期货交易所（NYMEX）的西德克萨斯中质原油（WTI）3月合约较上一交易日上涨2.27美元或2.99%，报77.36美元/桶，短期呈现宽幅震荡走势。支撑位：74.4；压力位：78。</w:t>
      </w:r>
    </w:p>
    <w:p>
      <w:r>
        <w:drawing>
          <wp:inline distT="0" distB="0" distL="0" distR="0">
            <wp:extent cx="5274310" cy="30765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307657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洲际期货交易所（ICE）原糖期货周四自七周高点回落，Unica数据显示1月上半月巴西中南部地区糖产量同比大幅增长。交投最活跃的ICE 3月原糖期货合约收盘收跌0.42美分或1.70%，结算价每磅24.04美分。操作上，建议3月 ICE 原糖短期获利了结，新单暂且观望。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7960" cy="2148840"/>
            <wp:effectExtent l="0" t="0" r="8890" b="3810"/>
            <wp:docPr id="14" name="图片 14" descr="3524edee4cab224da8462f570c3d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524edee4cab224da8462f570c3d2e9"/>
                    <pic:cNvPicPr>
                      <a:picLocks noChangeAspect="1"/>
                    </pic:cNvPicPr>
                  </pic:nvPicPr>
                  <pic:blipFill>
                    <a:blip r:embed="rId14"/>
                    <a:stretch>
                      <a:fillRect/>
                    </a:stretch>
                  </pic:blipFill>
                  <pic:spPr>
                    <a:xfrm>
                      <a:off x="0" y="0"/>
                      <a:ext cx="5267960" cy="214884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洲际交易所(ICE)棉花期货周四上涨，并触及逾三个月高位，因受助于美国股市涨势提振。交投最活跃的ICE 3月期棉收涨0.36美分或0.42%，结算价报85.76美分/磅。操作上，建议3月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4310" cy="2162175"/>
            <wp:effectExtent l="0" t="0" r="2540" b="9525"/>
            <wp:docPr id="16" name="图片 16" descr="e43445cf38837d479f6779d1264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43445cf38837d479f6779d126435d0"/>
                    <pic:cNvPicPr>
                      <a:picLocks noChangeAspect="1"/>
                    </pic:cNvPicPr>
                  </pic:nvPicPr>
                  <pic:blipFill>
                    <a:blip r:embed="rId15"/>
                    <a:stretch>
                      <a:fillRect/>
                    </a:stretch>
                  </pic:blipFill>
                  <pic:spPr>
                    <a:xfrm>
                      <a:off x="0" y="0"/>
                      <a:ext cx="5274310" cy="21621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2024-01-26T01:24:34Z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8493792CB46D4B43B197BB798C67CACB_13</vt:lpwstr>
  </property>
</Properties>
</file>