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30</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30</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美国财政部把1月至3月的净借款规模预估由10月底公布的8160亿美元下调至7600亿美元。</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财政部在声明中表示，借款需求下降源于财政净流入预测上调，以及本季之初手头现金规模高于预期。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欧元区货币市场已完全定价欧洲央行将于2024年4月进行首次降息，降息幅度为25个基点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，预计2024年欧洲央行将降息149个基点。</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加拿大截至1月26日当周全国经济信心指数51.9，前值51.42。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意大利2023年12月非欧盟贸易帐初值盈余83.3亿欧元，11月终值盈余62.74亿欧元。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据韩国统计厅和流通行业公布的数据，2023年韩国国内就业人口中销售从业人员262.1万人，同比减少6万人。由此，销售从业人员已连续9年减少，且较10年前（2013年）大减45.3万人。同时，网购交易额逐渐递增，2022年达210亿韩元（约合1.13亿元人民币）。</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07:30 日本12月失业率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14:30 法国第四季度GDP年率初值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瑞士12月贸易帐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16:00 瑞士1月KOF经济领先指标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德国第四季度未季调GDP年率初值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英国12月央行抵押贷款许可</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欧元区第四季度GDP年率初值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欧元区1月工业景气指数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欧元区1月消费者信心指数终值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欧元区1月经济景气指数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美国11月FHFA房价指数月率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美国11月S&amp;P/CS20座大城市房价指数年率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美国12月JOLTs职位空缺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美国1月谘商会消费者信心指数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美国至1月26日当周API原油库存</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1月30日（周二），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涨0.59%报38333.45点，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涨0.76%报4927.93点，均续创历史新高，</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涨1.12%报15628.04点。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涨0.38%报8578美元/吨，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涨0.76%报2032.7美元/盎司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涨1.98%报23.325美元/盎司。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23.53</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跌0.13</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84.18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二美元指数跌0.01%报103.47，非美货币多数上涨，欧元兑美元跌0.19%报1.0833，英镑兑美元涨0.1%报1.2712，澳元兑美元涨0.56%报0.6611，美元兑日元跌0.45%报147.51。昨日美国财政部把1月至3月的净借款规模预估由10月底公布的8160亿美元下调至7600亿美元。财政部在声明中表示，借款需求下降源于财政净流入预测上调，以及本季之初手头现金规模高于预期。财政部借款需求下降或降低市场对后继美债供给的预期，整体有利长端美债收益率回落。往后看，短期内数据显示美国经济仍保有一定韧性，市场对美联储降息时间节点预期有所后移，利率预期将持续给予美元指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244600"/>
            <wp:effectExtent l="0" t="0" r="190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2446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截至1月30日，标普500指数收涨0.76%至4927.93点；迷你标普500主力合约收涨0.69%至4950.25点</w:t>
      </w:r>
      <w:r>
        <w:rPr>
          <w:rFonts w:hint="eastAsia" w:ascii="仿宋" w:hAnsi="仿宋" w:eastAsia="仿宋" w:cs="仿宋"/>
          <w:bCs/>
          <w:sz w:val="24"/>
          <w:szCs w:val="24"/>
        </w:rPr>
        <w:t>。美股周一收高，道指与标普500指数创历史新高。本周市场关注几家大型科技公司的财报、美联储货币政策会议、以及周五的美国1月非农就业数据。中东紧张局势加剧，增加了市场面临的不确定性因素。市场焦点转向下周的美联储1月货币政策会议</w:t>
      </w:r>
      <w:r>
        <w:rPr>
          <w:rFonts w:hint="eastAsia" w:ascii="仿宋" w:hAnsi="仿宋" w:eastAsia="仿宋" w:cs="仿宋"/>
          <w:sz w:val="24"/>
          <w:szCs w:val="24"/>
        </w:rPr>
        <w:t>。</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截至1月29日，富时中国A50指数收跌0.35%至11255.68点；新交所富时A50期指主力合约收跌0.20%至11224点</w:t>
      </w:r>
      <w:r>
        <w:rPr>
          <w:rFonts w:hint="eastAsia" w:ascii="仿宋" w:hAnsi="仿宋" w:eastAsia="仿宋" w:cs="仿宋"/>
          <w:bCs/>
          <w:sz w:val="24"/>
          <w:szCs w:val="24"/>
        </w:rPr>
        <w:t>。美股周一收高，道指与标普500指数创历史新高。本周市场关注几家大型科技公司的财报、美联储货币政策会议、以及周五的美国1月非农就业数据。中东紧张局势加剧，增加了市场面临的不确定性因素</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涨后跌，交投于103.47。美元指数盘中触及上月美联储议息会议以来新高，但随后急转直下，接近回吐日内全部涨幅，随着美国财政部意外下调Q1借款规模预期，美债收益率全线下挫，长期国债收益率领跌，10年期美债收益率最终收报4.076%；对美联储政策利率更敏感的两年期美债收益率收报4.322%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库存方面：截至1月29日，LME铜库存为150350吨，环比-1000吨。1月23日当周，上海期货交易所阴极铜库存为50532吨，周环比+2779吨。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外盘持仓方面：根据CFTC公布的最新数据显示，截止至1月16日当周，非商业多头持仓66369手，空头为96292手，净空持仓为29923手，较上周净空增加4617手。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3.885美元/磅，涨跌幅+0.88%。国际方面，美联储预计将在周三维持利率不变，投资者将重点关注美联储主席鲍威尔的发言，他曾在12月暗示联储正转向降息周期。国内方面，中国2023年规模以上工业企业实现利润总额76858.3亿元，同比下降2.3%，降幅比1-11月收窄2.1个百分点。2023年12月规模以上工业企业实现利润同比增长16.8%，为连续5个月正增长。基本面上，TC价格持续走低，矿端供给或偏紧。国内现货供给方面12月表观消费较11月小幅下滑，需求方面预期向好。库存方面，国内库存仍保持低水位运行，但有所积累。LME库存去化较明显，海外需求逐步转好。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236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2369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国财政部把1月至3月的净借款规模预估由10月底公布的8160亿美元下调至7600亿美元。财政部在声明中表示，借款需求下降源于财政净流入预测上调，以及本季之初手头现金规模高于预期。财政部借款需求下降或降低市场对后继美债供给的预期，整体有利长端美债收益率回落。</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29</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856.05</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日下降1.16吨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数据显示美国经济仍保有一定韧性，市场对美联储降息时间节点预期有所后移，利率预期将持续给予美元指数一定支撑，但美债收益率在供给预期下降的影响下或有所回落，持有成本下降或提振贵金属价格。操作上建议，日内观望为主，请投资者注意风险控制</w:t>
      </w:r>
      <w: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t>。</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7960" cy="1278890"/>
            <wp:effectExtent l="0" t="0" r="8890"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7960" cy="127889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由于之前两个交易日里原油期货一直处于超买状态，市场已经做好了油价回调的准备，但是欧佩克联盟的原油出口数据进一步打压油价走低。</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数据公司卡普勒的数据显示，1月份欧佩克里面的总体原油出口量基本维持不变，这表明减产承诺的落实步伐依然缓慢。去年11月底该产油国联盟曾表示将在一季度将产量额外削减220万桶/日。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不过交易员们表示，如果美国对中东冲突升级做出强烈回应，有可能会推高油价。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末期间，美国驻约旦的军事基地遭到无人机袭击，导致三名美国士兵被杀，另有二十五人受伤。白宫指责伊朗支持的武装分子发动了此次袭击，并表示正在考虑可能采取的行动。不过伊朗否认与此次袭击有关。此次无人机袭击标志着美军多年来在中东地区遭遇的最大伤亡事件。自去年10月加沙冲突爆发以来，美国驻叙利亚和伊拉克的军事基地多次遭到导弹和无人机袭击。作为报复，美国对伊朗支持的叙利亚和伊拉克民兵组织使用的设施进行了打击，并在巴格达杀死了一名伊拉克民兵的高级指挥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周一美国国防部长劳埃德奥斯汀表示，伊朗支持的武装分子应对这些对美军的持续袭击负责，美国将在自己选择的时间和地点作出回应。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加拿大皇家银行分析师赫里玛克劳夫特表示，三名美国士兵在约旦遭袭身亡，标志着中东冲突的关键转折点，由于美国与伊朗可能更直接对抗，增加了地区能源供应中断的风险。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1月26日，胡塞武装使用导弹袭击了托克集团运营的罗安达马林号货轮，这是一艘远程2号（LR2）成品油轮，在地中海装载了一批石脑油，正驶向东南亚。该船在遭到导弹击中后起火，但大火随后被扑灭。托克集团表示正在评估进一步红海航行的安全风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澳新银行分析师表示，迄今为止供应中断有限，但是周五托克运营的油轮在也门海岸附近遭到导弹击中后，情况发生了变化。</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随着冲突加剧，本月迄今国际原油期货上涨了7%左右，但是由于供应充足，限制了价格进一步上涨。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虽然胡塞武装对驶往以色列的红海船只持续发动打击，导致一些货轮改道，从而增加了货运成本，但是迄今为止，尚未导致原油供应出现短缺或影响原油生产。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上周，基金经理回补了一些原油期市的空头，大幅削减了自四月份以来的看跌押注。但是仅仅小幅增加了多单持仓，这表明人们对近期的反弹缺乏信心。</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加拿大帝国银行私人财富公司的高级能源交易员丽贝卡巴宾表示，（原油进一步上涨）需要人们相信涨势，而不仅仅是害怕赔钱而将空单平仓。</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纽约商品期货交易所（NYMEX）的西德克萨斯中质原油（WTI）3月合约较上一交易日下跌1.23美元或1.58%，报收76.78美元/桶，短期呈现宽幅震荡走势。支撑位：75.5；压力位：79.5。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32156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321564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洲际期货交易所（ICE）原糖期货周一收低，回吐盘中涨幅。巴西本年度结束时库存很高，可能对现货价格造成压力。交投最活跃的ICE 3月原糖期货合约收盘收跌0.24美分或1.0%，结算价每磅23.53美分。操作上，建议3月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5420" cy="2174875"/>
            <wp:effectExtent l="0" t="0" r="11430" b="15875"/>
            <wp:docPr id="8" name="图片 8" descr="a949568e77fa878e71d5a2a472e1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49568e77fa878e71d5a2a472e19d2"/>
                    <pic:cNvPicPr>
                      <a:picLocks noChangeAspect="1"/>
                    </pic:cNvPicPr>
                  </pic:nvPicPr>
                  <pic:blipFill>
                    <a:blip r:embed="rId14"/>
                    <a:stretch>
                      <a:fillRect/>
                    </a:stretch>
                  </pic:blipFill>
                  <pic:spPr>
                    <a:xfrm>
                      <a:off x="0" y="0"/>
                      <a:ext cx="5265420" cy="217487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rPr>
          <w:rFonts w:hint="eastAsia" w:ascii="仿宋" w:hAnsi="仿宋" w:eastAsia="仿宋" w:cs="仿宋"/>
          <w:sz w:val="24"/>
          <w:szCs w:val="24"/>
        </w:rPr>
      </w:pPr>
      <w:r>
        <w:rPr>
          <w:rFonts w:hint="eastAsia" w:ascii="仿宋" w:hAnsi="仿宋" w:eastAsia="仿宋" w:cs="仿宋"/>
          <w:sz w:val="24"/>
          <w:szCs w:val="24"/>
        </w:rPr>
        <w:t>洲际交易所(ICE)棉花期货周一下跌，盘中触及一周低点，受美元走强打压。交投最活跃的ICE 3月期棉收跌0.11美分或0.13%，结算价报84.18美分/磅。操作上，建议3月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3040" cy="2133600"/>
            <wp:effectExtent l="0" t="0" r="3810" b="0"/>
            <wp:docPr id="9" name="图片 9" descr="2062ebab2ee094eb6cbdf45902b1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62ebab2ee094eb6cbdf45902b150a"/>
                    <pic:cNvPicPr>
                      <a:picLocks noChangeAspect="1"/>
                    </pic:cNvPicPr>
                  </pic:nvPicPr>
                  <pic:blipFill>
                    <a:blip r:embed="rId15"/>
                    <a:stretch>
                      <a:fillRect/>
                    </a:stretch>
                  </pic:blipFill>
                  <pic:spPr>
                    <a:xfrm>
                      <a:off x="0" y="0"/>
                      <a:ext cx="5273040" cy="213360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2024-01-30T02:36:39Z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CD0B5439B5BB44D4A480AC8FAD6C7A74_13</vt:lpwstr>
  </property>
</Properties>
</file>