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2024年2月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27</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二</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2024年2月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27</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二</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欧洲央行行长拉加德表示，欧洲央行尚未实现通胀目标，必须持续地实现2%这一通胀目标。欧洲央行管委斯图纳拉斯称，任何货币政策调整必须逐步进行，预计6月将进行首次降息。</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印度政府推出芯片制造补贴计划后，已合计收到价值210亿美元的半导体提案。其中，以色列</w:t>
      </w:r>
      <w:r>
        <w:rPr>
          <w:rFonts w:hint="eastAsia" w:ascii="仿宋" w:hAnsi="仿宋" w:eastAsia="仿宋" w:cs="仿宋"/>
          <w:b w:val="0"/>
          <w:bCs w:val="0"/>
          <w:color w:val="000000" w:themeColor="text1"/>
          <w:sz w:val="24"/>
          <w:szCs w:val="24"/>
          <w:u w:val="none"/>
          <w14:textFill>
            <w14:solidFill>
              <w14:schemeClr w14:val="tx1"/>
            </w14:solidFill>
          </w14:textFill>
        </w:rPr>
        <w:t>Tower半导体</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计划斥资90亿美元建设一座工厂，塔塔集团提议投资80亿美元建立一家芯片制造公司。</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韩国保健福祉部表示，韩国已有超万名实习医生和住院医生请辞，占百家医院实习住院医生总数的80.5%；实际离岗缺勤医生达9006人，占72.3%。</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美国1月新屋销售总数年化66.1万户，预期68万户，前值66.4万户；新屋销售年化环比升1.5%，预期升3%，前值升8%。</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07:30 日本1月核心CPI年率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15:00 德国3月Gfk消费者信心指数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22:00 美国12月FHFA房价指数月率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22:00 美国12月S&amp;P/CS20座大城市房价指数年率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22:05 美联储理事巴尔就交易对手信用风险发表讲话</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美国2月谘商会消费者信心指数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美国2月里奇蒙德联储制造业指数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次日05:30 美国至2月23日当周API原油库存</w:t>
      </w: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2月27日（周二），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美国三大股指小幅收跌，</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跌0.16%报39069.23点，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跌0.38%报5069.53点，</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跌0.13%报15976.25点。</w:t>
      </w:r>
      <w:r>
        <w:rPr>
          <w:rFonts w:hint="eastAsia" w:ascii="仿宋" w:hAnsi="仿宋" w:eastAsia="仿宋" w:cs="仿宋"/>
          <w:b w:val="0"/>
          <w:bCs w:val="0"/>
          <w:color w:val="000000" w:themeColor="text1"/>
          <w:sz w:val="24"/>
          <w:szCs w:val="24"/>
          <w:u w:val="none"/>
          <w14:textFill>
            <w14:solidFill>
              <w14:schemeClr w14:val="tx1"/>
            </w14:solidFill>
          </w14:textFill>
        </w:rPr>
        <w:t>LME期铜</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跌1.38%报8449美元/吨，</w:t>
      </w:r>
      <w:r>
        <w:rPr>
          <w:rFonts w:hint="eastAsia" w:ascii="仿宋" w:hAnsi="仿宋" w:eastAsia="仿宋" w:cs="仿宋"/>
          <w:b w:val="0"/>
          <w:bCs w:val="0"/>
          <w:color w:val="000000" w:themeColor="text1"/>
          <w:sz w:val="24"/>
          <w:szCs w:val="24"/>
          <w:u w:val="none"/>
          <w14:textFill>
            <w14:solidFill>
              <w14:schemeClr w14:val="tx1"/>
            </w14:solidFill>
          </w14:textFill>
        </w:rPr>
        <w:t>COMEX黄金期货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收跌0.41%报2040.9美元/盎司，</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收跌1.99%报22.525美元/盎司。</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收盘涨1.56%</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22.16</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涨1.4</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93.8</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lang w:eastAsia="zh-CN"/>
          <w14:textFill>
            <w14:solidFill>
              <w14:schemeClr w14:val="tx1"/>
            </w14:solidFill>
          </w14:textFill>
        </w:rPr>
      </w:pPr>
      <w:r>
        <w:drawing>
          <wp:inline distT="0" distB="0" distL="114300" distR="114300">
            <wp:extent cx="5271135" cy="2966720"/>
            <wp:effectExtent l="0" t="0" r="5715"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t>截至周二美元指数跌0.19%报103.7777，非美货币涨跌不一，欧元兑美元涨0.28%报1.0851，英镑兑美元涨0.12%报1.2685，澳元兑美元跌0.37%报0.654，美元兑日元涨0.11%报150.698。昨日美国财政部国债拍卖会结果不佳，2年期以及5年期国债拍卖总规模分别为630以及640亿美元，前者为2年期国债拍卖历史上最大规模。两项国债中标利率均高于预期，显示整体需求有所回落，10年期美债收益率受短端债影响随之上扬。非美国家方面，欧洲央行行长拉加德表示，欧洲央行尚未实现通胀目标，必须持续地实现2%这一通胀目标。欧洲央行管委斯图纳拉斯称，任何货币政策调整必须逐步进行，预计6月将进行首次降息。欧洲央行意外放鹰使市场调高未来预期利率水平，欧元随之得到提振。往后看，短期内受欧元走强的影响，美元指数或相对承压。</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pPr>
      <w:r>
        <w:drawing>
          <wp:inline distT="0" distB="0" distL="114300" distR="114300">
            <wp:extent cx="5267960" cy="1254760"/>
            <wp:effectExtent l="0" t="0" r="8890" b="25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67960" cy="1254760"/>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ascii="宋体" w:hAnsi="宋体"/>
          <w:b/>
          <w:color w:val="C00000"/>
          <w:sz w:val="32"/>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2月27日，标普500指数收跌0.38%至5069.53点；迷你标普500主力合约收跌0.34%至5077.5点。美股周一小幅收跌。投资者正等待定于本周晚些时候公布的通胀数据，其中包括美联储最青睐的通胀指标——PCE价格指数。本周至少有10位美联储官员发表讲话，预计这些官员可能会重申对利率持谨慎态度。策略上，逢低试多。详细支撑阻力位请见图表4。</w:t>
      </w:r>
    </w:p>
    <w:p>
      <w:pPr>
        <w:pStyle w:val="31"/>
        <w:numPr>
          <w:numId w:val="0"/>
        </w:numPr>
        <w:spacing w:line="360" w:lineRule="auto"/>
        <w:ind w:leftChars="0"/>
        <w:rPr>
          <w:rFonts w:hint="eastAsia" w:ascii="新宋体" w:hAnsi="新宋体" w:eastAsia="新宋体"/>
        </w:rPr>
      </w:pPr>
      <w:r>
        <w:drawing>
          <wp:inline distT="0" distB="0" distL="0" distR="0">
            <wp:extent cx="5274310" cy="1922780"/>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4310" cy="1922780"/>
                    </a:xfrm>
                    <a:prstGeom prst="rect">
                      <a:avLst/>
                    </a:prstGeom>
                  </pic:spPr>
                </pic:pic>
              </a:graphicData>
            </a:graphic>
          </wp:inline>
        </w:drawing>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截至2月26日，富时中国A50指数收跌1.64%至11803.36点；新交所富时A50期指主力合约收跌1.69%至11786点</w:t>
      </w:r>
      <w:r>
        <w:rPr>
          <w:rFonts w:hint="eastAsia" w:ascii="仿宋" w:hAnsi="仿宋" w:eastAsia="仿宋" w:cs="仿宋"/>
          <w:bCs/>
          <w:sz w:val="24"/>
          <w:szCs w:val="24"/>
        </w:rPr>
        <w:t>。1月金融数据实现开门红，在去年高基数的基础上，结构上亦有一定改善；此外央行续作5000亿MLF，调降五年期LPR利率，总体利好风险偏好的回升</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策略上，中长线逢低试多。详细支撑阻力位请见图表4。</w:t>
      </w:r>
    </w:p>
    <w:p>
      <w:pPr>
        <w:rPr>
          <w:rFonts w:ascii="新宋体" w:hAnsi="新宋体" w:eastAsia="新宋体"/>
        </w:rPr>
      </w:pPr>
      <w:r>
        <w:drawing>
          <wp:inline distT="0" distB="0" distL="0" distR="0">
            <wp:extent cx="5274310" cy="1924685"/>
            <wp:effectExtent l="0" t="0" r="2540"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1924685"/>
                    </a:xfrm>
                    <a:prstGeom prst="rect">
                      <a:avLst/>
                    </a:prstGeom>
                  </pic:spPr>
                </pic:pic>
              </a:graphicData>
            </a:graphic>
          </wp:inline>
        </w:drawing>
      </w:r>
    </w:p>
    <w:p>
      <w:pPr>
        <w:pStyle w:val="31"/>
        <w:numPr>
          <w:ilvl w:val="0"/>
          <w:numId w:val="2"/>
        </w:numPr>
        <w:spacing w:line="360" w:lineRule="auto"/>
        <w:ind w:leftChars="0"/>
        <w:rPr>
          <w:rFonts w:hint="eastAsia" w:ascii="宋体" w:hAnsi="宋体" w:eastAsia="宋体"/>
          <w:b/>
          <w:color w:val="002060"/>
          <w:sz w:val="28"/>
          <w:lang w:val="en-US"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隔夜美元指数高开低走，交投于103.78。美国国债收益率回落，基准的10年期美债收益率亚盘小幅下跌，随后于欧盘回升，收报4.281%，对美联储政策利率最敏感的2年期美债收益率收报4.279%。</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库存方面：截至2月26日，LME铜库存为127825吨，环比+4925吨。2月23日当周，上海期货交易所阴极铜库存为181323吨，周环比+94803吨。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外盘持仓方面：根据CFTC公布的最新数据显示，截止至2月20日当周，非商业多头持仓79941手，空头为95883手，净空持仓为15942手，较上周净空减少16755手。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震荡走弱，其中2405合约报收3.837美元/磅，涨跌幅-1.64%。国际方面，据CME“美联储观察”：美联储3月维持利率在5.25%-5.50%区间不变的概率为97.5%，降息25个基点的概率为2.5%。到5月维持利率不变的概率为85.0%。市场情绪依然喜忧参半，但略有负面倾向，有利于美元。国内方面，国务院总理李强指出，要全面清理妨碍统一市场和公平竞争的政策规定，大力破除各种市场准入的显性和隐性壁垒，持续治理地方保护、市场分割、招商引资乱象等突出问题。基本面上，TC价格继续下行，矿端供给偏紧略有加剧。供给方面，春节假期结束冶炼厂陆续进入复工状态，预计2月表观消费由于假期原因小幅下滑。需求方面，国内宏观预期向好，随着“金三银四”到来以及节后下游复工复产，使得铜耗需求逐步提振。库存方面，国内库存受假期影响社会库存累库显著。LME库存去化较明显，海外需求逐步转好。操作上，建议COMEX铜2405合约轻仓逢低短多交易，注意交易节奏及风险控制。</w:t>
      </w:r>
    </w:p>
    <w:p>
      <w:pPr>
        <w:spacing w:line="312" w:lineRule="auto"/>
        <w:rPr>
          <w:rFonts w:ascii="宋体" w:hAnsi="宋体" w:eastAsia="宋体"/>
          <w:b/>
          <w:color w:val="000000" w:themeColor="text1"/>
          <w14:textFill>
            <w14:solidFill>
              <w14:schemeClr w14:val="tx1"/>
            </w14:solidFill>
          </w14:textFill>
        </w:rPr>
      </w:pPr>
      <w:r>
        <w:drawing>
          <wp:inline distT="0" distB="0" distL="0" distR="0">
            <wp:extent cx="5274310" cy="159639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596390"/>
                    </a:xfrm>
                    <a:prstGeom prst="rect">
                      <a:avLst/>
                    </a:prstGeom>
                  </pic:spPr>
                </pic:pic>
              </a:graphicData>
            </a:graphic>
          </wp:inline>
        </w:drawing>
      </w:r>
    </w:p>
    <w:p>
      <w:pPr>
        <w:autoSpaceDE w:val="0"/>
        <w:autoSpaceDN w:val="0"/>
        <w:adjustRightInd w:val="0"/>
        <w:spacing w:line="360" w:lineRule="auto"/>
        <w:rPr>
          <w:rFonts w:hint="eastAsia" w:ascii="宋体" w:hAnsi="宋体"/>
          <w:b/>
          <w:color w:val="C00000"/>
          <w:sz w:val="32"/>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消息面：</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昨日美国财政部国债拍卖会结果不佳，2年期以及5年期国债拍卖总规模分别为630以及640亿美元，前者为2年期国债拍卖历史上最大规模。两项国债中标利率均高于预期，显示整体需求有所回落，10年期美债收益率受短端债影响随之上扬。</w:t>
      </w: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b w:val="0"/>
          <w:bCs w:val="0"/>
          <w:color w:val="000000" w:themeColor="text1"/>
          <w:sz w:val="24"/>
          <w:szCs w:val="24"/>
          <w14:textFill>
            <w14:solidFill>
              <w14:schemeClr w14:val="tx1"/>
            </w14:solidFill>
          </w14:textFill>
        </w:rPr>
        <w:t>外盘持仓方面：截至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2</w:t>
      </w:r>
      <w:r>
        <w:rPr>
          <w:rFonts w:hint="eastAsia" w:ascii="仿宋" w:hAnsi="仿宋" w:eastAsia="仿宋" w:cs="仿宋"/>
          <w:b w:val="0"/>
          <w:bCs w:val="0"/>
          <w:color w:val="000000" w:themeColor="text1"/>
          <w:sz w:val="24"/>
          <w:szCs w:val="24"/>
          <w14:textFill>
            <w14:solidFill>
              <w14:schemeClr w14:val="tx1"/>
            </w14:solidFill>
          </w14:textFill>
        </w:rPr>
        <w:t>月</w:t>
      </w:r>
      <w:r>
        <w:rPr>
          <w:rFonts w:hint="eastAsia" w:ascii="仿宋" w:hAnsi="仿宋" w:eastAsia="仿宋" w:cs="仿宋"/>
          <w:b w:val="0"/>
          <w:bCs w:val="0"/>
          <w:color w:val="000000" w:themeColor="text1"/>
          <w:sz w:val="24"/>
          <w:szCs w:val="24"/>
          <w:lang w:val="en-US" w:eastAsia="zh-CN"/>
          <w14:textFill>
            <w14:solidFill>
              <w14:schemeClr w14:val="tx1"/>
            </w14:solidFill>
          </w14:textFill>
        </w:rPr>
        <w:t>26</w:t>
      </w:r>
      <w:r>
        <w:rPr>
          <w:rFonts w:hint="eastAsia" w:ascii="仿宋" w:hAnsi="仿宋" w:eastAsia="仿宋" w:cs="仿宋"/>
          <w:b w:val="0"/>
          <w:bCs w:val="0"/>
          <w:color w:val="000000" w:themeColor="text1"/>
          <w:sz w:val="24"/>
          <w:szCs w:val="24"/>
          <w14:textFill>
            <w14:solidFill>
              <w14:schemeClr w14:val="tx1"/>
            </w14:solidFill>
          </w14:textFill>
        </w:rPr>
        <w:t>日，SPDR Gold Trust黄金ETF持仓量为</w:t>
      </w:r>
      <w:r>
        <w:rPr>
          <w:rFonts w:hint="eastAsia" w:ascii="仿宋" w:hAnsi="仿宋" w:eastAsia="仿宋" w:cs="仿宋"/>
          <w:b w:val="0"/>
          <w:bCs w:val="0"/>
          <w:color w:val="000000" w:themeColor="text1"/>
          <w:sz w:val="24"/>
          <w:szCs w:val="24"/>
          <w:lang w:val="en-US" w:eastAsia="zh-CN"/>
          <w14:textFill>
            <w14:solidFill>
              <w14:schemeClr w14:val="tx1"/>
            </w14:solidFill>
          </w14:textFill>
        </w:rPr>
        <w:t>827.81</w:t>
      </w:r>
      <w:r>
        <w:rPr>
          <w:rFonts w:hint="eastAsia" w:ascii="仿宋" w:hAnsi="仿宋" w:eastAsia="仿宋" w:cs="仿宋"/>
          <w:b w:val="0"/>
          <w:bCs w:val="0"/>
          <w:color w:val="000000" w:themeColor="text1"/>
          <w:sz w:val="24"/>
          <w:szCs w:val="24"/>
          <w14:textFill>
            <w14:solidFill>
              <w14:schemeClr w14:val="tx1"/>
            </w14:solidFill>
          </w14:textFill>
        </w:rPr>
        <w:t>吨</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lang w:val="en-US" w:eastAsia="zh-CN"/>
          <w14:textFill>
            <w14:solidFill>
              <w14:schemeClr w14:val="tx1"/>
            </w14:solidFill>
          </w14:textFill>
        </w:rPr>
        <w:t>较</w:t>
      </w:r>
      <w:r>
        <w:rPr>
          <w:rFonts w:hint="eastAsia" w:ascii="仿宋" w:hAnsi="仿宋" w:eastAsia="仿宋" w:cs="仿宋"/>
          <w:b w:val="0"/>
          <w:bCs w:val="0"/>
          <w:color w:val="000000" w:themeColor="text1"/>
          <w:sz w:val="24"/>
          <w:szCs w:val="24"/>
          <w14:textFill>
            <w14:solidFill>
              <w14:schemeClr w14:val="tx1"/>
            </w14:solidFill>
          </w14:textFill>
        </w:rPr>
        <w:t>上一交易</w:t>
      </w:r>
      <w:r>
        <w:rPr>
          <w:rFonts w:hint="eastAsia" w:ascii="仿宋" w:hAnsi="仿宋" w:eastAsia="仿宋" w:cs="仿宋"/>
          <w:b w:val="0"/>
          <w:bCs w:val="0"/>
          <w:color w:val="000000" w:themeColor="text1"/>
          <w:sz w:val="24"/>
          <w:szCs w:val="24"/>
          <w:lang w:val="en-US" w:eastAsia="zh-CN"/>
          <w14:textFill>
            <w14:solidFill>
              <w14:schemeClr w14:val="tx1"/>
            </w14:solidFill>
          </w14:textFill>
        </w:rPr>
        <w:t>日持平</w:t>
      </w:r>
      <w:r>
        <w:rPr>
          <w:rFonts w:hint="eastAsia" w:ascii="仿宋" w:hAnsi="仿宋" w:eastAsia="仿宋" w:cs="仿宋"/>
          <w:b w:val="0"/>
          <w:bCs w:val="0"/>
          <w:color w:val="000000" w:themeColor="text1"/>
          <w:sz w:val="24"/>
          <w:szCs w:val="24"/>
          <w14:textFill>
            <w14:solidFill>
              <w14:schemeClr w14:val="tx1"/>
            </w14:solidFill>
          </w14:textFill>
        </w:rPr>
        <w:t>。</w:t>
      </w:r>
    </w:p>
    <w:p>
      <w:pPr>
        <w:spacing w:line="360" w:lineRule="auto"/>
        <w:ind w:firstLine="420" w:firstLineChars="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往后看，短期内美国利率预期水平或持续上修，叠加国债需求走弱，长端国债收益率或持续上涨，整体或给予贵金属价格一定压力。操作上建议，日内轻仓做空，请投资者注意风险控制。</w:t>
      </w:r>
    </w:p>
    <w:p>
      <w:pPr>
        <w:spacing w:line="360" w:lineRule="auto"/>
        <w:jc w:val="both"/>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71770" cy="1258570"/>
            <wp:effectExtent l="0" t="0" r="5080" b="1778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271770" cy="1258570"/>
                    </a:xfrm>
                    <a:prstGeom prst="rect">
                      <a:avLst/>
                    </a:prstGeom>
                    <a:noFill/>
                    <a:ln>
                      <a:noFill/>
                    </a:ln>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lang w:val="en-US" w:eastAsia="zh-CN"/>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纽约再资本公司的合伙人约翰基多夫表示，现在市场密切关注柴油。</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最近几周，美国炼油活动下滑，加上全球贸易中断导致柴油供应紧张，限制了美国对欧洲的柴油出口。本月美国柴油加工利润一度升至每桶48美元以上的四个月高位，限制了将柴油运往欧洲的套利机会。</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美国中央司令部表示，胡塞武装周六险些击中一艘悬挂美国国旗的油轮。上周另外一艘遭到胡赛武装袭击的英国油轮已经被遗弃，并出现燃料泄漏。</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在美国炼油厂完成计划的工厂检修后，预计美国炼油厂将于三月份开始恢复生产。</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美国能源信息署上周表示，过去两周美国炼油厂的产能利用率一直为80.6%。</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自11月以来，油价一直在每桶70美元至90美元之间波动。欧佩克联盟减产以及地缘政治紧张局势对油价利好，但是非欧佩克产油国的供应增加，加上需求前景令人担忧，限制了油价涨幅。</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从基金动态看，美国商品期货交易委员会（CFTC）持仓数据显示，上周投机基金连续第二周增持原油净多单，这也是五周来第四次增持。截至2月20日，投机基金在纽约WTI原油期货和期权市场持有净多单134,150手，比一周前增加18,492手。上周净买入20,695手。</w:t>
      </w:r>
    </w:p>
    <w:p>
      <w:pPr>
        <w:spacing w:line="360" w:lineRule="auto"/>
      </w:pP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纽约商品期货交易所（NYMEX）的西德克萨斯中质原油（WTI）4月合约较上一交易日上涨1.09美元或1.43%，报收77.58美元/桶，短期呈现宽幅震荡走势。支撑位：75；压力位：78.5。</w:t>
      </w:r>
    </w:p>
    <w:p>
      <w:pPr>
        <w:pStyle w:val="31"/>
        <w:numPr>
          <w:numId w:val="0"/>
        </w:numPr>
        <w:spacing w:before="240" w:line="360" w:lineRule="auto"/>
        <w:ind w:leftChars="0"/>
        <w:rPr>
          <w:rFonts w:asciiTheme="majorEastAsia" w:hAnsiTheme="majorEastAsia" w:eastAsiaTheme="majorEastAsia"/>
          <w:b/>
          <w:color w:val="002060"/>
          <w:sz w:val="28"/>
          <w:szCs w:val="28"/>
          <w:lang w:eastAsia="zh-CN"/>
        </w:rPr>
      </w:pPr>
      <w:r>
        <w:drawing>
          <wp:inline distT="0" distB="0" distL="0" distR="0">
            <wp:extent cx="5274310" cy="251206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74310" cy="2512060"/>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3"/>
      <w:bookmarkStart w:id="1" w:name="OLE_LINK4"/>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t>洲际期货交易所（ICE）原糖期货周一收高，巴西产区降雨减少可能。交投最活跃的ICE 5月原糖期货合约收盘收涨0.34美分或1.56%，结算价每磅22.16美分。操作上，建议5月 ICE 原糖短期暂且观望。</w:t>
      </w:r>
      <w:r>
        <w:rPr>
          <w:rFonts w:hint="eastAsia" w:ascii="仿宋" w:hAnsi="仿宋" w:eastAsia="仿宋" w:cs="仿宋"/>
          <w:b w:val="0"/>
          <w:bCs w:val="0"/>
          <w:sz w:val="24"/>
          <w:szCs w:val="24"/>
          <w:lang w:eastAsia="zh-CN"/>
        </w:rPr>
        <w:drawing>
          <wp:inline distT="0" distB="0" distL="114300" distR="114300">
            <wp:extent cx="5273040" cy="2247900"/>
            <wp:effectExtent l="0" t="0" r="3810" b="0"/>
            <wp:docPr id="8" name="图片 8" descr="a9414074a8eb5b6071135054cfac1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9414074a8eb5b6071135054cfac1cd"/>
                    <pic:cNvPicPr>
                      <a:picLocks noChangeAspect="1"/>
                    </pic:cNvPicPr>
                  </pic:nvPicPr>
                  <pic:blipFill>
                    <a:blip r:embed="rId14"/>
                    <a:stretch>
                      <a:fillRect/>
                    </a:stretch>
                  </pic:blipFill>
                  <pic:spPr>
                    <a:xfrm>
                      <a:off x="0" y="0"/>
                      <a:ext cx="5273040" cy="2247900"/>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洲际交易所(ICE)棉花期货周一收高，主要受美元小幅走软支撑。交投最活跃的ICE 5月期棉收涨1.31美分或1.40%，结算价报94.80美分/磅。操作上，建议5月 ICE 期棉短期暂且观望为宜。</w:t>
      </w:r>
    </w:p>
    <w:p>
      <w:pPr>
        <w:spacing w:line="360" w:lineRule="auto"/>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drawing>
          <wp:inline distT="0" distB="0" distL="114300" distR="114300">
            <wp:extent cx="5273040" cy="2201545"/>
            <wp:effectExtent l="0" t="0" r="3810" b="8255"/>
            <wp:docPr id="9" name="图片 9" descr="0c1448d536aea5a7fc707cb7e179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c1448d536aea5a7fc707cb7e179482"/>
                    <pic:cNvPicPr>
                      <a:picLocks noChangeAspect="1"/>
                    </pic:cNvPicPr>
                  </pic:nvPicPr>
                  <pic:blipFill>
                    <a:blip r:embed="rId15"/>
                    <a:stretch>
                      <a:fillRect/>
                    </a:stretch>
                  </pic:blipFill>
                  <pic:spPr>
                    <a:xfrm>
                      <a:off x="0" y="0"/>
                      <a:ext cx="5273040" cy="2201545"/>
                    </a:xfrm>
                    <a:prstGeom prst="rect">
                      <a:avLst/>
                    </a:prstGeom>
                  </pic:spPr>
                </pic:pic>
              </a:graphicData>
            </a:graphic>
          </wp:inline>
        </w:drawing>
      </w:r>
    </w:p>
    <w:p>
      <w:pPr>
        <w:spacing w:line="360" w:lineRule="auto"/>
        <w:rPr>
          <w:rFonts w:hint="eastAsia"/>
          <w:lang w:val="en-US" w:eastAsia="zh-CN"/>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spacing w:line="360" w:lineRule="auto"/>
        <w:rPr>
          <w:rFonts w:hint="eastAsia"/>
          <w:lang w:val="en-US" w:eastAsia="zh-CN"/>
        </w:rPr>
      </w:pPr>
      <w:bookmarkStart w:id="2" w:name="_GoBack"/>
      <w:bookmarkEnd w:id="2"/>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0"/>
    <w:family w:val="auto"/>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0933B5"/>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871B88"/>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20D91"/>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3314B4"/>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8E7A1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65026C"/>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2297B"/>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26DB6"/>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519F7"/>
    <w:rsid w:val="2AF9237E"/>
    <w:rsid w:val="2B037E4F"/>
    <w:rsid w:val="2B0414D5"/>
    <w:rsid w:val="2B132433"/>
    <w:rsid w:val="2B1F1E4C"/>
    <w:rsid w:val="2B366379"/>
    <w:rsid w:val="2B40077F"/>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236F71"/>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96FFF"/>
    <w:rsid w:val="307E4196"/>
    <w:rsid w:val="30861486"/>
    <w:rsid w:val="3089778B"/>
    <w:rsid w:val="308A6323"/>
    <w:rsid w:val="309D795D"/>
    <w:rsid w:val="30A12F1B"/>
    <w:rsid w:val="30A14338"/>
    <w:rsid w:val="30A528B0"/>
    <w:rsid w:val="30B34753"/>
    <w:rsid w:val="30B70723"/>
    <w:rsid w:val="30B73E55"/>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A30116"/>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1509D"/>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95FD6"/>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CC74B97"/>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3E7785B"/>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430BC"/>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963291"/>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12105"/>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7B0985"/>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9C0DA4"/>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3030FD"/>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2F1119"/>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7D3B96"/>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2864</Words>
  <Characters>3480</Characters>
  <Lines>25</Lines>
  <Paragraphs>7</Paragraphs>
  <TotalTime>1</TotalTime>
  <ScaleCrop>false</ScaleCrop>
  <LinksUpToDate>false</LinksUpToDate>
  <CharactersWithSpaces>3502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2024-02-27T01:19:46Z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FF010D86CC434D4C826885353B8EA517_13</vt:lpwstr>
  </property>
</Properties>
</file>