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三</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三</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【美国2月CPI涨幅高于预期。美国2月未季调CPI同比升3.2%，为去年12月以来新高，预期升3.1%；季调后CPI环比升0.4%，预期升0.4%；未季调核心CPI同比升3.8%，为2021年5月以来新低，预期升3.7%，环比升0.4%，预期升0.3%。</w:t>
      </w:r>
      <w:r>
        <w:rPr>
          <w:rFonts w:hint="eastAsia" w:ascii="仿宋" w:hAnsi="仿宋" w:eastAsia="仿宋" w:cs="仿宋"/>
          <w:b w:val="0"/>
          <w:bCs w:val="0"/>
          <w:color w:val="000000" w:themeColor="text1"/>
          <w:sz w:val="24"/>
          <w:szCs w:val="24"/>
          <w:lang w:val="en-US" w:eastAsia="zh-CN"/>
          <w14:textFill>
            <w14:solidFill>
              <w14:schemeClr w14:val="tx1"/>
            </w14:solidFill>
          </w14:textFill>
        </w:rPr>
        <w:t>略超预期的原因主要是能源和高波动的二手车价格上涨所致。</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【美国2月NFIB小型企业信心指数为89.4，预期90.2，前值89.9。】</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【德国2月CPI终值同比升2.5%，预期升2.5%，前值升2.9%；环比升0.4%，预期升0.4%，前值升0.2%。】</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【日本2月国内企业物价指数初值为120.3，同比升0.6%，升幅比上月的0.2%有所扩大。主要原因是政府为应对物价上涨而采取的抑制电费燃气费措施的效果减弱。】</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333333"/>
          <w:spacing w:val="0"/>
          <w:sz w:val="24"/>
          <w:szCs w:val="24"/>
          <w:shd w:val="clear" w:fill="FFFFFF"/>
        </w:rPr>
        <w:t>日产汽车考虑将在华产量削减30%</w:t>
      </w:r>
      <w:r>
        <w:rPr>
          <w:rFonts w:hint="eastAsia" w:ascii="仿宋" w:hAnsi="仿宋" w:eastAsia="仿宋" w:cs="仿宋"/>
          <w:i w:val="0"/>
          <w:iCs w:val="0"/>
          <w:caps w:val="0"/>
          <w:color w:val="333333"/>
          <w:spacing w:val="0"/>
          <w:sz w:val="24"/>
          <w:szCs w:val="24"/>
          <w:shd w:val="clear" w:fill="FFFFFF"/>
          <w:lang w:eastAsia="zh-CN"/>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待定 日本多数公司公布“春斗”薪资谈判结果</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英国1月整体商品和服务贸易帐(亿英镑)</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英国1月GDP、建筑业产出、制造业产出、工业产出</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德国2月批发价格指数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欧元区1月工业产出</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19:00 美国3月8日当周MBA抵押贷款申请活动指数周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22:30 美国3月8日当周EIA精炼厂设备利用率、EIA精炼油库存、EIA汽油库存变动、EIA原油库存变动、EIA库欣地区原油库存变动</w:t>
      </w: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p>
    <w:p>
      <w:pPr>
        <w:spacing w:line="360" w:lineRule="auto"/>
        <w:jc w:val="both"/>
        <w:rPr>
          <w:rFonts w:hint="eastAsia"/>
          <w:lang w:eastAsia="zh-CN"/>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3月13日（周三），美国三大股指全线收涨，道指涨0.61%报39005.49点，标普500指数涨1.12%报5175.27点，纳指涨1.54%报16265.64点。国际金属期货普遍收跌，</w:t>
      </w:r>
      <w:r>
        <w:rPr>
          <w:rFonts w:hint="eastAsia" w:ascii="仿宋" w:hAnsi="仿宋" w:eastAsia="仿宋" w:cs="仿宋"/>
          <w:b w:val="0"/>
          <w:bCs w:val="0"/>
          <w:color w:val="000000" w:themeColor="text1"/>
          <w:sz w:val="24"/>
          <w:szCs w:val="24"/>
          <w:u w:val="none"/>
          <w14:textFill>
            <w14:solidFill>
              <w14:schemeClr w14:val="tx1"/>
            </w14:solidFill>
          </w14:textFill>
        </w:rPr>
        <w:t>LME期铜跌0.05%报8648.5美元/吨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COMEX黄金期货跌1.13%报2163.9美元/盎司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COMEX白银期货跌1.52%报24.34美元/盎司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月原糖期货合约收盘收跌0.27%，结算价每磅21.89美分，ICE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月期棉收涨0.18%，结算价报95.23美分/磅，结算价报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95.06</w:t>
      </w:r>
      <w:r>
        <w:rPr>
          <w:rFonts w:hint="eastAsia" w:ascii="仿宋" w:hAnsi="仿宋" w:eastAsia="仿宋" w:cs="仿宋"/>
          <w:b w:val="0"/>
          <w:bCs w:val="0"/>
          <w:color w:val="000000" w:themeColor="text1"/>
          <w:sz w:val="24"/>
          <w:szCs w:val="24"/>
          <w14:textFill>
            <w14:solidFill>
              <w14:schemeClr w14:val="tx1"/>
            </w14:solidFill>
          </w14:textFill>
        </w:rPr>
        <w:t>美分/磅。</w:t>
      </w:r>
    </w:p>
    <w:p>
      <w:pPr>
        <w:pStyle w:val="31"/>
        <w:widowControl/>
        <w:tabs>
          <w:tab w:val="left" w:pos="360"/>
        </w:tabs>
        <w:spacing w:afterLines="100" w:line="360" w:lineRule="auto"/>
        <w:ind w:left="0" w:leftChars="0"/>
        <w:jc w:val="both"/>
        <w:rPr>
          <w:rFonts w:eastAsia="PMingLiU" w:asciiTheme="minorEastAsia" w:hAnsiTheme="minorEastAsia"/>
          <w:szCs w:val="24"/>
        </w:rPr>
      </w:pPr>
      <w:bookmarkStart w:id="2" w:name="_GoBack"/>
      <w:r>
        <w:drawing>
          <wp:inline distT="0" distB="0" distL="114300" distR="114300">
            <wp:extent cx="5292725" cy="2258060"/>
            <wp:effectExtent l="4445" t="4445" r="17780" b="2349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bookmarkEnd w:id="2"/>
      <w:r>
        <w:rPr>
          <w:rFonts w:hint="eastAsia" w:cs="宋体" w:asciiTheme="minorEastAsia" w:hAnsiTheme="minorEastAsia"/>
          <w:sz w:val="18"/>
          <w:szCs w:val="20"/>
        </w:rPr>
        <w:t>图</w:t>
      </w:r>
      <w:r>
        <w:rPr>
          <w:rFonts w:hint="eastAsia" w:cs="宋体" w:asciiTheme="minorEastAsia" w:hAnsiTheme="minorEastAsia"/>
          <w:sz w:val="18"/>
          <w:szCs w:val="20"/>
          <w:lang w:val="en-US" w:eastAsia="zh-CN"/>
        </w:rPr>
        <w:t>表</w:t>
      </w:r>
      <w:r>
        <w:rPr>
          <w:rFonts w:hint="eastAsia" w:cs="宋体" w:asciiTheme="minorEastAsia" w:hAnsiTheme="minorEastAsia"/>
          <w:sz w:val="18"/>
          <w:szCs w:val="20"/>
        </w:rPr>
        <w:t>1</w:t>
      </w:r>
      <w:r>
        <w:rPr>
          <w:rFonts w:hint="eastAsia" w:cs="宋体" w:asciiTheme="minorEastAsia" w:hAnsiTheme="minorEastAsia"/>
          <w:sz w:val="18"/>
          <w:szCs w:val="20"/>
          <w:lang w:eastAsia="zh-CN"/>
        </w:rPr>
        <w:t>：</w:t>
      </w:r>
      <w:r>
        <w:rPr>
          <w:rFonts w:hint="eastAsia" w:cs="宋体" w:asciiTheme="minorEastAsia" w:hAnsiTheme="minorEastAsia"/>
          <w:sz w:val="18"/>
          <w:szCs w:val="20"/>
        </w:rPr>
        <w:t>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美元指数</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周三美元指数涨0.08%报102.93，非美货币多数下跌，欧元兑美元涨0.01%报1.0927，英镑兑美元跌0.16%报1.2794，澳元兑美元跌0.11%报0.6606，美元兑日元涨0.48%报147.66。昨日公布的美国2月CPI涨幅高于预期。美国2月未季调CPI同比升3.2%，为去年12月以来新高，预期升3.1%，前值升3.1%；季调后CPI环比升0.4%，预期升0.4%，前值升0.3%。整体CPI数据显示通胀顽固并符合市场预期，其中核心通胀中住房及部分服务业价格增速仍维持于高位，后继回落或仍需一定时间等待。往后看，短期内美元指数及美债收益率在通胀数据保持顽固导致利率预期小幅回升的影响下或仍得到一定支撑。</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drawing>
          <wp:inline distT="0" distB="0" distL="114300" distR="114300">
            <wp:extent cx="5266055" cy="2039620"/>
            <wp:effectExtent l="0" t="0" r="10795"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tretch>
                      <a:fillRect/>
                    </a:stretch>
                  </pic:blipFill>
                  <pic:spPr>
                    <a:xfrm>
                      <a:off x="0" y="0"/>
                      <a:ext cx="5266055" cy="2039620"/>
                    </a:xfrm>
                    <a:prstGeom prst="rect">
                      <a:avLst/>
                    </a:prstGeom>
                    <a:noFill/>
                    <a:ln>
                      <a:noFill/>
                    </a:ln>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图2</w:t>
      </w:r>
      <w:r>
        <w:rPr>
          <w:rFonts w:hint="eastAsia" w:asciiTheme="minorEastAsia" w:hAnsiTheme="minorEastAsia" w:eastAsiaTheme="minorEastAsia"/>
          <w:sz w:val="18"/>
          <w:szCs w:val="20"/>
          <w:lang w:eastAsia="zh-CN"/>
        </w:rPr>
        <w:t>：</w:t>
      </w:r>
      <w:r>
        <w:rPr>
          <w:rFonts w:hint="eastAsia" w:asciiTheme="minorEastAsia" w:hAnsiTheme="minorEastAsia" w:eastAsiaTheme="minorEastAsia"/>
          <w:sz w:val="18"/>
          <w:szCs w:val="20"/>
        </w:rPr>
        <w:t>欧元兑美元主力合约走势图</w:t>
      </w:r>
    </w:p>
    <w:p>
      <w:pPr>
        <w:spacing w:line="360" w:lineRule="auto"/>
        <w:rPr>
          <w:rFonts w:hint="eastAsia" w:ascii="宋体" w:hAnsi="宋体"/>
          <w:b/>
          <w:color w:val="C00000"/>
          <w:sz w:val="32"/>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3月13日，标普500指数收涨1.12%至5175.27点；迷你标普500主力合约收涨0.91%至5175.00点。，美股周二收高，科技股领涨。英伟达上涨逾7%，股价重新站上900美元。美国2月CPI环比上涨0.4%、同比上涨3.2%。CPI同比涨幅超预期，美联储或至二季度后开启降息。策略上，逢低试多。详细支撑阻力位请见图表</w:t>
      </w:r>
      <w:r>
        <w:rPr>
          <w:rFonts w:hint="eastAsia" w:ascii="仿宋" w:hAnsi="仿宋" w:eastAsia="仿宋" w:cs="仿宋"/>
          <w:sz w:val="24"/>
          <w:szCs w:val="24"/>
          <w:lang w:val="en-US" w:eastAsia="zh-CN"/>
        </w:rPr>
        <w:t>3</w:t>
      </w:r>
      <w:r>
        <w:rPr>
          <w:rFonts w:hint="eastAsia" w:ascii="仿宋" w:hAnsi="仿宋" w:eastAsia="仿宋" w:cs="仿宋"/>
          <w:sz w:val="24"/>
          <w:szCs w:val="24"/>
        </w:rPr>
        <w:t>。</w:t>
      </w:r>
    </w:p>
    <w:p>
      <w:pPr>
        <w:pStyle w:val="31"/>
        <w:numPr>
          <w:ilvl w:val="0"/>
          <w:numId w:val="0"/>
        </w:numPr>
        <w:spacing w:line="360" w:lineRule="auto"/>
        <w:ind w:leftChars="0"/>
        <w:rPr>
          <w:rFonts w:ascii="新宋体" w:hAnsi="新宋体" w:eastAsia="新宋体"/>
          <w:b/>
        </w:rPr>
      </w:pPr>
      <w:r>
        <w:rPr>
          <w:rFonts w:ascii="新宋体" w:hAnsi="新宋体" w:eastAsia="新宋体"/>
          <w:b/>
        </w:rPr>
        <w:drawing>
          <wp:inline distT="0" distB="0" distL="0" distR="0">
            <wp:extent cx="5274310" cy="19354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1935480"/>
                    </a:xfrm>
                    <a:prstGeom prst="rect">
                      <a:avLst/>
                    </a:prstGeom>
                  </pic:spPr>
                </pic:pic>
              </a:graphicData>
            </a:graphic>
          </wp:inline>
        </w:drawing>
      </w:r>
    </w:p>
    <w:p>
      <w:pPr>
        <w:autoSpaceDE w:val="0"/>
        <w:autoSpaceDN w:val="0"/>
        <w:adjustRightInd w:val="0"/>
        <w:spacing w:line="360" w:lineRule="auto"/>
        <w:rPr>
          <w:rFonts w:hint="default" w:asciiTheme="minorEastAsia" w:hAnsiTheme="minorEastAsia" w:eastAsiaTheme="minorEastAsia"/>
          <w:sz w:val="18"/>
          <w:szCs w:val="20"/>
          <w:lang w:val="en-US" w:eastAsia="zh-CN"/>
        </w:rPr>
      </w:pPr>
      <w:r>
        <w:rPr>
          <w:rFonts w:hint="eastAsia" w:asciiTheme="minorEastAsia" w:hAnsiTheme="minorEastAsia" w:eastAsiaTheme="minorEastAsia"/>
          <w:sz w:val="18"/>
          <w:szCs w:val="20"/>
        </w:rPr>
        <w:t>图</w:t>
      </w:r>
      <w:r>
        <w:rPr>
          <w:rFonts w:hint="eastAsia" w:asciiTheme="minorEastAsia" w:hAnsiTheme="minorEastAsia" w:eastAsiaTheme="minorEastAsia"/>
          <w:sz w:val="18"/>
          <w:szCs w:val="20"/>
          <w:lang w:val="en-US" w:eastAsia="zh-CN"/>
        </w:rPr>
        <w:t>3</w:t>
      </w:r>
      <w:r>
        <w:rPr>
          <w:rFonts w:hint="eastAsia" w:asciiTheme="minorEastAsia" w:hAnsiTheme="minorEastAsia" w:eastAsiaTheme="minorEastAsia"/>
          <w:sz w:val="18"/>
          <w:szCs w:val="20"/>
          <w:lang w:eastAsia="zh-CN"/>
        </w:rPr>
        <w:t>：</w:t>
      </w:r>
      <w:r>
        <w:rPr>
          <w:rFonts w:hint="eastAsia" w:asciiTheme="minorEastAsia" w:hAnsiTheme="minorEastAsia" w:eastAsiaTheme="minorEastAsia"/>
          <w:sz w:val="18"/>
          <w:szCs w:val="20"/>
          <w:lang w:val="en-US" w:eastAsia="zh-CN"/>
        </w:rPr>
        <w:t>S&amp;P500走势图</w:t>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3月12日，富时中国A50指数收涨0.89%至12246.64点；新交所富时A50期指主力合约收涨0.99%至12270点。当前政策面和资金面仍对市场情绪形成支撑。指数前期底部反弹后面临一定获利盘压力，短期市场不排除阶段性休整的可能。两会过后，市场对于政策预期的关注点已经告一段落，后续指数持续性抬估值过程仍需要经济数据和业绩的验证。策略上，短线观望为主。详细支撑阻力位请见图表4。</w:t>
      </w:r>
    </w:p>
    <w:p>
      <w:pPr>
        <w:rPr>
          <w:rFonts w:ascii="新宋体" w:hAnsi="新宋体" w:eastAsia="新宋体"/>
        </w:rPr>
      </w:pPr>
      <w:r>
        <w:rPr>
          <w:rFonts w:ascii="新宋体" w:hAnsi="新宋体" w:eastAsia="新宋体"/>
        </w:rPr>
        <w:drawing>
          <wp:inline distT="0" distB="0" distL="0" distR="0">
            <wp:extent cx="5274310" cy="1927860"/>
            <wp:effectExtent l="0" t="0" r="2540"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0"/>
                    <a:stretch>
                      <a:fillRect/>
                    </a:stretch>
                  </pic:blipFill>
                  <pic:spPr>
                    <a:xfrm>
                      <a:off x="0" y="0"/>
                      <a:ext cx="5274310" cy="1927860"/>
                    </a:xfrm>
                    <a:prstGeom prst="rect">
                      <a:avLst/>
                    </a:prstGeom>
                  </pic:spPr>
                </pic:pic>
              </a:graphicData>
            </a:graphic>
          </wp:inline>
        </w:drawing>
      </w:r>
    </w:p>
    <w:p>
      <w:pPr>
        <w:autoSpaceDE w:val="0"/>
        <w:autoSpaceDN w:val="0"/>
        <w:adjustRightInd w:val="0"/>
        <w:spacing w:line="360" w:lineRule="auto"/>
        <w:rPr>
          <w:rFonts w:ascii="新宋体" w:hAnsi="新宋体" w:eastAsia="新宋体"/>
        </w:rPr>
      </w:pPr>
      <w:r>
        <w:rPr>
          <w:rFonts w:hint="eastAsia" w:asciiTheme="minorEastAsia" w:hAnsiTheme="minorEastAsia" w:eastAsiaTheme="minorEastAsia"/>
          <w:sz w:val="18"/>
          <w:szCs w:val="20"/>
        </w:rPr>
        <w:t>图</w:t>
      </w:r>
      <w:r>
        <w:rPr>
          <w:rFonts w:hint="eastAsia" w:asciiTheme="minorEastAsia" w:hAnsiTheme="minorEastAsia" w:eastAsiaTheme="minorEastAsia"/>
          <w:sz w:val="18"/>
          <w:szCs w:val="20"/>
          <w:lang w:val="en-US" w:eastAsia="zh-CN"/>
        </w:rPr>
        <w:t>4</w:t>
      </w:r>
      <w:r>
        <w:rPr>
          <w:rFonts w:hint="eastAsia" w:asciiTheme="minorEastAsia" w:hAnsiTheme="minorEastAsia" w:eastAsiaTheme="minorEastAsia"/>
          <w:sz w:val="18"/>
          <w:szCs w:val="20"/>
          <w:lang w:eastAsia="zh-CN"/>
        </w:rPr>
        <w:t>：富时中国A50指数</w:t>
      </w:r>
      <w:r>
        <w:rPr>
          <w:rFonts w:hint="eastAsia" w:asciiTheme="minorEastAsia" w:hAnsiTheme="minorEastAsia" w:eastAsiaTheme="minorEastAsia"/>
          <w:sz w:val="18"/>
          <w:szCs w:val="20"/>
          <w:lang w:val="en-US" w:eastAsia="zh-CN"/>
        </w:rPr>
        <w:t>走势图</w:t>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隔夜美元指数冲高回落，交投于102.93。美国国债收益率低开高走，基准的10年期美债收益率收报4.1507%，对美联储政策利率最敏感的2年期美债收益率收报4.5842%。</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库存方面：截至3月12日，LME铜库存为110900吨，环比+50吨。3月8日当周，上海期货交易所阴极铜库存为239245吨，周环比+ 24758吨。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外盘持仓方面：根据CFTC公布的最新数据显示，截止至3月5日当周，非商业多头持仓70970手，空头为76297手，净空持仓为5327手，较上周净空增加3724手。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偏强，其中2405合约报收3.937美元/磅，涨跌幅+0.2%。国际方面，美国2月消费者价格指数(CPI)环比上涨0.4%，符合预期。CPI同比上涨3.2%，预期为上涨3.1%。2月核心CPI环比上升0.4%，预期为上升0.3%，同比上涨3.8%，预期涨幅为3.7%。美国2月整体CPI意外回升，核心CPI月率、年率均高于预期，但核心CPI年率回落至两年半低位，市场仍认为6月是美联储最有可能开始降息的时间。国内方面，央行：将继续按照党中央、国务院统一部署，稳步扩大金融领域规则、规制、管理、标准等制度型开放，着力营造市场化、法治化、国际化一流营商环境。库存方面，国内社会库存累库加剧。LME库存去化较明显，海外需求逐步转好。操作上，建议COMEX铜2405合约轻仓逢低短多交易，注意交易节奏及风险控制。</w:t>
      </w:r>
    </w:p>
    <w:p>
      <w:pPr>
        <w:spacing w:line="312" w:lineRule="auto"/>
        <w:rPr>
          <w:rFonts w:ascii="宋体" w:hAnsi="宋体" w:eastAsia="宋体"/>
          <w:b/>
          <w:color w:val="000000" w:themeColor="text1"/>
          <w14:textFill>
            <w14:solidFill>
              <w14:schemeClr w14:val="tx1"/>
            </w14:solidFill>
          </w14:textFill>
        </w:rPr>
      </w:pPr>
      <w:r>
        <w:drawing>
          <wp:inline distT="0" distB="0" distL="0" distR="0">
            <wp:extent cx="5274310" cy="1967230"/>
            <wp:effectExtent l="0" t="0" r="2540"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274310" cy="1967230"/>
                    </a:xfrm>
                    <a:prstGeom prst="rect">
                      <a:avLst/>
                    </a:prstGeom>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sz w:val="24"/>
          <w:szCs w:val="24"/>
        </w:rPr>
        <w:t>昨日公布的美国2月CPI涨幅高于预期。美国2月未季调CPI同比升3.2%，为去年12月以来新高，预期升3.1%，前值升3.1%；季调后CPI环比升0.4%，预期升0.4%，前值升0.3%。整体CPI数据显示通胀顽固并符合市场预期，其中核心通胀中住房及部分服务业价格增速仍维持于高位，后继回落或仍需一定时间等待。</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12</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815.13</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日持平</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sz w:val="24"/>
          <w:szCs w:val="24"/>
        </w:rPr>
        <w:t>往后看，短期内美元指数及美债收益率在通胀数据保持顽固导致利率预期小幅回升的影响下或仍得到一定支撑，贵金属或承压小幅回调。操作上建议，日内轻仓做空，请投资者注意风险控制。</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2405" cy="1240155"/>
            <wp:effectExtent l="0" t="0" r="4445" b="171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5272405" cy="1240155"/>
                    </a:xfrm>
                    <a:prstGeom prst="rect">
                      <a:avLst/>
                    </a:prstGeom>
                    <a:noFill/>
                    <a:ln>
                      <a:noFill/>
                    </a:ln>
                  </pic:spPr>
                </pic:pic>
              </a:graphicData>
            </a:graphic>
          </wp:inline>
        </w:drawing>
      </w:r>
    </w:p>
    <w:p>
      <w:pPr>
        <w:autoSpaceDE w:val="0"/>
        <w:autoSpaceDN w:val="0"/>
        <w:adjustRightInd w:val="0"/>
        <w:spacing w:line="360" w:lineRule="auto"/>
        <w:jc w:val="left"/>
        <w:rPr>
          <w:rFonts w:hint="eastAsia" w:ascii="宋体" w:hAnsi="宋体" w:eastAsia="宋体" w:cs="宋体"/>
          <w:sz w:val="18"/>
          <w:szCs w:val="18"/>
          <w:lang w:val="en-US" w:eastAsia="zh-CN"/>
        </w:rPr>
      </w:pPr>
      <w:r>
        <w:rPr>
          <w:rFonts w:hint="eastAsia" w:cs="宋体" w:asciiTheme="minorEastAsia" w:hAnsiTheme="minorEastAsia" w:eastAsiaTheme="minorEastAsia"/>
          <w:sz w:val="18"/>
          <w:szCs w:val="18"/>
        </w:rPr>
        <w:t>图6</w:t>
      </w:r>
      <w:r>
        <w:rPr>
          <w:rFonts w:hint="eastAsia" w:cs="宋体" w:asciiTheme="minorEastAsia" w:hAnsiTheme="minorEastAsia" w:eastAsiaTheme="minorEastAsia"/>
          <w:sz w:val="18"/>
          <w:szCs w:val="18"/>
          <w:lang w:eastAsia="zh-CN"/>
        </w:rPr>
        <w:t>：</w:t>
      </w:r>
      <w:r>
        <w:rPr>
          <w:rFonts w:hint="eastAsia" w:cs="宋体" w:asciiTheme="minorEastAsia" w:hAnsiTheme="minorEastAsia" w:eastAsiaTheme="minorEastAsia"/>
          <w:sz w:val="18"/>
          <w:szCs w:val="18"/>
        </w:rPr>
        <w:t>COMEX黄金日线走势图</w:t>
      </w:r>
    </w:p>
    <w:p>
      <w:pPr>
        <w:pStyle w:val="31"/>
        <w:numPr>
          <w:ilvl w:val="0"/>
          <w:numId w:val="2"/>
        </w:numPr>
        <w:spacing w:before="240" w:line="360" w:lineRule="auto"/>
        <w:ind w:leftChars="0"/>
        <w:rPr>
          <w:rFonts w:hint="eastAsia" w:ascii="仿宋" w:hAnsi="仿宋" w:eastAsia="仿宋" w:cs="仿宋"/>
          <w:sz w:val="24"/>
          <w:szCs w:val="24"/>
        </w:rPr>
      </w:pPr>
      <w:r>
        <w:rPr>
          <w:rFonts w:hint="eastAsia" w:asciiTheme="majorEastAsia" w:hAnsiTheme="majorEastAsia" w:eastAsiaTheme="majorEastAsia"/>
          <w:b/>
          <w:color w:val="002060"/>
          <w:sz w:val="28"/>
          <w:szCs w:val="28"/>
          <w:lang w:val="en-US" w:eastAsia="zh-CN"/>
        </w:rPr>
        <w:t>原油</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周二美国劳工统计局表示，2月份美国消费者价格稳步上涨，主要因为汽油和住房成本上涨。这也是通胀数据连续第二个月高于预期，目前市场认为美联储至少会到六月份才会降息。</w:t>
      </w:r>
      <w:r>
        <w:rPr>
          <w:rFonts w:hint="eastAsia" w:ascii="仿宋" w:hAnsi="仿宋" w:eastAsia="仿宋" w:cs="仿宋"/>
          <w:sz w:val="24"/>
          <w:szCs w:val="24"/>
        </w:rPr>
        <w:br w:type="textWrapping"/>
      </w:r>
      <w:r>
        <w:rPr>
          <w:rFonts w:hint="eastAsia" w:ascii="仿宋" w:hAnsi="仿宋" w:eastAsia="仿宋" w:cs="仿宋"/>
          <w:sz w:val="24"/>
          <w:szCs w:val="24"/>
        </w:rPr>
        <w:t>　　周二欧佩克发布月报，维持对2024年和2025年全球原油需求相对强劲增长的预测，并进一步上调了今年的经济增长预测。</w:t>
      </w:r>
      <w:r>
        <w:rPr>
          <w:rFonts w:hint="eastAsia" w:ascii="仿宋" w:hAnsi="仿宋" w:eastAsia="仿宋" w:cs="仿宋"/>
          <w:sz w:val="24"/>
          <w:szCs w:val="24"/>
        </w:rPr>
        <w:br w:type="textWrapping"/>
      </w:r>
      <w:r>
        <w:rPr>
          <w:rFonts w:hint="eastAsia" w:ascii="仿宋" w:hAnsi="仿宋" w:eastAsia="仿宋" w:cs="仿宋"/>
          <w:sz w:val="24"/>
          <w:szCs w:val="24"/>
        </w:rPr>
        <w:t>　　供应方面，美国能源信息署(EIA)预计2024年美国国内原油产量达到1319万桶/日，比上年增长26万桶/日，而之前预期的增幅为17万桶/日。瑞银分析师吉奥范尼·斯塔乌诺沃表示，产量预期上调可能是由于油价预计上涨。</w:t>
      </w:r>
      <w:r>
        <w:rPr>
          <w:rFonts w:hint="eastAsia" w:ascii="仿宋" w:hAnsi="仿宋" w:eastAsia="仿宋" w:cs="仿宋"/>
          <w:sz w:val="24"/>
          <w:szCs w:val="24"/>
        </w:rPr>
        <w:br w:type="textWrapping"/>
      </w:r>
      <w:r>
        <w:rPr>
          <w:rFonts w:hint="eastAsia" w:ascii="仿宋" w:hAnsi="仿宋" w:eastAsia="仿宋" w:cs="仿宋"/>
          <w:sz w:val="24"/>
          <w:szCs w:val="24"/>
        </w:rPr>
        <w:t>　　周四，为发达国家提供咨询的国际能源署（IEA）将发布原油供需预测。该机构的需求预测通常比欧佩克更为悲观。</w:t>
      </w:r>
      <w:r>
        <w:rPr>
          <w:rFonts w:hint="eastAsia" w:ascii="仿宋" w:hAnsi="仿宋" w:eastAsia="仿宋" w:cs="仿宋"/>
          <w:sz w:val="24"/>
          <w:szCs w:val="24"/>
        </w:rPr>
        <w:br w:type="textWrapping"/>
      </w:r>
      <w:r>
        <w:rPr>
          <w:rFonts w:hint="eastAsia" w:ascii="仿宋" w:hAnsi="仿宋" w:eastAsia="仿宋" w:cs="仿宋"/>
          <w:sz w:val="24"/>
          <w:szCs w:val="24"/>
        </w:rPr>
        <w:t>　　Vortex公司的分析师指出，由于市场依然对需求持悲观看法，而非欧佩克产油国的产量不断增长，这意味着目前油价上涨的空间很小。</w:t>
      </w:r>
      <w:r>
        <w:rPr>
          <w:rFonts w:hint="eastAsia" w:ascii="仿宋" w:hAnsi="仿宋" w:eastAsia="仿宋" w:cs="仿宋"/>
          <w:sz w:val="24"/>
          <w:szCs w:val="24"/>
        </w:rPr>
        <w:br w:type="textWrapping"/>
      </w:r>
      <w:r>
        <w:rPr>
          <w:rFonts w:hint="eastAsia" w:ascii="仿宋" w:hAnsi="仿宋" w:eastAsia="仿宋" w:cs="仿宋"/>
          <w:sz w:val="24"/>
          <w:szCs w:val="24"/>
        </w:rPr>
        <w:t>　　地缘政治紧张局势加剧，则限制了油价下跌空间。以色列和哈马斯实现停火的希望已经破灭，开罗谈判陷入僵局，以色列和黎巴嫩真主党继续交火。</w:t>
      </w:r>
      <w:r>
        <w:rPr>
          <w:rFonts w:hint="eastAsia" w:ascii="仿宋" w:hAnsi="仿宋" w:eastAsia="仿宋" w:cs="仿宋"/>
          <w:sz w:val="24"/>
          <w:szCs w:val="24"/>
        </w:rPr>
        <w:br w:type="textWrapping"/>
      </w:r>
      <w:r>
        <w:rPr>
          <w:rFonts w:hint="eastAsia" w:ascii="仿宋" w:hAnsi="仿宋" w:eastAsia="仿宋" w:cs="仿宋"/>
          <w:sz w:val="24"/>
          <w:szCs w:val="24"/>
        </w:rPr>
        <w:t>　　尽管加沙冲突并未导致原油供应严重中断，但是胡塞武装自11月以来一直在红海和亚丁湾袭击美国、英国和以色列的船只，以声援身处人道主义灾难中的加沙民众。</w:t>
      </w:r>
      <w:r>
        <w:rPr>
          <w:rFonts w:hint="eastAsia" w:ascii="仿宋" w:hAnsi="仿宋" w:eastAsia="仿宋" w:cs="仿宋"/>
          <w:sz w:val="24"/>
          <w:szCs w:val="24"/>
        </w:rPr>
        <w:br w:type="textWrapping"/>
      </w:r>
      <w:r>
        <w:rPr>
          <w:rFonts w:hint="eastAsia" w:ascii="仿宋" w:hAnsi="仿宋" w:eastAsia="仿宋" w:cs="仿宋"/>
          <w:sz w:val="24"/>
          <w:szCs w:val="24"/>
        </w:rPr>
        <w:t>　　周一，美英联军对也门西部的港口城市和小镇实施空袭；周二胡塞武装表示对红海的一艘美国船只发射了导弹。</w:t>
      </w:r>
      <w:r>
        <w:rPr>
          <w:rFonts w:hint="eastAsia" w:ascii="仿宋" w:hAnsi="仿宋" w:eastAsia="仿宋" w:cs="仿宋"/>
          <w:sz w:val="24"/>
          <w:szCs w:val="24"/>
        </w:rPr>
        <w:br w:type="textWrapping"/>
      </w:r>
      <w:r>
        <w:rPr>
          <w:rFonts w:hint="eastAsia" w:ascii="仿宋" w:hAnsi="仿宋" w:eastAsia="仿宋" w:cs="仿宋"/>
          <w:sz w:val="24"/>
          <w:szCs w:val="24"/>
        </w:rPr>
        <w:t>　　在世界第二大原油出口国俄罗斯，乌克兰对能源设施的袭击导致卢克石油公司的NORSI炼油厂着火。</w:t>
      </w:r>
    </w:p>
    <w:p>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纽约商品期货交易所（NYMEX）的西德克萨斯中质原油（WTI）4月合约较上一交易日下跌0.37美元或0.47%，报77.56美元/桶，短期呈现宽幅震荡走势。支撑位：76.5；压力位：80。</w:t>
      </w:r>
    </w:p>
    <w:p>
      <w:pPr>
        <w:pStyle w:val="31"/>
        <w:numPr>
          <w:ilvl w:val="0"/>
          <w:numId w:val="0"/>
        </w:numPr>
        <w:spacing w:before="240" w:line="360" w:lineRule="auto"/>
        <w:ind w:leftChars="0"/>
      </w:pPr>
      <w:r>
        <w:drawing>
          <wp:inline distT="0" distB="0" distL="0" distR="0">
            <wp:extent cx="5274310" cy="3076575"/>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274310" cy="3076575"/>
                    </a:xfrm>
                    <a:prstGeom prst="rect">
                      <a:avLst/>
                    </a:prstGeom>
                  </pic:spPr>
                </pic:pic>
              </a:graphicData>
            </a:graphic>
          </wp:inline>
        </w:drawing>
      </w:r>
    </w:p>
    <w:p>
      <w:pPr>
        <w:autoSpaceDE w:val="0"/>
        <w:autoSpaceDN w:val="0"/>
        <w:adjustRightInd w:val="0"/>
        <w:spacing w:line="360" w:lineRule="auto"/>
        <w:jc w:val="left"/>
        <w:rPr>
          <w:rFonts w:hint="default"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lang w:val="en-US" w:eastAsia="zh-CN"/>
        </w:rPr>
        <w:t>图7：原油（WTI）</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洲际期货交易所（ICE）原糖期货周二收跌，受累于美元走高，尽管市场对巴西中南部地区甘蔗产出忧虑仍存。交投最活跃的ICE 5月原糖期货合约收盘收跌0.06美分或0.27%，结算价每磅21.89美分。操作上，建议5月 ICE 原糖短期暂且观望。</w:t>
      </w:r>
    </w:p>
    <w:p>
      <w:pPr>
        <w:autoSpaceDE w:val="0"/>
        <w:autoSpaceDN w:val="0"/>
        <w:adjustRightInd w:val="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4310" cy="2181860"/>
            <wp:effectExtent l="0" t="0" r="2540" b="8890"/>
            <wp:docPr id="11" name="图片 11" descr="a5aa95375b271955b6ba9033922b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5aa95375b271955b6ba9033922b42a"/>
                    <pic:cNvPicPr>
                      <a:picLocks noChangeAspect="1"/>
                    </pic:cNvPicPr>
                  </pic:nvPicPr>
                  <pic:blipFill>
                    <a:blip r:embed="rId14"/>
                    <a:stretch>
                      <a:fillRect/>
                    </a:stretch>
                  </pic:blipFill>
                  <pic:spPr>
                    <a:xfrm>
                      <a:off x="0" y="0"/>
                      <a:ext cx="5274310" cy="2181860"/>
                    </a:xfrm>
                    <a:prstGeom prst="rect">
                      <a:avLst/>
                    </a:prstGeom>
                  </pic:spPr>
                </pic:pic>
              </a:graphicData>
            </a:graphic>
          </wp:inline>
        </w:drawing>
      </w:r>
    </w:p>
    <w:p>
      <w:pPr>
        <w:autoSpaceDE w:val="0"/>
        <w:autoSpaceDN w:val="0"/>
        <w:adjustRightInd w:val="0"/>
        <w:spacing w:line="360" w:lineRule="auto"/>
        <w:jc w:val="left"/>
        <w:rPr>
          <w:rFonts w:hint="default"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lang w:val="zh-CN" w:eastAsia="zh-CN"/>
        </w:rPr>
        <w:t>图</w:t>
      </w:r>
      <w:r>
        <w:rPr>
          <w:rFonts w:hint="eastAsia" w:cs="宋体" w:asciiTheme="minorEastAsia" w:hAnsiTheme="minorEastAsia" w:eastAsiaTheme="minorEastAsia"/>
          <w:sz w:val="18"/>
          <w:szCs w:val="18"/>
          <w:lang w:val="en-US" w:eastAsia="zh-CN"/>
        </w:rPr>
        <w:t>8：ICE</w:t>
      </w:r>
      <w:r>
        <w:rPr>
          <w:rFonts w:hint="eastAsia" w:cs="宋体" w:asciiTheme="minorEastAsia" w:hAnsiTheme="minorEastAsia" w:eastAsiaTheme="minorEastAsia"/>
          <w:sz w:val="18"/>
          <w:szCs w:val="18"/>
          <w:lang w:val="zh-CN" w:eastAsia="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洲际交易所(ICE)棉花期货周二触及两周低点后反弹，主要受其他商品上涨的提振。交投最活跃的ICE 5月期棉收涨0.17美分或0.18%，结算价报95.23美分/磅。操作上，建议5月 ICE 期棉短期暂且观望为宜。</w:t>
      </w:r>
    </w:p>
    <w:p>
      <w:pPr>
        <w:spacing w:line="360" w:lineRule="auto"/>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drawing>
          <wp:inline distT="0" distB="0" distL="114300" distR="114300">
            <wp:extent cx="5273040" cy="2156460"/>
            <wp:effectExtent l="0" t="0" r="3810" b="15240"/>
            <wp:docPr id="14" name="图片 14" descr="0fe5859870f67f3f484a465fff26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fe5859870f67f3f484a465fff26f7a"/>
                    <pic:cNvPicPr>
                      <a:picLocks noChangeAspect="1"/>
                    </pic:cNvPicPr>
                  </pic:nvPicPr>
                  <pic:blipFill>
                    <a:blip r:embed="rId15"/>
                    <a:stretch>
                      <a:fillRect/>
                    </a:stretch>
                  </pic:blipFill>
                  <pic:spPr>
                    <a:xfrm>
                      <a:off x="0" y="0"/>
                      <a:ext cx="5273040" cy="2156460"/>
                    </a:xfrm>
                    <a:prstGeom prst="rect">
                      <a:avLst/>
                    </a:prstGeom>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lang w:val="zh-CN" w:eastAsia="zh-CN"/>
        </w:rPr>
        <w:t>图9：ICE棉花期货主力合约日走势图及支撑位、阻力位</w:t>
      </w: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03181"/>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EF5CD8"/>
    <w:rsid w:val="01F313AB"/>
    <w:rsid w:val="020175F3"/>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1A146A"/>
    <w:rsid w:val="043439F8"/>
    <w:rsid w:val="04406F20"/>
    <w:rsid w:val="04456092"/>
    <w:rsid w:val="0468241F"/>
    <w:rsid w:val="046E7AF4"/>
    <w:rsid w:val="047645E1"/>
    <w:rsid w:val="04775375"/>
    <w:rsid w:val="0478140B"/>
    <w:rsid w:val="047F3831"/>
    <w:rsid w:val="049158D8"/>
    <w:rsid w:val="04971774"/>
    <w:rsid w:val="049E54EE"/>
    <w:rsid w:val="04A10B6F"/>
    <w:rsid w:val="04A34B22"/>
    <w:rsid w:val="04B16720"/>
    <w:rsid w:val="04BA6EFD"/>
    <w:rsid w:val="04C4147D"/>
    <w:rsid w:val="04D45678"/>
    <w:rsid w:val="04DA4F7F"/>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C1DCB"/>
    <w:rsid w:val="05BD273F"/>
    <w:rsid w:val="05BF1ED3"/>
    <w:rsid w:val="05D258E0"/>
    <w:rsid w:val="05D83805"/>
    <w:rsid w:val="05DF1BD2"/>
    <w:rsid w:val="05ED0882"/>
    <w:rsid w:val="05F721FB"/>
    <w:rsid w:val="06134660"/>
    <w:rsid w:val="062734CC"/>
    <w:rsid w:val="062E0A26"/>
    <w:rsid w:val="0636167E"/>
    <w:rsid w:val="064A25E0"/>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A43CE5"/>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8B5EAD"/>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5DC5"/>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61D50"/>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CC5D44"/>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02F39"/>
    <w:rsid w:val="151D2CC7"/>
    <w:rsid w:val="1527752E"/>
    <w:rsid w:val="153314B4"/>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117F11"/>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EB4A4A"/>
    <w:rsid w:val="18F12D03"/>
    <w:rsid w:val="18F709DF"/>
    <w:rsid w:val="19015029"/>
    <w:rsid w:val="190803DF"/>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B4308D"/>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B95006"/>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060E"/>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2297B"/>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270E73"/>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1F26E49"/>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DF51AB"/>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06D8A"/>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477FA"/>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1E63CA"/>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CEB696E"/>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063CC"/>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A30116"/>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32DA9"/>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6308C3"/>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1F3CBF"/>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630B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243E8"/>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A1BA2"/>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451DB4"/>
    <w:rsid w:val="3A5207BB"/>
    <w:rsid w:val="3A636F9B"/>
    <w:rsid w:val="3A6E3C5F"/>
    <w:rsid w:val="3A7334E5"/>
    <w:rsid w:val="3A792A45"/>
    <w:rsid w:val="3A893855"/>
    <w:rsid w:val="3A903012"/>
    <w:rsid w:val="3A9465DB"/>
    <w:rsid w:val="3A983974"/>
    <w:rsid w:val="3AB944E3"/>
    <w:rsid w:val="3ABE7E78"/>
    <w:rsid w:val="3AC03EA4"/>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EC3429"/>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65DA2"/>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26"/>
    <w:rsid w:val="45C000F8"/>
    <w:rsid w:val="45CE2095"/>
    <w:rsid w:val="45CF6016"/>
    <w:rsid w:val="45D24718"/>
    <w:rsid w:val="45F9322D"/>
    <w:rsid w:val="45FE0B94"/>
    <w:rsid w:val="46085B4A"/>
    <w:rsid w:val="460A7E5D"/>
    <w:rsid w:val="460B0587"/>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25465E"/>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831FB"/>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A076B"/>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A365A"/>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8399B"/>
    <w:rsid w:val="520A2D8B"/>
    <w:rsid w:val="52221516"/>
    <w:rsid w:val="522F68D2"/>
    <w:rsid w:val="52370BC5"/>
    <w:rsid w:val="523D0981"/>
    <w:rsid w:val="523E73BD"/>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3E7785B"/>
    <w:rsid w:val="540826AB"/>
    <w:rsid w:val="541379AC"/>
    <w:rsid w:val="54312B0F"/>
    <w:rsid w:val="543F46C9"/>
    <w:rsid w:val="545545DE"/>
    <w:rsid w:val="54554B24"/>
    <w:rsid w:val="546163B0"/>
    <w:rsid w:val="54651DD5"/>
    <w:rsid w:val="54710709"/>
    <w:rsid w:val="54780F20"/>
    <w:rsid w:val="5478123C"/>
    <w:rsid w:val="54785C59"/>
    <w:rsid w:val="54811867"/>
    <w:rsid w:val="549547C4"/>
    <w:rsid w:val="54A20444"/>
    <w:rsid w:val="54A52D27"/>
    <w:rsid w:val="54A905AB"/>
    <w:rsid w:val="54B430BC"/>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735DDC"/>
    <w:rsid w:val="558E013B"/>
    <w:rsid w:val="55954473"/>
    <w:rsid w:val="55954E7D"/>
    <w:rsid w:val="55963291"/>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6F97D56"/>
    <w:rsid w:val="570159AB"/>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53B23"/>
    <w:rsid w:val="598C2884"/>
    <w:rsid w:val="5995120D"/>
    <w:rsid w:val="599F41E3"/>
    <w:rsid w:val="59A45712"/>
    <w:rsid w:val="59B43BDE"/>
    <w:rsid w:val="59BB1D3D"/>
    <w:rsid w:val="59C873D6"/>
    <w:rsid w:val="59CF2287"/>
    <w:rsid w:val="59D26D18"/>
    <w:rsid w:val="59D43C68"/>
    <w:rsid w:val="59D75C26"/>
    <w:rsid w:val="59D9051D"/>
    <w:rsid w:val="59DE7F7E"/>
    <w:rsid w:val="59FE08A1"/>
    <w:rsid w:val="5A131FCF"/>
    <w:rsid w:val="5A171509"/>
    <w:rsid w:val="5A2928F9"/>
    <w:rsid w:val="5A29694A"/>
    <w:rsid w:val="5A380B96"/>
    <w:rsid w:val="5A3904CD"/>
    <w:rsid w:val="5A3A2C2D"/>
    <w:rsid w:val="5A3E51FE"/>
    <w:rsid w:val="5A3E6B5F"/>
    <w:rsid w:val="5A457E4F"/>
    <w:rsid w:val="5A5955C5"/>
    <w:rsid w:val="5A5E6A4F"/>
    <w:rsid w:val="5A672C25"/>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94885"/>
    <w:rsid w:val="5B3F40C4"/>
    <w:rsid w:val="5B454B70"/>
    <w:rsid w:val="5B6D6329"/>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114D3D"/>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50CA9"/>
    <w:rsid w:val="60CB183E"/>
    <w:rsid w:val="60CD295D"/>
    <w:rsid w:val="60D01FF0"/>
    <w:rsid w:val="60D4086F"/>
    <w:rsid w:val="60E11940"/>
    <w:rsid w:val="60E70871"/>
    <w:rsid w:val="60EC2482"/>
    <w:rsid w:val="60F131B9"/>
    <w:rsid w:val="61127446"/>
    <w:rsid w:val="61202643"/>
    <w:rsid w:val="612C573D"/>
    <w:rsid w:val="613B2E45"/>
    <w:rsid w:val="61591EC7"/>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12105"/>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7B0985"/>
    <w:rsid w:val="63875F87"/>
    <w:rsid w:val="639953C1"/>
    <w:rsid w:val="639F1A46"/>
    <w:rsid w:val="63A51409"/>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64F1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C4030"/>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E4749B"/>
    <w:rsid w:val="6AF15D5E"/>
    <w:rsid w:val="6AF70171"/>
    <w:rsid w:val="6AF81BEF"/>
    <w:rsid w:val="6AF97F0D"/>
    <w:rsid w:val="6B0F149F"/>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DFB76C0"/>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1E58E3"/>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717A0E"/>
    <w:rsid w:val="737705AB"/>
    <w:rsid w:val="737877B9"/>
    <w:rsid w:val="73B9423B"/>
    <w:rsid w:val="73C741AC"/>
    <w:rsid w:val="73D9058E"/>
    <w:rsid w:val="73D94D40"/>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917919"/>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C44B64"/>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9F23216"/>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6B0A89"/>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1389D"/>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chart" Target="charts/chart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Users\machen\Desktop\&#20840;&#29699;&#32929;&#25351;&#26085;&#25910;&#30424;&#28072;&#36300;&#2413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全球主要股指涨跌幅（</a:t>
            </a:r>
            <a:r>
              <a:rPr lang="en-US" altLang="zh-CN"/>
              <a:t>%</a:t>
            </a:r>
            <a:r>
              <a:rPr altLang="en-US"/>
              <a:t>）</a:t>
            </a:r>
            <a:endParaRPr altLang="en-US"/>
          </a:p>
        </c:rich>
      </c:tx>
      <c:layout/>
      <c:overlay val="0"/>
      <c:spPr>
        <a:noFill/>
        <a:ln>
          <a:noFill/>
        </a:ln>
        <a:effectLst/>
      </c:spPr>
    </c:title>
    <c:autoTitleDeleted val="0"/>
    <c:plotArea>
      <c:layout>
        <c:manualLayout>
          <c:layoutTarget val="inner"/>
          <c:xMode val="edge"/>
          <c:yMode val="edge"/>
          <c:x val="0.118429263044648"/>
          <c:y val="0.118701775600019"/>
          <c:w val="0.834502923976608"/>
          <c:h val="0.707541079812207"/>
        </c:manualLayout>
      </c:layout>
      <c:barChart>
        <c:barDir val="col"/>
        <c:grouping val="clustered"/>
        <c:varyColors val="0"/>
        <c:ser>
          <c:idx val="0"/>
          <c:order val="0"/>
          <c:tx>
            <c:strRef>
              <c:f>'[全球股指日收盘涨跌幅(1).xlsx]主要股指涨跌幅'!$S$410</c:f>
              <c:strCache>
                <c:ptCount val="1"/>
                <c:pt idx="0">
                  <c:v>2024-03-12</c:v>
                </c:pt>
              </c:strCache>
            </c:strRef>
          </c:tx>
          <c:spPr>
            <a:solidFill>
              <a:schemeClr val="accent1"/>
            </a:solidFill>
            <a:ln>
              <a:noFill/>
            </a:ln>
            <a:effectLst/>
          </c:spPr>
          <c:invertIfNegative val="0"/>
          <c:dPt>
            <c:idx val="0"/>
            <c:invertIfNegative val="0"/>
            <c:bubble3D val="0"/>
            <c:spPr>
              <a:solidFill>
                <a:srgbClr val="92D050"/>
              </a:solidFill>
              <a:ln>
                <a:noFill/>
              </a:ln>
              <a:effectLst/>
            </c:spPr>
          </c:dPt>
          <c:dPt>
            <c:idx val="1"/>
            <c:invertIfNegative val="0"/>
            <c:bubble3D val="0"/>
            <c:spPr>
              <a:solidFill>
                <a:srgbClr val="92D050"/>
              </a:solidFill>
              <a:ln>
                <a:noFill/>
              </a:ln>
              <a:effectLst/>
            </c:spPr>
          </c:dPt>
          <c:dPt>
            <c:idx val="2"/>
            <c:invertIfNegative val="0"/>
            <c:bubble3D val="0"/>
            <c:spPr>
              <a:solidFill>
                <a:srgbClr val="FF0000"/>
              </a:solidFill>
              <a:ln>
                <a:noFill/>
              </a:ln>
              <a:effectLst/>
            </c:spPr>
          </c:dPt>
          <c:dPt>
            <c:idx val="3"/>
            <c:invertIfNegative val="0"/>
            <c:bubble3D val="0"/>
            <c:spPr>
              <a:solidFill>
                <a:srgbClr val="FF0000"/>
              </a:solidFill>
              <a:ln>
                <a:noFill/>
              </a:ln>
              <a:effectLst/>
            </c:spPr>
          </c:dPt>
          <c:dPt>
            <c:idx val="4"/>
            <c:invertIfNegative val="0"/>
            <c:bubble3D val="0"/>
            <c:spPr>
              <a:solidFill>
                <a:srgbClr val="FF0000"/>
              </a:solidFill>
              <a:ln>
                <a:noFill/>
              </a:ln>
              <a:effectLst/>
            </c:spPr>
          </c:dPt>
          <c:dPt>
            <c:idx val="5"/>
            <c:invertIfNegative val="0"/>
            <c:bubble3D val="0"/>
            <c:spPr>
              <a:solidFill>
                <a:srgbClr val="FF0000"/>
              </a:solidFill>
              <a:ln>
                <a:noFill/>
              </a:ln>
              <a:effectLst/>
            </c:spPr>
          </c:dPt>
          <c:dPt>
            <c:idx val="6"/>
            <c:invertIfNegative val="0"/>
            <c:bubble3D val="0"/>
            <c:spPr>
              <a:solidFill>
                <a:srgbClr val="FF0000"/>
              </a:solidFill>
              <a:ln>
                <a:noFill/>
              </a:ln>
              <a:effectLst/>
            </c:spPr>
          </c:dPt>
          <c:dPt>
            <c:idx val="7"/>
            <c:invertIfNegative val="0"/>
            <c:bubble3D val="0"/>
            <c:spPr>
              <a:solidFill>
                <a:srgbClr val="FF0000"/>
              </a:solidFill>
              <a:ln>
                <a:noFill/>
              </a:ln>
              <a:effectLst/>
            </c:spPr>
          </c:dPt>
          <c:dPt>
            <c:idx val="8"/>
            <c:invertIfNegative val="0"/>
            <c:bubble3D val="0"/>
            <c:spPr>
              <a:solidFill>
                <a:srgbClr val="FF0000"/>
              </a:solidFill>
              <a:ln>
                <a:noFill/>
              </a:ln>
              <a:effectLst/>
            </c:spPr>
          </c:dPt>
          <c:dPt>
            <c:idx val="9"/>
            <c:invertIfNegative val="0"/>
            <c:bubble3D val="0"/>
            <c:spPr>
              <a:solidFill>
                <a:srgbClr val="FF0000"/>
              </a:solidFill>
              <a:ln>
                <a:noFill/>
              </a:ln>
              <a:effectLst/>
            </c:spPr>
          </c:dPt>
          <c:dPt>
            <c:idx val="10"/>
            <c:invertIfNegative val="0"/>
            <c:bubble3D val="0"/>
            <c:spPr>
              <a:solidFill>
                <a:srgbClr val="FF0000"/>
              </a:solidFill>
              <a:ln>
                <a:noFill/>
              </a:ln>
              <a:effectLst/>
            </c:spPr>
          </c:dPt>
          <c:dPt>
            <c:idx val="11"/>
            <c:invertIfNegative val="0"/>
            <c:bubble3D val="0"/>
            <c:spPr>
              <a:solidFill>
                <a:srgbClr val="FF0000"/>
              </a:solidFill>
              <a:ln>
                <a:noFill/>
              </a:ln>
              <a:effectLst/>
            </c:spPr>
          </c:dPt>
          <c:dPt>
            <c:idx val="12"/>
            <c:invertIfNegative val="0"/>
            <c:bubble3D val="0"/>
            <c:spPr>
              <a:solidFill>
                <a:srgbClr val="FF0000"/>
              </a:solidFill>
              <a:ln>
                <a:noFill/>
              </a:ln>
              <a:effectLst/>
            </c:spPr>
          </c:dPt>
          <c:dPt>
            <c:idx val="13"/>
            <c:invertIfNegative val="0"/>
            <c:bubble3D val="0"/>
            <c:spPr>
              <a:solidFill>
                <a:srgbClr val="FF0000"/>
              </a:solidFill>
              <a:ln>
                <a:noFill/>
              </a:ln>
              <a:effectLst/>
            </c:spPr>
          </c:dPt>
          <c:dPt>
            <c:idx val="14"/>
            <c:invertIfNegative val="0"/>
            <c:bubble3D val="0"/>
            <c:spPr>
              <a:solidFill>
                <a:srgbClr val="FF0000"/>
              </a:solidFill>
              <a:ln>
                <a:noFill/>
              </a:ln>
              <a:effectLst/>
            </c:spPr>
          </c:dPt>
          <c:dLbls>
            <c:delete val="1"/>
          </c:dLbls>
          <c:cat>
            <c:strRef>
              <c:f>'[全球股指日收盘涨跌幅(1).xlsx]主要股指涨跌幅'!$R$411:$R$425</c:f>
              <c:strCache>
                <c:ptCount val="15"/>
                <c:pt idx="0">
                  <c:v>上证指数</c:v>
                </c:pt>
                <c:pt idx="1">
                  <c:v>意大利指数</c:v>
                </c:pt>
                <c:pt idx="2">
                  <c:v>富时新加坡海峡指数</c:v>
                </c:pt>
                <c:pt idx="3">
                  <c:v>沪深300</c:v>
                </c:pt>
                <c:pt idx="4">
                  <c:v>深证成指</c:v>
                </c:pt>
                <c:pt idx="5">
                  <c:v>道琼斯工业指数</c:v>
                </c:pt>
                <c:pt idx="6">
                  <c:v>中小100</c:v>
                </c:pt>
                <c:pt idx="7">
                  <c:v>创业板指</c:v>
                </c:pt>
                <c:pt idx="8">
                  <c:v>日经225</c:v>
                </c:pt>
                <c:pt idx="9">
                  <c:v>法国CAC40</c:v>
                </c:pt>
                <c:pt idx="10">
                  <c:v>英国富时100</c:v>
                </c:pt>
                <c:pt idx="11">
                  <c:v>标普500</c:v>
                </c:pt>
                <c:pt idx="12">
                  <c:v>德国DAX</c:v>
                </c:pt>
                <c:pt idx="13">
                  <c:v>纳斯达克指数</c:v>
                </c:pt>
                <c:pt idx="14">
                  <c:v>恒生指数</c:v>
                </c:pt>
              </c:strCache>
            </c:strRef>
          </c:cat>
          <c:val>
            <c:numRef>
              <c:f>'[全球股指日收盘涨跌幅(1).xlsx]主要股指涨跌幅'!$S$411:$S$425</c:f>
              <c:numCache>
                <c:formatCode>0.00_ </c:formatCode>
                <c:ptCount val="15"/>
                <c:pt idx="0">
                  <c:v>-0.41</c:v>
                </c:pt>
                <c:pt idx="1">
                  <c:v>-0.29</c:v>
                </c:pt>
                <c:pt idx="2">
                  <c:v>0.1</c:v>
                </c:pt>
                <c:pt idx="3">
                  <c:v>0.23</c:v>
                </c:pt>
                <c:pt idx="4">
                  <c:v>0.51</c:v>
                </c:pt>
                <c:pt idx="5">
                  <c:v>0.61</c:v>
                </c:pt>
                <c:pt idx="6">
                  <c:v>0.81</c:v>
                </c:pt>
                <c:pt idx="7">
                  <c:v>0.83</c:v>
                </c:pt>
                <c:pt idx="8">
                  <c:v>0.83</c:v>
                </c:pt>
                <c:pt idx="9">
                  <c:v>0.84</c:v>
                </c:pt>
                <c:pt idx="10">
                  <c:v>1.02</c:v>
                </c:pt>
                <c:pt idx="11">
                  <c:v>1.12</c:v>
                </c:pt>
                <c:pt idx="12">
                  <c:v>1.23</c:v>
                </c:pt>
                <c:pt idx="13">
                  <c:v>1.54</c:v>
                </c:pt>
                <c:pt idx="14">
                  <c:v>3.05</c:v>
                </c:pt>
              </c:numCache>
            </c:numRef>
          </c:val>
        </c:ser>
        <c:dLbls>
          <c:showLegendKey val="0"/>
          <c:showVal val="0"/>
          <c:showCatName val="0"/>
          <c:showSerName val="0"/>
          <c:showPercent val="0"/>
          <c:showBubbleSize val="0"/>
        </c:dLbls>
        <c:gapWidth val="150"/>
        <c:overlap val="0"/>
        <c:axId val="975762854"/>
        <c:axId val="98127667"/>
      </c:barChart>
      <c:catAx>
        <c:axId val="975762854"/>
        <c:scaling>
          <c:orientation val="minMax"/>
        </c:scaling>
        <c:delete val="0"/>
        <c:axPos val="b"/>
        <c:majorTickMark val="none"/>
        <c:minorTickMark val="none"/>
        <c:tickLblPos val="nextTo"/>
        <c:spPr>
          <a:solidFill>
            <a:srgbClr val="FF0000"/>
          </a:solid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127667"/>
        <c:crosses val="autoZero"/>
        <c:auto val="1"/>
        <c:lblAlgn val="ctr"/>
        <c:lblOffset val="100"/>
        <c:noMultiLvlLbl val="0"/>
      </c:catAx>
      <c:valAx>
        <c:axId val="98127667"/>
        <c:scaling>
          <c:orientation val="minMax"/>
        </c:scaling>
        <c:delete val="0"/>
        <c:axPos val="l"/>
        <c:majorGridlines>
          <c:spPr>
            <a:ln w="9525" cap="flat" cmpd="sng" algn="ctr">
              <a:solidFill>
                <a:schemeClr val="lt1">
                  <a:lumMod val="902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5762854"/>
        <c:crosses val="autoZero"/>
        <c:crossBetween val="between"/>
      </c:valAx>
      <c:dTable>
        <c:showHorzBorder val="1"/>
        <c:showVertBorder val="1"/>
        <c:showOutline val="1"/>
        <c:showKeys val="1"/>
        <c:spPr>
          <a:noFill/>
          <a:ln w="9525" cap="flat" cmpd="sng" algn="ctr">
            <a:solidFill>
              <a:schemeClr val="tx1"/>
            </a:solidFill>
            <a:round/>
          </a:ln>
          <a:effectLst/>
        </c:spPr>
        <c:txPr>
          <a:bodyPr rot="0" spcFirstLastPara="0" vertOverflow="ellipsis" vert="horz" wrap="square" anchor="ctr" anchorCtr="1"/>
          <a:lstStyle/>
          <a:p>
            <a:pPr>
              <a:defRPr lang="zh-CN" sz="80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仿宋" panose="02010609060101010101" pitchFamily="3" charset="-122"/>
                <a:cs typeface="+mn-cs"/>
              </a:defRPr>
            </a:pPr>
          </a:p>
        </c:txPr>
      </c:dTable>
      <c:spPr>
        <a:noFill/>
        <a:ln w="3175">
          <a:solidFill>
            <a:schemeClr val="tx1"/>
          </a:solidFill>
        </a:ln>
        <a:effectLst/>
      </c:spPr>
    </c:plotArea>
    <c:plotVisOnly val="1"/>
    <c:dispBlanksAs val="gap"/>
    <c:showDLblsOverMax val="0"/>
  </c:chart>
  <c:spPr>
    <a:solidFill>
      <a:schemeClr val="bg1"/>
    </a:solidFill>
    <a:ln w="3175" cap="flat" cmpd="sng" algn="ctr">
      <a:solidFill>
        <a:sysClr val="windowText" lastClr="000000"/>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3148</Words>
  <Characters>3762</Characters>
  <Lines>25</Lines>
  <Paragraphs>7</Paragraphs>
  <TotalTime>5</TotalTime>
  <ScaleCrop>false</ScaleCrop>
  <LinksUpToDate>false</LinksUpToDate>
  <CharactersWithSpaces>3821</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WPS_1180513195</cp:lastModifiedBy>
  <cp:lastPrinted>2022-07-22T01:54:00Z</cp:lastPrinted>
  <dcterms:modified xsi:type="dcterms:W3CDTF">2024-03-13T01:24:24Z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99D4AC38B698495EAAE7AFD2A3AEC27F_13</vt:lpwstr>
  </property>
</Properties>
</file>