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firstLineChars="0"/>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14</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 xml:space="preserve"> </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四</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14</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 xml:space="preserve"> </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四</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惠誉：将2024年全球GDP增长预测上调0.3个百分点至2.4%，将2025年全球GDP增长率预测上调至2.5%；预计美国财政刺激将在今年减弱，家庭收入增长将放缓；预计美联储和欧洲央行将在年底前分别降息三次，总计降息75个基点。】</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【据美国多家主流媒体测算和报道，拜登锁定2024年美国总统选举民主党总统候选人提名。特朗普则锁定2024年美国总统选举共和党总统候选人提名。】</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美国众议院投票通过“保护美国人免受外国对手控制应用程序侵害法”法案（H.R.7521），该法案要求字节跳动剥离对TikTok的控制权，否则TikTok会在美国遭到封禁。该法案仍需美国参议院通过，然后提交给总统批准。</w:t>
      </w:r>
      <w:r>
        <w:rPr>
          <w:rFonts w:hint="eastAsia" w:ascii="仿宋" w:hAnsi="仿宋" w:eastAsia="仿宋" w:cs="仿宋"/>
          <w:b w:val="0"/>
          <w:bCs w:val="0"/>
          <w:color w:val="000000" w:themeColor="text1"/>
          <w:sz w:val="24"/>
          <w:szCs w:val="24"/>
          <w:lang w:val="en-US" w:eastAsia="zh-CN"/>
          <w14:textFill>
            <w14:solidFill>
              <w14:schemeClr w14:val="tx1"/>
            </w14:solidFill>
          </w14:textFill>
        </w:rPr>
        <w:t>拜登此前表态一定会批准。</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【欧盟议会通过人工智能法案，该立法将禁止在工作场所和学校使用AI来检测情绪，并限制人工智能在筛选工作申请等高风险情景下的使用。】</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【欧元区1月工作日调整后工业产出同比降6.70%，预期降2.9%；季调后工业产出环比降3.2%，为2023年3月以来最大降幅，预期降1.5%。】</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英国1月三个月滚动GDP环比降0.1%，预期降0.1%。1月GDP同比降0.3%，预期降0.3%；环比升0.2%，预期升0.2%。英国1月工业产出环比降0.2%，预期持平；同比升0.5%，预期升0.7%；制造业产出环比持平，预期持平；同比升2.0%，预期升2.0%。】</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【德国2月批发物价指数同比降3.0%，前值降2.7%；环比降0.1%。】</w:t>
      </w: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7：50 日本3月8日当周净买进国外股票、日本债券、国外债券、日本股票；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8:00 英国2月三个月RICS房价指数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20：30 美国2月PPI、核心PPI；美国2月零售；</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20：30 美国3月2日当周续请失业救济人数、3月9日当周初次申请失业金人数；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20：30 美国2月PPI、核心PPI；2月零售；</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22：00 美国1月商业库存；MBA30年期抵押贷款固定利率。</w:t>
      </w: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p>
    <w:p>
      <w:pPr>
        <w:spacing w:line="360" w:lineRule="auto"/>
        <w:ind w:firstLine="480" w:firstLineChars="200"/>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3月14日（周四），</w:t>
      </w:r>
      <w:r>
        <w:rPr>
          <w:rFonts w:hint="eastAsia" w:ascii="仿宋" w:hAnsi="仿宋" w:eastAsia="仿宋" w:cs="仿宋"/>
          <w:b w:val="0"/>
          <w:bCs w:val="0"/>
          <w:color w:val="000000" w:themeColor="text1"/>
          <w:sz w:val="24"/>
          <w:szCs w:val="24"/>
          <w:lang w:eastAsia="zh-CN"/>
          <w14:textFill>
            <w14:solidFill>
              <w14:schemeClr w14:val="tx1"/>
            </w14:solidFill>
          </w14:textFill>
        </w:rPr>
        <w:t>美国三大股指收盘涨跌不一，道指涨0.1%报39043.32点，连续第三日上涨，标普500指数跌0.19%报5165.31点，纳指跌0.54%报16177.77点。国际贵金属期货普遍收涨，LME期铜涨3.04%报8920美元/吨，COMEX黄金期货涨0.61%报2179.4美元/盎司，COMEX白银期货涨3.41%报25.225美元/盎司。ICE</w:t>
      </w:r>
      <w:r>
        <w:rPr>
          <w:rFonts w:hint="eastAsia" w:ascii="仿宋" w:hAnsi="仿宋" w:eastAsia="仿宋" w:cs="仿宋"/>
          <w:b w:val="0"/>
          <w:bCs w:val="0"/>
          <w:color w:val="000000" w:themeColor="text1"/>
          <w:sz w:val="24"/>
          <w:szCs w:val="24"/>
          <w:lang w:val="en-US" w:eastAsia="zh-CN"/>
          <w14:textFill>
            <w14:solidFill>
              <w14:schemeClr w14:val="tx1"/>
            </w14:solidFill>
          </w14:textFill>
        </w:rPr>
        <w:t xml:space="preserve"> 5</w:t>
      </w:r>
      <w:r>
        <w:rPr>
          <w:rFonts w:hint="eastAsia" w:ascii="仿宋" w:hAnsi="仿宋" w:eastAsia="仿宋" w:cs="仿宋"/>
          <w:b w:val="0"/>
          <w:bCs w:val="0"/>
          <w:color w:val="000000" w:themeColor="text1"/>
          <w:sz w:val="24"/>
          <w:szCs w:val="24"/>
          <w:lang w:eastAsia="zh-CN"/>
          <w14:textFill>
            <w14:solidFill>
              <w14:schemeClr w14:val="tx1"/>
            </w14:solidFill>
          </w14:textFill>
        </w:rPr>
        <w:t>月原糖期货合约收盘收涨0.2%，结算价21.93</w:t>
      </w:r>
      <w:r>
        <w:rPr>
          <w:rFonts w:hint="eastAsia" w:ascii="仿宋" w:hAnsi="仿宋" w:eastAsia="仿宋" w:cs="仿宋"/>
          <w:b w:val="0"/>
          <w:bCs w:val="0"/>
          <w:color w:val="000000" w:themeColor="text1"/>
          <w:sz w:val="24"/>
          <w:szCs w:val="24"/>
          <w14:textFill>
            <w14:solidFill>
              <w14:schemeClr w14:val="tx1"/>
            </w14:solidFill>
          </w14:textFill>
        </w:rPr>
        <w:t>美分/磅</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 xml:space="preserve"> 5</w:t>
      </w:r>
      <w:r>
        <w:rPr>
          <w:rFonts w:hint="eastAsia" w:ascii="仿宋" w:hAnsi="仿宋" w:eastAsia="仿宋" w:cs="仿宋"/>
          <w:b w:val="0"/>
          <w:bCs w:val="0"/>
          <w:color w:val="000000" w:themeColor="text1"/>
          <w:sz w:val="24"/>
          <w:szCs w:val="24"/>
          <w14:textFill>
            <w14:solidFill>
              <w14:schemeClr w14:val="tx1"/>
            </w14:solidFill>
          </w14:textFill>
        </w:rPr>
        <w:t>月期棉收跌0.35%，结算价报94.90美分/磅。</w:t>
      </w:r>
    </w:p>
    <w:p>
      <w:pPr>
        <w:spacing w:line="360" w:lineRule="auto"/>
        <w:jc w:val="center"/>
      </w:pPr>
      <w:bookmarkStart w:id="2" w:name="_GoBack"/>
      <w:r>
        <w:drawing>
          <wp:inline distT="0" distB="0" distL="114300" distR="114300">
            <wp:extent cx="5358765" cy="2632075"/>
            <wp:effectExtent l="4445" t="4445" r="8890" b="11430"/>
            <wp:docPr id="5"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bookmarkEnd w:id="2"/>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图1</w:t>
      </w:r>
      <w:r>
        <w:rPr>
          <w:rFonts w:hint="eastAsia" w:cs="宋体" w:asciiTheme="minorEastAsia" w:hAnsiTheme="minorEastAsia"/>
          <w:sz w:val="18"/>
          <w:szCs w:val="20"/>
          <w:lang w:eastAsia="zh-CN"/>
        </w:rPr>
        <w:t>：</w:t>
      </w:r>
      <w:r>
        <w:rPr>
          <w:rFonts w:hint="eastAsia" w:cs="宋体" w:asciiTheme="minorEastAsia" w:hAnsiTheme="minorEastAsia"/>
          <w:sz w:val="18"/>
          <w:szCs w:val="20"/>
        </w:rPr>
        <w:t>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美元指数</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周四美元指数跌0.12%报102.81，非美货币表现分化，欧元兑美元涨0.19%报1.0947，英镑兑美元涨0.02%报1.2796，澳元兑美元涨0.23%报0.6621，美元兑日元涨0.07%报147.75。近期公布的美国通胀数据与预期持平，整体通胀下行趋势逐渐放缓。商品价格企稳后服务业价格并未显著下降，其中租金价格尚未完全反映市场价格的同时增速仍处于高位，后继通胀回落或仍需一定时间等待。数据公布后市场对美国利率预期并未作出显著改变，但由于上周非农就业数据公布后利率预期下调带动美债收益率显著回落，本周长端美债或再次迎来上调修正。短期内美元指数以及美债收益率在利率预期仍维持于高位的状况下或仍保有一定支撑。</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pPr>
      <w:r>
        <w:drawing>
          <wp:inline distT="0" distB="0" distL="114300" distR="114300">
            <wp:extent cx="5265420" cy="2025650"/>
            <wp:effectExtent l="0" t="0" r="11430" b="1270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tretch>
                      <a:fillRect/>
                    </a:stretch>
                  </pic:blipFill>
                  <pic:spPr>
                    <a:xfrm>
                      <a:off x="0" y="0"/>
                      <a:ext cx="5265420" cy="2025650"/>
                    </a:xfrm>
                    <a:prstGeom prst="rect">
                      <a:avLst/>
                    </a:prstGeom>
                    <a:noFill/>
                    <a:ln>
                      <a:noFill/>
                    </a:ln>
                  </pic:spPr>
                </pic:pic>
              </a:graphicData>
            </a:graphic>
          </wp:inline>
        </w:drawing>
      </w:r>
    </w:p>
    <w:p>
      <w:pPr>
        <w:autoSpaceDE w:val="0"/>
        <w:autoSpaceDN w:val="0"/>
        <w:adjustRightInd w:val="0"/>
        <w:spacing w:line="360" w:lineRule="auto"/>
        <w:rPr>
          <w:rFonts w:hint="eastAsia" w:ascii="宋体" w:hAnsi="宋体"/>
          <w:b/>
          <w:color w:val="C00000"/>
          <w:sz w:val="32"/>
        </w:rPr>
      </w:pPr>
      <w:r>
        <w:rPr>
          <w:rFonts w:hint="eastAsia" w:asciiTheme="minorEastAsia" w:hAnsiTheme="minorEastAsia" w:eastAsiaTheme="minorEastAsia"/>
          <w:sz w:val="18"/>
          <w:szCs w:val="20"/>
        </w:rPr>
        <w:t>图2</w:t>
      </w:r>
      <w:r>
        <w:rPr>
          <w:rFonts w:hint="eastAsia" w:asciiTheme="minorEastAsia" w:hAnsiTheme="minorEastAsia" w:eastAsiaTheme="minorEastAsia"/>
          <w:sz w:val="18"/>
          <w:szCs w:val="20"/>
          <w:lang w:eastAsia="zh-CN"/>
        </w:rPr>
        <w:t>：</w:t>
      </w:r>
      <w:r>
        <w:rPr>
          <w:rFonts w:hint="eastAsia" w:asciiTheme="minorEastAsia" w:hAnsiTheme="minorEastAsia" w:eastAsiaTheme="minorEastAsia"/>
          <w:sz w:val="18"/>
          <w:szCs w:val="20"/>
        </w:rPr>
        <w:t>欧元兑美元主力合约走势图</w:t>
      </w:r>
    </w:p>
    <w:p>
      <w:pPr>
        <w:spacing w:line="360" w:lineRule="auto"/>
        <w:rPr>
          <w:rFonts w:hint="eastAsia" w:ascii="宋体" w:hAnsi="宋体"/>
          <w:b/>
          <w:color w:val="C00000"/>
          <w:sz w:val="32"/>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3月14日，标普500指数收跌0.19%至5165.31点；迷你标普500主力合约收涨0.10%至5237.75点。美股周三收盘涨跌不一，纳指与标普500指数小幅下滑。英伟达领跌科技股。市场继续关注美国通胀数据与美联储的降息前景。策略上，逢低试多。详细支撑阻力位请见图</w:t>
      </w:r>
      <w:r>
        <w:rPr>
          <w:rFonts w:hint="eastAsia" w:ascii="仿宋" w:hAnsi="仿宋" w:eastAsia="仿宋" w:cs="仿宋"/>
          <w:sz w:val="24"/>
          <w:szCs w:val="24"/>
          <w:lang w:val="en-US" w:eastAsia="zh-CN"/>
        </w:rPr>
        <w:t>3</w:t>
      </w:r>
      <w:r>
        <w:rPr>
          <w:rFonts w:hint="eastAsia" w:ascii="仿宋" w:hAnsi="仿宋" w:eastAsia="仿宋" w:cs="仿宋"/>
          <w:sz w:val="24"/>
          <w:szCs w:val="24"/>
        </w:rPr>
        <w:t>。</w:t>
      </w:r>
    </w:p>
    <w:p>
      <w:pPr>
        <w:pStyle w:val="31"/>
        <w:numPr>
          <w:ilvl w:val="0"/>
          <w:numId w:val="0"/>
        </w:numPr>
        <w:spacing w:line="360" w:lineRule="auto"/>
        <w:ind w:leftChars="0"/>
        <w:rPr>
          <w:rFonts w:ascii="新宋体" w:hAnsi="新宋体" w:eastAsia="新宋体"/>
          <w:b/>
        </w:rPr>
      </w:pPr>
      <w:r>
        <w:drawing>
          <wp:inline distT="0" distB="0" distL="0" distR="0">
            <wp:extent cx="5274310" cy="1924685"/>
            <wp:effectExtent l="0" t="0" r="254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1924685"/>
                    </a:xfrm>
                    <a:prstGeom prst="rect">
                      <a:avLst/>
                    </a:prstGeom>
                  </pic:spPr>
                </pic:pic>
              </a:graphicData>
            </a:graphic>
          </wp:inline>
        </w:drawing>
      </w:r>
    </w:p>
    <w:p>
      <w:pPr>
        <w:autoSpaceDE w:val="0"/>
        <w:autoSpaceDN w:val="0"/>
        <w:adjustRightInd w:val="0"/>
        <w:spacing w:line="360" w:lineRule="auto"/>
        <w:rPr>
          <w:rFonts w:hint="default" w:asciiTheme="minorEastAsia" w:hAnsiTheme="minorEastAsia" w:eastAsiaTheme="minorEastAsia"/>
          <w:sz w:val="18"/>
          <w:szCs w:val="20"/>
          <w:lang w:val="en-US" w:eastAsia="zh-CN"/>
        </w:rPr>
      </w:pPr>
      <w:r>
        <w:rPr>
          <w:rFonts w:hint="eastAsia" w:asciiTheme="minorEastAsia" w:hAnsiTheme="minorEastAsia" w:eastAsiaTheme="minorEastAsia"/>
          <w:sz w:val="18"/>
          <w:szCs w:val="20"/>
        </w:rPr>
        <w:t>图</w:t>
      </w:r>
      <w:r>
        <w:rPr>
          <w:rFonts w:hint="eastAsia" w:asciiTheme="minorEastAsia" w:hAnsiTheme="minorEastAsia" w:eastAsiaTheme="minorEastAsia"/>
          <w:sz w:val="18"/>
          <w:szCs w:val="20"/>
          <w:lang w:val="en-US" w:eastAsia="zh-CN"/>
        </w:rPr>
        <w:t>3</w:t>
      </w:r>
      <w:r>
        <w:rPr>
          <w:rFonts w:hint="eastAsia" w:asciiTheme="minorEastAsia" w:hAnsiTheme="minorEastAsia" w:eastAsiaTheme="minorEastAsia"/>
          <w:sz w:val="18"/>
          <w:szCs w:val="20"/>
          <w:lang w:eastAsia="zh-CN"/>
        </w:rPr>
        <w:t>：</w:t>
      </w:r>
      <w:r>
        <w:rPr>
          <w:rFonts w:hint="eastAsia" w:asciiTheme="minorEastAsia" w:hAnsiTheme="minorEastAsia" w:eastAsiaTheme="minorEastAsia"/>
          <w:sz w:val="18"/>
          <w:szCs w:val="20"/>
          <w:lang w:val="en-US" w:eastAsia="zh-CN"/>
        </w:rPr>
        <w:t>S&amp;P500走势图</w:t>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3月13日，富时中国A50指数收跌0.89%至12137.22点；新交所富时A50期指主力合约收涨0.99%至12270点。基本面上，两会政策平稳落地、与市场预期一致，财政政策力度中性、房地产延续弱势、经济结构性修复仍需时间。周末公布的数据显示2月CPI同比超出市场预期，2月PPI延续下滑，呈现相对积极信号，等待三四月份经济数据对经济持续性增长以及库存周期拐点的验证。整体看，基本面对市场的驱动仍然较弱，资金短线存在较浓观望情绪。预计指数存在一定的阶段性回调需求。策略上，短线观望为主。详细支撑阻力位请见图4。</w:t>
      </w:r>
    </w:p>
    <w:p>
      <w:pPr>
        <w:rPr>
          <w:rFonts w:ascii="新宋体" w:hAnsi="新宋体" w:eastAsia="新宋体"/>
        </w:rPr>
      </w:pPr>
      <w:r>
        <w:drawing>
          <wp:inline distT="0" distB="0" distL="0" distR="0">
            <wp:extent cx="5274310" cy="1936750"/>
            <wp:effectExtent l="0" t="0" r="254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74310" cy="1936750"/>
                    </a:xfrm>
                    <a:prstGeom prst="rect">
                      <a:avLst/>
                    </a:prstGeom>
                  </pic:spPr>
                </pic:pic>
              </a:graphicData>
            </a:graphic>
          </wp:inline>
        </w:drawing>
      </w:r>
    </w:p>
    <w:p>
      <w:pPr>
        <w:autoSpaceDE w:val="0"/>
        <w:autoSpaceDN w:val="0"/>
        <w:adjustRightInd w:val="0"/>
        <w:spacing w:line="360" w:lineRule="auto"/>
        <w:rPr>
          <w:rFonts w:ascii="新宋体" w:hAnsi="新宋体" w:eastAsia="新宋体"/>
        </w:rPr>
      </w:pPr>
      <w:r>
        <w:rPr>
          <w:rFonts w:hint="eastAsia" w:asciiTheme="minorEastAsia" w:hAnsiTheme="minorEastAsia" w:eastAsiaTheme="minorEastAsia"/>
          <w:sz w:val="18"/>
          <w:szCs w:val="20"/>
        </w:rPr>
        <w:t>图</w:t>
      </w:r>
      <w:r>
        <w:rPr>
          <w:rFonts w:hint="eastAsia" w:asciiTheme="minorEastAsia" w:hAnsiTheme="minorEastAsia" w:eastAsiaTheme="minorEastAsia"/>
          <w:sz w:val="18"/>
          <w:szCs w:val="20"/>
          <w:lang w:val="en-US" w:eastAsia="zh-CN"/>
        </w:rPr>
        <w:t>4</w:t>
      </w:r>
      <w:r>
        <w:rPr>
          <w:rFonts w:hint="eastAsia" w:asciiTheme="minorEastAsia" w:hAnsiTheme="minorEastAsia" w:eastAsiaTheme="minorEastAsia"/>
          <w:sz w:val="18"/>
          <w:szCs w:val="20"/>
          <w:lang w:eastAsia="zh-CN"/>
        </w:rPr>
        <w:t>：富时中国A50指数</w:t>
      </w:r>
      <w:r>
        <w:rPr>
          <w:rFonts w:hint="eastAsia" w:asciiTheme="minorEastAsia" w:hAnsiTheme="minorEastAsia" w:eastAsiaTheme="minorEastAsia"/>
          <w:sz w:val="18"/>
          <w:szCs w:val="20"/>
          <w:lang w:val="en-US" w:eastAsia="zh-CN"/>
        </w:rPr>
        <w:t>走势图</w:t>
      </w:r>
    </w:p>
    <w:p>
      <w:pPr>
        <w:pStyle w:val="31"/>
        <w:numPr>
          <w:ilvl w:val="0"/>
          <w:numId w:val="2"/>
        </w:numPr>
        <w:spacing w:line="360" w:lineRule="auto"/>
        <w:ind w:leftChars="0"/>
        <w:rPr>
          <w:rFonts w:hint="eastAsia" w:ascii="宋体" w:hAnsi="宋体" w:eastAsia="宋体"/>
          <w:b/>
          <w:color w:val="002060"/>
          <w:sz w:val="28"/>
          <w:lang w:val="en-US"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隔夜美元指数震荡偏弱，交投于102.81。美国国债收益率有所回升，基准的10年期美债收益率收报4.1879%，对美联储政策利率最敏感的2年期美债收益率收报4.6324%。</w:t>
      </w:r>
    </w:p>
    <w:p>
      <w:pPr>
        <w:spacing w:line="360" w:lineRule="auto"/>
        <w:ind w:firstLine="480" w:firstLineChars="20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库存方面：截至3月13日，LME铜库存为108925吨，环比-1975吨。3月8日当周，上海期货交易所阴极铜库存为239245吨，周环比+ 24758吨。</w:t>
      </w:r>
    </w:p>
    <w:p>
      <w:pPr>
        <w:spacing w:line="360" w:lineRule="auto"/>
        <w:ind w:firstLine="480" w:firstLineChars="20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外盘持仓方面：根据CFTC公布的最新数据显示，截止至3月5日当周，非商业多头持仓70970手，空头为76297手，净空持仓为5327手，较上周净空增加3724手。</w:t>
      </w:r>
    </w:p>
    <w:p>
      <w:pPr>
        <w:spacing w:line="360" w:lineRule="auto"/>
        <w:ind w:firstLine="480" w:firstLineChars="20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隔夜COMEX铜震荡偏强，其中2405合约报收4.058美元/磅，涨跌幅+3.2%。国际方面，惠誉：近期全球经济增长前景有所改善，将2024年全球GDP增长预测上调0.3个百分点至2.4%，将2025年全球GDP增长率预测上调至2.5%；预计美国财政刺激将在今年减弱，家庭收入增长将放缓；预计美联储和欧洲央行将在年底前分别降息三次，总计降息75个基点。国内方面，国务院印发《推动大规模设备更新和消费品以旧换新行动方案》，开展汽车、家电产品以旧换新，推动家装消费品换新。库存方面，国内社会库存累库加剧。LME库存去化较明显，海外需求逐步转好。操作上，建议COMEX铜2405合约轻仓逢低短多交易，注意交易节奏及风险控制。</w:t>
      </w:r>
    </w:p>
    <w:p>
      <w:pPr>
        <w:spacing w:line="312" w:lineRule="auto"/>
        <w:rPr>
          <w:rFonts w:ascii="宋体" w:hAnsi="宋体" w:eastAsia="宋体"/>
          <w:b/>
          <w:color w:val="000000" w:themeColor="text1"/>
          <w14:textFill>
            <w14:solidFill>
              <w14:schemeClr w14:val="tx1"/>
            </w14:solidFill>
          </w14:textFill>
        </w:rPr>
      </w:pPr>
      <w:r>
        <w:drawing>
          <wp:inline distT="0" distB="0" distL="0" distR="0">
            <wp:extent cx="5274310" cy="1931035"/>
            <wp:effectExtent l="0" t="0" r="2540"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4310" cy="1931035"/>
                    </a:xfrm>
                    <a:prstGeom prst="rect">
                      <a:avLst/>
                    </a:prstGeom>
                  </pic:spPr>
                </pic:pic>
              </a:graphicData>
            </a:graphic>
          </wp:inline>
        </w:drawing>
      </w:r>
    </w:p>
    <w:p>
      <w:pPr>
        <w:autoSpaceDE w:val="0"/>
        <w:autoSpaceDN w:val="0"/>
        <w:adjustRightInd w:val="0"/>
        <w:spacing w:line="360" w:lineRule="auto"/>
        <w:rPr>
          <w:rFonts w:hint="eastAsia" w:ascii="宋体" w:hAnsi="宋体"/>
          <w:b/>
          <w:color w:val="C00000"/>
          <w:sz w:val="32"/>
        </w:rPr>
      </w:pPr>
      <w:r>
        <w:rPr>
          <w:rFonts w:hint="eastAsia" w:asciiTheme="minorEastAsia" w:hAnsiTheme="minorEastAsia" w:eastAsiaTheme="minorEastAsia"/>
          <w:sz w:val="18"/>
          <w:szCs w:val="20"/>
        </w:rPr>
        <w:t>图</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b w:val="0"/>
          <w:bCs w:val="0"/>
          <w:color w:val="000000" w:themeColor="text1"/>
          <w:sz w:val="24"/>
          <w:szCs w:val="24"/>
          <w14:textFill>
            <w14:solidFill>
              <w14:schemeClr w14:val="tx1"/>
            </w14:solidFill>
          </w14:textFill>
        </w:rPr>
        <w:t>消息面：</w:t>
      </w:r>
      <w:r>
        <w:rPr>
          <w:rFonts w:hint="eastAsia" w:ascii="仿宋" w:hAnsi="仿宋" w:eastAsia="仿宋" w:cs="仿宋"/>
          <w:sz w:val="24"/>
          <w:szCs w:val="24"/>
        </w:rPr>
        <w:t>近期公布的美国通胀数据与预期持平，整体通胀下行趋势逐渐放缓。商品价格企稳后服务业价格并未显著下降，其中租金价格尚未完全反映市场价格的同时增速仍处于高位，后继通胀回落或仍需一定时间等待。数据公布后市场对美国利率预期并未作出显著改变，但由于上周非农就业数据公布后利率预期下调带动美债收益率显著回落，本周长端美债或再次迎来上调修正。</w:t>
      </w: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b w:val="0"/>
          <w:bCs w:val="0"/>
          <w:color w:val="000000" w:themeColor="text1"/>
          <w:sz w:val="24"/>
          <w:szCs w:val="24"/>
          <w14:textFill>
            <w14:solidFill>
              <w14:schemeClr w14:val="tx1"/>
            </w14:solidFill>
          </w14:textFill>
        </w:rPr>
        <w:t>外盘持仓方面：截至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w:t>
      </w:r>
      <w:r>
        <w:rPr>
          <w:rFonts w:hint="eastAsia" w:ascii="仿宋" w:hAnsi="仿宋" w:eastAsia="仿宋" w:cs="仿宋"/>
          <w:b w:val="0"/>
          <w:bCs w:val="0"/>
          <w:color w:val="000000" w:themeColor="text1"/>
          <w:sz w:val="24"/>
          <w:szCs w:val="24"/>
          <w:lang w:val="en-US" w:eastAsia="zh-CN"/>
          <w14:textFill>
            <w14:solidFill>
              <w14:schemeClr w14:val="tx1"/>
            </w14:solidFill>
          </w14:textFill>
        </w:rPr>
        <w:t>13</w:t>
      </w:r>
      <w:r>
        <w:rPr>
          <w:rFonts w:hint="eastAsia" w:ascii="仿宋" w:hAnsi="仿宋" w:eastAsia="仿宋" w:cs="仿宋"/>
          <w:b w:val="0"/>
          <w:bCs w:val="0"/>
          <w:color w:val="000000" w:themeColor="text1"/>
          <w:sz w:val="24"/>
          <w:szCs w:val="24"/>
          <w14:textFill>
            <w14:solidFill>
              <w14:schemeClr w14:val="tx1"/>
            </w14:solidFill>
          </w14:textFill>
        </w:rPr>
        <w:t>日，SPDR Gold Trust黄金ETF持仓量为</w:t>
      </w:r>
      <w:r>
        <w:rPr>
          <w:rFonts w:hint="eastAsia" w:ascii="仿宋" w:hAnsi="仿宋" w:eastAsia="仿宋" w:cs="仿宋"/>
          <w:b w:val="0"/>
          <w:bCs w:val="0"/>
          <w:color w:val="000000" w:themeColor="text1"/>
          <w:sz w:val="24"/>
          <w:szCs w:val="24"/>
          <w:lang w:val="en-US" w:eastAsia="zh-CN"/>
          <w14:textFill>
            <w14:solidFill>
              <w14:schemeClr w14:val="tx1"/>
            </w14:solidFill>
          </w14:textFill>
        </w:rPr>
        <w:t>816.86</w:t>
      </w:r>
      <w:r>
        <w:rPr>
          <w:rFonts w:hint="eastAsia" w:ascii="仿宋" w:hAnsi="仿宋" w:eastAsia="仿宋" w:cs="仿宋"/>
          <w:b w:val="0"/>
          <w:bCs w:val="0"/>
          <w:color w:val="000000" w:themeColor="text1"/>
          <w:sz w:val="24"/>
          <w:szCs w:val="24"/>
          <w14:textFill>
            <w14:solidFill>
              <w14:schemeClr w14:val="tx1"/>
            </w14:solidFill>
          </w14:textFill>
        </w:rPr>
        <w:t>吨</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lang w:val="en-US" w:eastAsia="zh-CN"/>
          <w14:textFill>
            <w14:solidFill>
              <w14:schemeClr w14:val="tx1"/>
            </w14:solidFill>
          </w14:textFill>
        </w:rPr>
        <w:t>较</w:t>
      </w:r>
      <w:r>
        <w:rPr>
          <w:rFonts w:hint="eastAsia" w:ascii="仿宋" w:hAnsi="仿宋" w:eastAsia="仿宋" w:cs="仿宋"/>
          <w:b w:val="0"/>
          <w:bCs w:val="0"/>
          <w:color w:val="000000" w:themeColor="text1"/>
          <w:sz w:val="24"/>
          <w:szCs w:val="24"/>
          <w14:textFill>
            <w14:solidFill>
              <w14:schemeClr w14:val="tx1"/>
            </w14:solidFill>
          </w14:textFill>
        </w:rPr>
        <w:t>上一交易</w:t>
      </w:r>
      <w:r>
        <w:rPr>
          <w:rFonts w:hint="eastAsia" w:ascii="仿宋" w:hAnsi="仿宋" w:eastAsia="仿宋" w:cs="仿宋"/>
          <w:b w:val="0"/>
          <w:bCs w:val="0"/>
          <w:color w:val="000000" w:themeColor="text1"/>
          <w:sz w:val="24"/>
          <w:szCs w:val="24"/>
          <w:lang w:val="en-US" w:eastAsia="zh-CN"/>
          <w14:textFill>
            <w14:solidFill>
              <w14:schemeClr w14:val="tx1"/>
            </w14:solidFill>
          </w14:textFill>
        </w:rPr>
        <w:t>日上涨1.73吨</w:t>
      </w:r>
      <w:r>
        <w:rPr>
          <w:rFonts w:hint="eastAsia" w:ascii="仿宋" w:hAnsi="仿宋" w:eastAsia="仿宋" w:cs="仿宋"/>
          <w:b w:val="0"/>
          <w:bCs w:val="0"/>
          <w:color w:val="000000" w:themeColor="text1"/>
          <w:sz w:val="24"/>
          <w:szCs w:val="24"/>
          <w14:textFill>
            <w14:solidFill>
              <w14:schemeClr w14:val="tx1"/>
            </w14:solidFill>
          </w14:textFill>
        </w:rPr>
        <w:t>。</w:t>
      </w:r>
    </w:p>
    <w:p>
      <w:pPr>
        <w:spacing w:line="360" w:lineRule="auto"/>
        <w:ind w:firstLine="420" w:firstLineChars="0"/>
        <w:jc w:val="both"/>
        <w:rPr>
          <w:rFonts w:hint="eastAsia" w:ascii="仿宋" w:hAnsi="仿宋" w:eastAsia="仿宋" w:cs="仿宋"/>
          <w:sz w:val="24"/>
          <w:szCs w:val="24"/>
        </w:rPr>
      </w:pPr>
      <w:r>
        <w:rPr>
          <w:rFonts w:hint="eastAsia" w:ascii="仿宋" w:hAnsi="仿宋" w:eastAsia="仿宋" w:cs="仿宋"/>
          <w:sz w:val="24"/>
          <w:szCs w:val="24"/>
        </w:rPr>
        <w:t>往后看，短期内美元指数以及美债收益率在利率预期仍维持于高位的状况下或仍保有一定支撑，贵金属价格或多于高位震荡，同时受金银比较高影响，白银价格或进一步上涨带动金银比收敛。操作上建议，日内观望为主，请投资者注意风险控制。</w:t>
      </w:r>
    </w:p>
    <w:p>
      <w:pPr>
        <w:spacing w:line="360" w:lineRule="auto"/>
        <w:ind w:firstLine="420" w:firstLineChars="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p>
    <w:p>
      <w:pPr>
        <w:spacing w:line="360" w:lineRule="auto"/>
        <w:jc w:val="center"/>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059045" cy="2073275"/>
            <wp:effectExtent l="0" t="0" r="8255" b="317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2"/>
                    <a:stretch>
                      <a:fillRect/>
                    </a:stretch>
                  </pic:blipFill>
                  <pic:spPr>
                    <a:xfrm>
                      <a:off x="0" y="0"/>
                      <a:ext cx="5059045" cy="2073275"/>
                    </a:xfrm>
                    <a:prstGeom prst="rect">
                      <a:avLst/>
                    </a:prstGeom>
                    <a:noFill/>
                    <a:ln>
                      <a:noFill/>
                    </a:ln>
                  </pic:spPr>
                </pic:pic>
              </a:graphicData>
            </a:graphic>
          </wp:inline>
        </w:drawing>
      </w:r>
    </w:p>
    <w:p>
      <w:pPr>
        <w:autoSpaceDE w:val="0"/>
        <w:autoSpaceDN w:val="0"/>
        <w:adjustRightInd w:val="0"/>
        <w:spacing w:line="360" w:lineRule="auto"/>
        <w:jc w:val="left"/>
        <w:rPr>
          <w:rFonts w:hint="eastAsia" w:ascii="宋体" w:hAnsi="宋体" w:eastAsia="宋体" w:cs="宋体"/>
          <w:sz w:val="18"/>
          <w:szCs w:val="18"/>
          <w:lang w:val="en-US" w:eastAsia="zh-CN"/>
        </w:rPr>
      </w:pPr>
      <w:r>
        <w:rPr>
          <w:rFonts w:hint="eastAsia" w:cs="宋体" w:asciiTheme="minorEastAsia" w:hAnsiTheme="minorEastAsia" w:eastAsiaTheme="minorEastAsia"/>
          <w:sz w:val="18"/>
          <w:szCs w:val="18"/>
        </w:rPr>
        <w:t>图6</w:t>
      </w:r>
      <w:r>
        <w:rPr>
          <w:rFonts w:hint="eastAsia" w:cs="宋体" w:asciiTheme="minorEastAsia" w:hAnsiTheme="minorEastAsia" w:eastAsiaTheme="minorEastAsia"/>
          <w:sz w:val="18"/>
          <w:szCs w:val="18"/>
          <w:lang w:eastAsia="zh-CN"/>
        </w:rPr>
        <w:t>：</w:t>
      </w:r>
      <w:r>
        <w:rPr>
          <w:rFonts w:hint="eastAsia" w:cs="宋体" w:asciiTheme="minorEastAsia" w:hAnsiTheme="minorEastAsia" w:eastAsiaTheme="minorEastAsia"/>
          <w:sz w:val="18"/>
          <w:szCs w:val="18"/>
        </w:rPr>
        <w:t>COMEX黄金日线走势图</w:t>
      </w:r>
    </w:p>
    <w:p>
      <w:pPr>
        <w:pStyle w:val="31"/>
        <w:numPr>
          <w:ilvl w:val="0"/>
          <w:numId w:val="2"/>
        </w:numPr>
        <w:spacing w:before="240" w:line="360" w:lineRule="auto"/>
        <w:ind w:leftChars="0"/>
      </w:pPr>
      <w:r>
        <w:rPr>
          <w:rFonts w:hint="eastAsia" w:asciiTheme="majorEastAsia" w:hAnsiTheme="majorEastAsia" w:eastAsiaTheme="majorEastAsia"/>
          <w:b/>
          <w:color w:val="002060"/>
          <w:sz w:val="28"/>
          <w:szCs w:val="28"/>
          <w:lang w:val="en-US" w:eastAsia="zh-CN"/>
        </w:rPr>
        <w:t>原油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美国能源信息署周三表示，上周美国原油库存减少154万桶，高于分析师预测的130万桶，也是近两个月来美国原油库存首次下降。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周三，美国汽油期货价格上涨2.9%，创出整个能源综合体的最大涨幅，并达到2023年9月以来的最高水平。美国能源信息署称，上周美国汽油库存减少570万桶，而分析师预期减少190万桶。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普莱斯期货公司的分析师表示，周三汽油期货扮演了领涨角色，人们越来越担心季节性维护和其他停工导致汽油供应紧张。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周三，俄罗斯石油公司（Rosneft）一家日产34万桶的炼油厂在遭到乌克兰无人机袭击后起火，这是乌兰针对俄罗斯石油加工设施的一系列袭击中最新一起。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虽然炼油厂停工通常意味着等待加工的原油量增加，从而损害油价，但是此次袭击表明地缘政治风险加剧。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俄罗斯总统普京表示，俄罗斯在技术上已做好核战争准备，如果美国向乌克兰派遣军队，将被视为冲突严重升级。普京同时表示，他认为没有必要在乌克兰使用核武器。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今年国际原油期货一直呈现窄幅区间波动。周二油价下跌，因为欧佩克表示2月份的产量高于1月份，因为伊拉克的产量仍高于其产量配额。美国通胀也居高不下。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美国能源信息署周二表示，今年美国原油产量增速将高于早先预期，这有助于缓冲欧佩克联盟减产的影响。船舶追踪数据显示，本月美国对欧洲的原油出口将创下新纪录</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纽约商品期货交易所（NYMEX）的西德克萨斯中质原油（WTI）4月合约较上一交易日上涨2.16美元或2.78%，报79.72美元/桶，短期呈宽幅震荡走势。</w:t>
      </w:r>
      <w:r>
        <w:rPr>
          <w:rFonts w:hint="eastAsia" w:ascii="仿宋" w:hAnsi="仿宋" w:eastAsia="仿宋" w:cs="仿宋"/>
          <w:b w:val="0"/>
          <w:bCs w:val="0"/>
          <w:color w:val="000000" w:themeColor="text1"/>
          <w:sz w:val="24"/>
          <w:szCs w:val="24"/>
          <w:lang w:val="en-US" w:eastAsia="zh-CN"/>
          <w14:textFill>
            <w14:solidFill>
              <w14:schemeClr w14:val="tx1"/>
            </w14:solidFill>
          </w14:textFill>
        </w:rPr>
        <w:t>支撑位：76.8；压力位81.5。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drawing>
          <wp:inline distT="0" distB="0" distL="0" distR="0">
            <wp:extent cx="5274310" cy="3052445"/>
            <wp:effectExtent l="0" t="0" r="2540"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74310" cy="3052445"/>
                    </a:xfrm>
                    <a:prstGeom prst="rect">
                      <a:avLst/>
                    </a:prstGeom>
                  </pic:spPr>
                </pic:pic>
              </a:graphicData>
            </a:graphic>
          </wp:inline>
        </w:drawing>
      </w:r>
    </w:p>
    <w:p>
      <w:pPr>
        <w:autoSpaceDE w:val="0"/>
        <w:autoSpaceDN w:val="0"/>
        <w:adjustRightInd w:val="0"/>
        <w:spacing w:line="360" w:lineRule="auto"/>
        <w:jc w:val="left"/>
        <w:rPr>
          <w:rFonts w:hint="default" w:cs="宋体" w:asciiTheme="minorEastAsia" w:hAnsiTheme="minorEastAsia" w:eastAsiaTheme="minorEastAsia"/>
          <w:sz w:val="18"/>
          <w:szCs w:val="18"/>
          <w:lang w:val="en-US" w:eastAsia="zh-CN"/>
        </w:rPr>
      </w:pPr>
      <w:r>
        <w:rPr>
          <w:rFonts w:hint="eastAsia" w:cs="宋体" w:asciiTheme="minorEastAsia" w:hAnsiTheme="minorEastAsia" w:eastAsiaTheme="minorEastAsia"/>
          <w:sz w:val="18"/>
          <w:szCs w:val="18"/>
          <w:lang w:val="en-US" w:eastAsia="zh-CN"/>
        </w:rPr>
        <w:t>图7：原油（WTI）</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4"/>
      <w:bookmarkStart w:id="1" w:name="OLE_LINK3"/>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洲际期货交易所（ICE）原糖期货周三小幅上涨，盘中一度跌逾2%，尽管市场对巴西中南部地区甘蔗产出忧虑仍存。交投最活跃的ICE 5月原糖期货合约收盘收涨0.04美分或0.2%，结算价每磅21.93美分。操作上，建议5月ICE原糖短期暂且观望。</w:t>
      </w:r>
    </w:p>
    <w:p>
      <w:pPr>
        <w:autoSpaceDE w:val="0"/>
        <w:autoSpaceDN w:val="0"/>
        <w:adjustRightInd w:val="0"/>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68595" cy="2111375"/>
            <wp:effectExtent l="0" t="0" r="8255" b="3175"/>
            <wp:docPr id="2" name="图片 2" descr="3d9ce9002eab155659f6b41d008ef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d9ce9002eab155659f6b41d008ef9d"/>
                    <pic:cNvPicPr>
                      <a:picLocks noChangeAspect="1"/>
                    </pic:cNvPicPr>
                  </pic:nvPicPr>
                  <pic:blipFill>
                    <a:blip r:embed="rId14"/>
                    <a:stretch>
                      <a:fillRect/>
                    </a:stretch>
                  </pic:blipFill>
                  <pic:spPr>
                    <a:xfrm>
                      <a:off x="0" y="0"/>
                      <a:ext cx="5268595" cy="2111375"/>
                    </a:xfrm>
                    <a:prstGeom prst="rect">
                      <a:avLst/>
                    </a:prstGeom>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lang w:val="zh-CN" w:eastAsia="zh-CN"/>
        </w:rPr>
      </w:pPr>
      <w:r>
        <w:rPr>
          <w:rFonts w:hint="eastAsia" w:cs="宋体" w:asciiTheme="minorEastAsia" w:hAnsiTheme="minorEastAsia" w:eastAsiaTheme="minorEastAsia"/>
          <w:sz w:val="18"/>
          <w:szCs w:val="18"/>
          <w:lang w:val="zh-CN" w:eastAsia="zh-CN"/>
        </w:rPr>
        <w:t>图</w:t>
      </w:r>
      <w:r>
        <w:rPr>
          <w:rFonts w:hint="eastAsia" w:cs="宋体" w:asciiTheme="minorEastAsia" w:hAnsiTheme="minorEastAsia" w:eastAsiaTheme="minorEastAsia"/>
          <w:sz w:val="18"/>
          <w:szCs w:val="18"/>
          <w:lang w:val="en-US" w:eastAsia="zh-CN"/>
        </w:rPr>
        <w:t>8：ICE</w:t>
      </w:r>
      <w:r>
        <w:rPr>
          <w:rFonts w:hint="eastAsia" w:cs="宋体" w:asciiTheme="minorEastAsia" w:hAnsiTheme="minorEastAsia" w:eastAsiaTheme="minorEastAsia"/>
          <w:sz w:val="18"/>
          <w:szCs w:val="18"/>
          <w:lang w:val="zh-CN" w:eastAsia="zh-CN"/>
        </w:rPr>
        <w:t>原糖期货主力合约日走势图及支撑位、阻力位</w:t>
      </w:r>
    </w:p>
    <w:p>
      <w:pPr>
        <w:autoSpaceDE w:val="0"/>
        <w:autoSpaceDN w:val="0"/>
        <w:adjustRightInd w:val="0"/>
        <w:spacing w:line="360" w:lineRule="auto"/>
        <w:jc w:val="left"/>
        <w:rPr>
          <w:rFonts w:hint="default" w:cs="宋体" w:asciiTheme="minorEastAsia" w:hAnsiTheme="minorEastAsia" w:eastAsiaTheme="minorEastAsia"/>
          <w:sz w:val="18"/>
          <w:szCs w:val="18"/>
          <w:lang w:val="en-US" w:eastAsia="zh-CN"/>
        </w:rPr>
      </w:pP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default"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洲际交易所(ICE)棉花期货周三小幅收跌，因市场预计棉花供应将增加，但棉厂需求仍低迷。交投最活跃的ICE 5月期棉收跌0.33美分或0.35%，结算价报94.90美分/磅。操作上，建议5月 ICE 期棉短期暂且观望为宜.</w:t>
      </w:r>
    </w:p>
    <w:p>
      <w:pPr>
        <w:spacing w:line="360" w:lineRule="auto"/>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drawing>
          <wp:inline distT="0" distB="0" distL="114300" distR="114300">
            <wp:extent cx="5274945" cy="2197735"/>
            <wp:effectExtent l="0" t="0" r="1905" b="12065"/>
            <wp:docPr id="3" name="图片 3" descr="7f628904582abd23e472d2bcc0bb7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f628904582abd23e472d2bcc0bb76e"/>
                    <pic:cNvPicPr>
                      <a:picLocks noChangeAspect="1"/>
                    </pic:cNvPicPr>
                  </pic:nvPicPr>
                  <pic:blipFill>
                    <a:blip r:embed="rId15"/>
                    <a:stretch>
                      <a:fillRect/>
                    </a:stretch>
                  </pic:blipFill>
                  <pic:spPr>
                    <a:xfrm>
                      <a:off x="0" y="0"/>
                      <a:ext cx="5274945" cy="2197735"/>
                    </a:xfrm>
                    <a:prstGeom prst="rect">
                      <a:avLst/>
                    </a:prstGeom>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lang w:val="en-US" w:eastAsia="zh-CN"/>
        </w:rPr>
      </w:pPr>
      <w:r>
        <w:rPr>
          <w:rFonts w:hint="eastAsia" w:cs="宋体" w:asciiTheme="minorEastAsia" w:hAnsiTheme="minorEastAsia" w:eastAsiaTheme="minorEastAsia"/>
          <w:sz w:val="18"/>
          <w:szCs w:val="18"/>
          <w:lang w:val="zh-CN" w:eastAsia="zh-CN"/>
        </w:rPr>
        <w:t>图9：ICE棉花期货主力合约日走势图及支撑位、阻力位</w:t>
      </w: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30D"/>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AA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158D6"/>
    <w:rsid w:val="010E191D"/>
    <w:rsid w:val="011305D4"/>
    <w:rsid w:val="01222842"/>
    <w:rsid w:val="01446E1C"/>
    <w:rsid w:val="014B6F4C"/>
    <w:rsid w:val="014F7A8E"/>
    <w:rsid w:val="01503181"/>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EF5CD8"/>
    <w:rsid w:val="01F313AB"/>
    <w:rsid w:val="020175F3"/>
    <w:rsid w:val="0202426E"/>
    <w:rsid w:val="020E5336"/>
    <w:rsid w:val="02100A86"/>
    <w:rsid w:val="0218409E"/>
    <w:rsid w:val="02264DE6"/>
    <w:rsid w:val="022E49E2"/>
    <w:rsid w:val="023A441C"/>
    <w:rsid w:val="02526616"/>
    <w:rsid w:val="02532161"/>
    <w:rsid w:val="0270340F"/>
    <w:rsid w:val="027140F0"/>
    <w:rsid w:val="027421EC"/>
    <w:rsid w:val="02A147E9"/>
    <w:rsid w:val="02A83DF5"/>
    <w:rsid w:val="02AB2B4E"/>
    <w:rsid w:val="02B42E38"/>
    <w:rsid w:val="02B857DE"/>
    <w:rsid w:val="02BD00A2"/>
    <w:rsid w:val="02BD26C5"/>
    <w:rsid w:val="02BE2E95"/>
    <w:rsid w:val="02C60C33"/>
    <w:rsid w:val="02CF3284"/>
    <w:rsid w:val="02DD3F5F"/>
    <w:rsid w:val="02EF1C9C"/>
    <w:rsid w:val="02EF35B1"/>
    <w:rsid w:val="02F01A9D"/>
    <w:rsid w:val="02F32FFC"/>
    <w:rsid w:val="02F5221E"/>
    <w:rsid w:val="02F70554"/>
    <w:rsid w:val="030278A6"/>
    <w:rsid w:val="030933FD"/>
    <w:rsid w:val="03175B68"/>
    <w:rsid w:val="032B6C3A"/>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1A146A"/>
    <w:rsid w:val="043439F8"/>
    <w:rsid w:val="04406F20"/>
    <w:rsid w:val="04456092"/>
    <w:rsid w:val="0468241F"/>
    <w:rsid w:val="046E7AF4"/>
    <w:rsid w:val="047645E1"/>
    <w:rsid w:val="04775375"/>
    <w:rsid w:val="0478140B"/>
    <w:rsid w:val="047F3831"/>
    <w:rsid w:val="049158D8"/>
    <w:rsid w:val="04971774"/>
    <w:rsid w:val="049E54EE"/>
    <w:rsid w:val="04A10B6F"/>
    <w:rsid w:val="04A34B22"/>
    <w:rsid w:val="04B16720"/>
    <w:rsid w:val="04BA6EFD"/>
    <w:rsid w:val="04BE5FB8"/>
    <w:rsid w:val="04C4147D"/>
    <w:rsid w:val="04D45678"/>
    <w:rsid w:val="04DA4F7F"/>
    <w:rsid w:val="04E36BD2"/>
    <w:rsid w:val="050E4482"/>
    <w:rsid w:val="05114DFE"/>
    <w:rsid w:val="05145849"/>
    <w:rsid w:val="05234B36"/>
    <w:rsid w:val="0524656E"/>
    <w:rsid w:val="05317BB6"/>
    <w:rsid w:val="054D61EC"/>
    <w:rsid w:val="05511F3E"/>
    <w:rsid w:val="05557F6D"/>
    <w:rsid w:val="05580A37"/>
    <w:rsid w:val="056C5A14"/>
    <w:rsid w:val="05722477"/>
    <w:rsid w:val="05740264"/>
    <w:rsid w:val="057F1668"/>
    <w:rsid w:val="05A75D5F"/>
    <w:rsid w:val="05A87039"/>
    <w:rsid w:val="05BC1DCB"/>
    <w:rsid w:val="05BD273F"/>
    <w:rsid w:val="05BF1ED3"/>
    <w:rsid w:val="05D258E0"/>
    <w:rsid w:val="05D83805"/>
    <w:rsid w:val="05DF1BD2"/>
    <w:rsid w:val="05ED01D7"/>
    <w:rsid w:val="05ED0882"/>
    <w:rsid w:val="05F721FB"/>
    <w:rsid w:val="06134660"/>
    <w:rsid w:val="062734CC"/>
    <w:rsid w:val="06287461"/>
    <w:rsid w:val="062E0A26"/>
    <w:rsid w:val="0636167E"/>
    <w:rsid w:val="064A25E0"/>
    <w:rsid w:val="064D2EBD"/>
    <w:rsid w:val="06521862"/>
    <w:rsid w:val="06522747"/>
    <w:rsid w:val="0656349E"/>
    <w:rsid w:val="06653915"/>
    <w:rsid w:val="067A5563"/>
    <w:rsid w:val="069E6E08"/>
    <w:rsid w:val="06AC01D9"/>
    <w:rsid w:val="06B852CF"/>
    <w:rsid w:val="06C06A30"/>
    <w:rsid w:val="06C5194B"/>
    <w:rsid w:val="06CA750F"/>
    <w:rsid w:val="06D07641"/>
    <w:rsid w:val="06DD626A"/>
    <w:rsid w:val="06F04422"/>
    <w:rsid w:val="06FE0F8A"/>
    <w:rsid w:val="07061550"/>
    <w:rsid w:val="070716B9"/>
    <w:rsid w:val="070933B5"/>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AB20F7"/>
    <w:rsid w:val="07B6503C"/>
    <w:rsid w:val="07B65204"/>
    <w:rsid w:val="07BC6C9C"/>
    <w:rsid w:val="07C1242E"/>
    <w:rsid w:val="07C5339E"/>
    <w:rsid w:val="07C723DC"/>
    <w:rsid w:val="07CC040F"/>
    <w:rsid w:val="07D066D7"/>
    <w:rsid w:val="07F01CB4"/>
    <w:rsid w:val="08026D59"/>
    <w:rsid w:val="080C0538"/>
    <w:rsid w:val="08277286"/>
    <w:rsid w:val="08487E99"/>
    <w:rsid w:val="085333A0"/>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45539"/>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3E36F7"/>
    <w:rsid w:val="0A4F7FA4"/>
    <w:rsid w:val="0A546075"/>
    <w:rsid w:val="0A581411"/>
    <w:rsid w:val="0A656A7A"/>
    <w:rsid w:val="0A696520"/>
    <w:rsid w:val="0A767057"/>
    <w:rsid w:val="0A8028A4"/>
    <w:rsid w:val="0A821835"/>
    <w:rsid w:val="0A821CA5"/>
    <w:rsid w:val="0A862805"/>
    <w:rsid w:val="0A867C36"/>
    <w:rsid w:val="0A952E0E"/>
    <w:rsid w:val="0A9C2704"/>
    <w:rsid w:val="0A9D49C5"/>
    <w:rsid w:val="0A9E05BA"/>
    <w:rsid w:val="0AA27F6B"/>
    <w:rsid w:val="0AAC0E1A"/>
    <w:rsid w:val="0AB13EC9"/>
    <w:rsid w:val="0AB345E6"/>
    <w:rsid w:val="0ABC1CE7"/>
    <w:rsid w:val="0AD52303"/>
    <w:rsid w:val="0ADC7777"/>
    <w:rsid w:val="0AF16106"/>
    <w:rsid w:val="0B040E02"/>
    <w:rsid w:val="0B1306DF"/>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A43CE5"/>
    <w:rsid w:val="0CBA41DA"/>
    <w:rsid w:val="0CCA3020"/>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6873"/>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8B5EAD"/>
    <w:rsid w:val="0E9A0A79"/>
    <w:rsid w:val="0EB92ED7"/>
    <w:rsid w:val="0EC04114"/>
    <w:rsid w:val="0EC85C24"/>
    <w:rsid w:val="0ED0608F"/>
    <w:rsid w:val="0ED670CD"/>
    <w:rsid w:val="0EE90FA7"/>
    <w:rsid w:val="0EEF5264"/>
    <w:rsid w:val="0F142AC0"/>
    <w:rsid w:val="0F2F218C"/>
    <w:rsid w:val="0F322D20"/>
    <w:rsid w:val="0F3841AF"/>
    <w:rsid w:val="0F7A2DAA"/>
    <w:rsid w:val="0F816731"/>
    <w:rsid w:val="0F871B88"/>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5DC5"/>
    <w:rsid w:val="0FFB7D61"/>
    <w:rsid w:val="1003603D"/>
    <w:rsid w:val="100472F7"/>
    <w:rsid w:val="1005671A"/>
    <w:rsid w:val="10154CC7"/>
    <w:rsid w:val="101E6DED"/>
    <w:rsid w:val="103123F2"/>
    <w:rsid w:val="10363F7F"/>
    <w:rsid w:val="103C36A5"/>
    <w:rsid w:val="104546B7"/>
    <w:rsid w:val="104C752D"/>
    <w:rsid w:val="104E1B9A"/>
    <w:rsid w:val="10537F4A"/>
    <w:rsid w:val="1066704D"/>
    <w:rsid w:val="10704862"/>
    <w:rsid w:val="107B43C3"/>
    <w:rsid w:val="107E2176"/>
    <w:rsid w:val="108E25A4"/>
    <w:rsid w:val="10960CAB"/>
    <w:rsid w:val="109F0BA7"/>
    <w:rsid w:val="10A03A68"/>
    <w:rsid w:val="10AA60B9"/>
    <w:rsid w:val="10AB7384"/>
    <w:rsid w:val="10B41A98"/>
    <w:rsid w:val="10BE15C4"/>
    <w:rsid w:val="10C50E46"/>
    <w:rsid w:val="10C61D50"/>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4369E"/>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52565"/>
    <w:rsid w:val="12A7056B"/>
    <w:rsid w:val="12C67D7F"/>
    <w:rsid w:val="12CC5D44"/>
    <w:rsid w:val="12D353D4"/>
    <w:rsid w:val="12D73585"/>
    <w:rsid w:val="12E45A8E"/>
    <w:rsid w:val="12FE1B82"/>
    <w:rsid w:val="130646C4"/>
    <w:rsid w:val="13390A39"/>
    <w:rsid w:val="133A64DA"/>
    <w:rsid w:val="13420D91"/>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06248"/>
    <w:rsid w:val="14B650DF"/>
    <w:rsid w:val="14D92F3F"/>
    <w:rsid w:val="14E32140"/>
    <w:rsid w:val="14E74DA5"/>
    <w:rsid w:val="14EF7340"/>
    <w:rsid w:val="14F0710C"/>
    <w:rsid w:val="150212E5"/>
    <w:rsid w:val="150C5E03"/>
    <w:rsid w:val="15102F39"/>
    <w:rsid w:val="151D2CC7"/>
    <w:rsid w:val="1527752E"/>
    <w:rsid w:val="153314B4"/>
    <w:rsid w:val="15472587"/>
    <w:rsid w:val="154B6AB3"/>
    <w:rsid w:val="15610299"/>
    <w:rsid w:val="157A4877"/>
    <w:rsid w:val="158F165C"/>
    <w:rsid w:val="15973CBB"/>
    <w:rsid w:val="159A02A2"/>
    <w:rsid w:val="15B400E9"/>
    <w:rsid w:val="15B646EB"/>
    <w:rsid w:val="15B80D48"/>
    <w:rsid w:val="15C57BCF"/>
    <w:rsid w:val="15CA13A9"/>
    <w:rsid w:val="15D14AAD"/>
    <w:rsid w:val="15DB59AA"/>
    <w:rsid w:val="15E02C01"/>
    <w:rsid w:val="15E252D6"/>
    <w:rsid w:val="15E27FE7"/>
    <w:rsid w:val="15EA1E9D"/>
    <w:rsid w:val="15FD3794"/>
    <w:rsid w:val="16045920"/>
    <w:rsid w:val="160F3106"/>
    <w:rsid w:val="16117F11"/>
    <w:rsid w:val="161F43DC"/>
    <w:rsid w:val="16261011"/>
    <w:rsid w:val="16295AFF"/>
    <w:rsid w:val="162D4D4B"/>
    <w:rsid w:val="16334E3F"/>
    <w:rsid w:val="163B1603"/>
    <w:rsid w:val="16451C4D"/>
    <w:rsid w:val="164539AB"/>
    <w:rsid w:val="164B51D1"/>
    <w:rsid w:val="16717CAE"/>
    <w:rsid w:val="167457F7"/>
    <w:rsid w:val="167C2BB6"/>
    <w:rsid w:val="167C7F04"/>
    <w:rsid w:val="167F252D"/>
    <w:rsid w:val="1686316D"/>
    <w:rsid w:val="16922E00"/>
    <w:rsid w:val="16982D62"/>
    <w:rsid w:val="16CB54ED"/>
    <w:rsid w:val="16CF61C1"/>
    <w:rsid w:val="16D36563"/>
    <w:rsid w:val="16E45306"/>
    <w:rsid w:val="16F011CE"/>
    <w:rsid w:val="171E058A"/>
    <w:rsid w:val="17212A33"/>
    <w:rsid w:val="17296645"/>
    <w:rsid w:val="172E3AC0"/>
    <w:rsid w:val="173F4A72"/>
    <w:rsid w:val="175F5D68"/>
    <w:rsid w:val="17691E11"/>
    <w:rsid w:val="176D721C"/>
    <w:rsid w:val="17773DA4"/>
    <w:rsid w:val="178851E9"/>
    <w:rsid w:val="178A344C"/>
    <w:rsid w:val="178E7A1C"/>
    <w:rsid w:val="17937AA5"/>
    <w:rsid w:val="17984446"/>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EB4A4A"/>
    <w:rsid w:val="18F12D03"/>
    <w:rsid w:val="18F709DF"/>
    <w:rsid w:val="19015029"/>
    <w:rsid w:val="190803DF"/>
    <w:rsid w:val="190C71E0"/>
    <w:rsid w:val="19113A6E"/>
    <w:rsid w:val="19115ADE"/>
    <w:rsid w:val="19160578"/>
    <w:rsid w:val="192A48A7"/>
    <w:rsid w:val="19315388"/>
    <w:rsid w:val="19330697"/>
    <w:rsid w:val="193E0C96"/>
    <w:rsid w:val="19400B47"/>
    <w:rsid w:val="19436634"/>
    <w:rsid w:val="194B7DB6"/>
    <w:rsid w:val="195B47F3"/>
    <w:rsid w:val="1962673B"/>
    <w:rsid w:val="1965026C"/>
    <w:rsid w:val="197A5ED3"/>
    <w:rsid w:val="197F6B45"/>
    <w:rsid w:val="198074A0"/>
    <w:rsid w:val="198577E5"/>
    <w:rsid w:val="19905538"/>
    <w:rsid w:val="199D13D3"/>
    <w:rsid w:val="19A07ACF"/>
    <w:rsid w:val="19A45097"/>
    <w:rsid w:val="19A501DB"/>
    <w:rsid w:val="19AA5684"/>
    <w:rsid w:val="19B4308D"/>
    <w:rsid w:val="19BE3EE6"/>
    <w:rsid w:val="19C54BF5"/>
    <w:rsid w:val="19D24004"/>
    <w:rsid w:val="19E33D0E"/>
    <w:rsid w:val="19F96F9D"/>
    <w:rsid w:val="1A046659"/>
    <w:rsid w:val="1A051C66"/>
    <w:rsid w:val="1A180A73"/>
    <w:rsid w:val="1A1D2B76"/>
    <w:rsid w:val="1A2A15A2"/>
    <w:rsid w:val="1A427805"/>
    <w:rsid w:val="1A5A1297"/>
    <w:rsid w:val="1A5F36E8"/>
    <w:rsid w:val="1A5F7029"/>
    <w:rsid w:val="1A756363"/>
    <w:rsid w:val="1A8D2A0D"/>
    <w:rsid w:val="1A8F4FED"/>
    <w:rsid w:val="1A9E27DB"/>
    <w:rsid w:val="1AA12298"/>
    <w:rsid w:val="1AA639E5"/>
    <w:rsid w:val="1AAE5D2F"/>
    <w:rsid w:val="1AB95006"/>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A117B"/>
    <w:rsid w:val="1B8B310B"/>
    <w:rsid w:val="1B913D41"/>
    <w:rsid w:val="1B9432D0"/>
    <w:rsid w:val="1B9C027D"/>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9C3F95"/>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060E"/>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34EC9"/>
    <w:rsid w:val="1E3C3C1D"/>
    <w:rsid w:val="1E3E6E38"/>
    <w:rsid w:val="1E4B43E4"/>
    <w:rsid w:val="1E62297B"/>
    <w:rsid w:val="1E671BF4"/>
    <w:rsid w:val="1E6A7A51"/>
    <w:rsid w:val="1E6B7BC7"/>
    <w:rsid w:val="1E6F4A76"/>
    <w:rsid w:val="1E8B3C81"/>
    <w:rsid w:val="1E8D78A3"/>
    <w:rsid w:val="1EA525D9"/>
    <w:rsid w:val="1EAC52DB"/>
    <w:rsid w:val="1EB16498"/>
    <w:rsid w:val="1EB77170"/>
    <w:rsid w:val="1EBC10DA"/>
    <w:rsid w:val="1EBE2441"/>
    <w:rsid w:val="1EC33DEB"/>
    <w:rsid w:val="1EE8001F"/>
    <w:rsid w:val="1EE94B20"/>
    <w:rsid w:val="1EEC28C5"/>
    <w:rsid w:val="1EEE618C"/>
    <w:rsid w:val="1EFF28B3"/>
    <w:rsid w:val="1EFF4DAB"/>
    <w:rsid w:val="1F014B44"/>
    <w:rsid w:val="1F080C5A"/>
    <w:rsid w:val="1F147EBB"/>
    <w:rsid w:val="1F1E0719"/>
    <w:rsid w:val="1F2124E8"/>
    <w:rsid w:val="1F215CE3"/>
    <w:rsid w:val="1F242840"/>
    <w:rsid w:val="1F270E73"/>
    <w:rsid w:val="1F354A45"/>
    <w:rsid w:val="1F501286"/>
    <w:rsid w:val="1F625C45"/>
    <w:rsid w:val="1F676B9C"/>
    <w:rsid w:val="1F6B68E4"/>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3647FC"/>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34741"/>
    <w:rsid w:val="20D52267"/>
    <w:rsid w:val="20DD0308"/>
    <w:rsid w:val="20DF2CE0"/>
    <w:rsid w:val="20F955D7"/>
    <w:rsid w:val="21003DE6"/>
    <w:rsid w:val="21033BB3"/>
    <w:rsid w:val="2111724F"/>
    <w:rsid w:val="2124151C"/>
    <w:rsid w:val="21263C0D"/>
    <w:rsid w:val="21414CFF"/>
    <w:rsid w:val="214304A4"/>
    <w:rsid w:val="214473ED"/>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1F26E49"/>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03BE4"/>
    <w:rsid w:val="234D1DF6"/>
    <w:rsid w:val="235B07D7"/>
    <w:rsid w:val="23726DB6"/>
    <w:rsid w:val="23740A83"/>
    <w:rsid w:val="23783DEA"/>
    <w:rsid w:val="23902AA3"/>
    <w:rsid w:val="23972D3E"/>
    <w:rsid w:val="23BE7017"/>
    <w:rsid w:val="23CC2DD2"/>
    <w:rsid w:val="23D6508F"/>
    <w:rsid w:val="23DF51AB"/>
    <w:rsid w:val="23ED708D"/>
    <w:rsid w:val="23FA7126"/>
    <w:rsid w:val="23FE3AA9"/>
    <w:rsid w:val="2423605F"/>
    <w:rsid w:val="24264B88"/>
    <w:rsid w:val="243A3EC3"/>
    <w:rsid w:val="244C7AF3"/>
    <w:rsid w:val="244E1514"/>
    <w:rsid w:val="24521DBA"/>
    <w:rsid w:val="245D246E"/>
    <w:rsid w:val="24653332"/>
    <w:rsid w:val="246C2037"/>
    <w:rsid w:val="24921F49"/>
    <w:rsid w:val="249C29B9"/>
    <w:rsid w:val="249D43A1"/>
    <w:rsid w:val="249E145B"/>
    <w:rsid w:val="24AA7567"/>
    <w:rsid w:val="24AE07D5"/>
    <w:rsid w:val="24B63A59"/>
    <w:rsid w:val="24C06D8A"/>
    <w:rsid w:val="24C23280"/>
    <w:rsid w:val="24DA505C"/>
    <w:rsid w:val="24DF022C"/>
    <w:rsid w:val="24E47B18"/>
    <w:rsid w:val="24E81FFE"/>
    <w:rsid w:val="24EC27D9"/>
    <w:rsid w:val="24F65EA2"/>
    <w:rsid w:val="24FB6014"/>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3E4544"/>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52B4D"/>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36B23"/>
    <w:rsid w:val="28BC6D08"/>
    <w:rsid w:val="28D248A1"/>
    <w:rsid w:val="28ED35CB"/>
    <w:rsid w:val="28F768D1"/>
    <w:rsid w:val="28FF7C7C"/>
    <w:rsid w:val="29036A0E"/>
    <w:rsid w:val="2908236B"/>
    <w:rsid w:val="290C31BE"/>
    <w:rsid w:val="2916166F"/>
    <w:rsid w:val="291C4C43"/>
    <w:rsid w:val="2920482D"/>
    <w:rsid w:val="29253CA5"/>
    <w:rsid w:val="292A5AAA"/>
    <w:rsid w:val="292F6B65"/>
    <w:rsid w:val="293746B7"/>
    <w:rsid w:val="29406A61"/>
    <w:rsid w:val="29420933"/>
    <w:rsid w:val="295C6CC4"/>
    <w:rsid w:val="295F242D"/>
    <w:rsid w:val="29613692"/>
    <w:rsid w:val="29617F01"/>
    <w:rsid w:val="2968352F"/>
    <w:rsid w:val="2969073F"/>
    <w:rsid w:val="29736AC1"/>
    <w:rsid w:val="298453A4"/>
    <w:rsid w:val="29996EAF"/>
    <w:rsid w:val="29A47AC3"/>
    <w:rsid w:val="29AE2F27"/>
    <w:rsid w:val="29B43327"/>
    <w:rsid w:val="29BC233D"/>
    <w:rsid w:val="29BC65F3"/>
    <w:rsid w:val="29E05D0D"/>
    <w:rsid w:val="29E53A28"/>
    <w:rsid w:val="29E93BEE"/>
    <w:rsid w:val="29ED6EF6"/>
    <w:rsid w:val="29F13EE7"/>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228D5"/>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477FA"/>
    <w:rsid w:val="2AF519F7"/>
    <w:rsid w:val="2AF9237E"/>
    <w:rsid w:val="2B037E4F"/>
    <w:rsid w:val="2B0414D5"/>
    <w:rsid w:val="2B132433"/>
    <w:rsid w:val="2B1F1E4C"/>
    <w:rsid w:val="2B366379"/>
    <w:rsid w:val="2B40077F"/>
    <w:rsid w:val="2B472568"/>
    <w:rsid w:val="2B8735B3"/>
    <w:rsid w:val="2B87631A"/>
    <w:rsid w:val="2BA617A3"/>
    <w:rsid w:val="2BAC20BD"/>
    <w:rsid w:val="2BAE5591"/>
    <w:rsid w:val="2BB778D0"/>
    <w:rsid w:val="2BBC2A47"/>
    <w:rsid w:val="2BC12B09"/>
    <w:rsid w:val="2BC81D75"/>
    <w:rsid w:val="2BD517BE"/>
    <w:rsid w:val="2BD56AFA"/>
    <w:rsid w:val="2BE34A10"/>
    <w:rsid w:val="2BE57224"/>
    <w:rsid w:val="2BE9306B"/>
    <w:rsid w:val="2BEC1FDB"/>
    <w:rsid w:val="2BED6207"/>
    <w:rsid w:val="2BEE3B85"/>
    <w:rsid w:val="2BF30DA1"/>
    <w:rsid w:val="2BFE3F53"/>
    <w:rsid w:val="2C023FE0"/>
    <w:rsid w:val="2C1E63CA"/>
    <w:rsid w:val="2C2B1669"/>
    <w:rsid w:val="2C4812A4"/>
    <w:rsid w:val="2C5901A9"/>
    <w:rsid w:val="2C5F50DB"/>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CEB696E"/>
    <w:rsid w:val="2D07193A"/>
    <w:rsid w:val="2D074A52"/>
    <w:rsid w:val="2D1D68AD"/>
    <w:rsid w:val="2D220C6F"/>
    <w:rsid w:val="2D236F71"/>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5E167A"/>
    <w:rsid w:val="2F6B486D"/>
    <w:rsid w:val="2F700964"/>
    <w:rsid w:val="2F71219B"/>
    <w:rsid w:val="2F74594A"/>
    <w:rsid w:val="2F763777"/>
    <w:rsid w:val="2F794705"/>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063CC"/>
    <w:rsid w:val="30796FFF"/>
    <w:rsid w:val="307E4196"/>
    <w:rsid w:val="30861486"/>
    <w:rsid w:val="3089778B"/>
    <w:rsid w:val="308A6323"/>
    <w:rsid w:val="309D795D"/>
    <w:rsid w:val="30A12F1B"/>
    <w:rsid w:val="30A14338"/>
    <w:rsid w:val="30A528B0"/>
    <w:rsid w:val="30B34753"/>
    <w:rsid w:val="30B70723"/>
    <w:rsid w:val="30B73E55"/>
    <w:rsid w:val="30B90EB6"/>
    <w:rsid w:val="30C33FD8"/>
    <w:rsid w:val="30CB2D3F"/>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A30116"/>
    <w:rsid w:val="31BA1699"/>
    <w:rsid w:val="31CB1FE2"/>
    <w:rsid w:val="31D15DAD"/>
    <w:rsid w:val="31D56DB4"/>
    <w:rsid w:val="31D91EB5"/>
    <w:rsid w:val="31E1176F"/>
    <w:rsid w:val="31F51C2B"/>
    <w:rsid w:val="31F631C1"/>
    <w:rsid w:val="31FB6B7B"/>
    <w:rsid w:val="3200196F"/>
    <w:rsid w:val="3207249C"/>
    <w:rsid w:val="320C6F86"/>
    <w:rsid w:val="32124351"/>
    <w:rsid w:val="321926BC"/>
    <w:rsid w:val="32391A53"/>
    <w:rsid w:val="323924A3"/>
    <w:rsid w:val="323C5FA1"/>
    <w:rsid w:val="323F5FDC"/>
    <w:rsid w:val="32432DA9"/>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263C3"/>
    <w:rsid w:val="32CE3F6B"/>
    <w:rsid w:val="32D31BE9"/>
    <w:rsid w:val="32DE5406"/>
    <w:rsid w:val="32E030C2"/>
    <w:rsid w:val="32E032D9"/>
    <w:rsid w:val="32E03C0A"/>
    <w:rsid w:val="32EB1D89"/>
    <w:rsid w:val="32F04929"/>
    <w:rsid w:val="330A6B94"/>
    <w:rsid w:val="33102D79"/>
    <w:rsid w:val="331A3A83"/>
    <w:rsid w:val="332740C2"/>
    <w:rsid w:val="33294BA8"/>
    <w:rsid w:val="332B1540"/>
    <w:rsid w:val="333B7BAD"/>
    <w:rsid w:val="33596E4F"/>
    <w:rsid w:val="335C5F55"/>
    <w:rsid w:val="336308C3"/>
    <w:rsid w:val="33635E53"/>
    <w:rsid w:val="33784F3D"/>
    <w:rsid w:val="33870AA5"/>
    <w:rsid w:val="338A782A"/>
    <w:rsid w:val="33936456"/>
    <w:rsid w:val="33996D4E"/>
    <w:rsid w:val="339A5225"/>
    <w:rsid w:val="339C68D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7258A"/>
    <w:rsid w:val="34CB6A9B"/>
    <w:rsid w:val="34CC4A69"/>
    <w:rsid w:val="34DD09D8"/>
    <w:rsid w:val="34E1623C"/>
    <w:rsid w:val="34E201AE"/>
    <w:rsid w:val="34E24AB8"/>
    <w:rsid w:val="34E45FFC"/>
    <w:rsid w:val="34EB510C"/>
    <w:rsid w:val="350713B5"/>
    <w:rsid w:val="351F3065"/>
    <w:rsid w:val="351F3CBF"/>
    <w:rsid w:val="35246EC1"/>
    <w:rsid w:val="352A1CA1"/>
    <w:rsid w:val="3532347D"/>
    <w:rsid w:val="353A7148"/>
    <w:rsid w:val="354B08BC"/>
    <w:rsid w:val="3554662E"/>
    <w:rsid w:val="35631758"/>
    <w:rsid w:val="35667BE8"/>
    <w:rsid w:val="356B02EA"/>
    <w:rsid w:val="356E2833"/>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492C0F"/>
    <w:rsid w:val="37552058"/>
    <w:rsid w:val="37571D9D"/>
    <w:rsid w:val="375A2115"/>
    <w:rsid w:val="376967EF"/>
    <w:rsid w:val="376B13FD"/>
    <w:rsid w:val="377133DD"/>
    <w:rsid w:val="37796963"/>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630B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243E8"/>
    <w:rsid w:val="387737AC"/>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A1BA2"/>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2D6818"/>
    <w:rsid w:val="3A3511C9"/>
    <w:rsid w:val="3A393EFD"/>
    <w:rsid w:val="3A451DB4"/>
    <w:rsid w:val="3A5207BB"/>
    <w:rsid w:val="3A636F9B"/>
    <w:rsid w:val="3A6E3C5F"/>
    <w:rsid w:val="3A7334E5"/>
    <w:rsid w:val="3A792A45"/>
    <w:rsid w:val="3A893855"/>
    <w:rsid w:val="3A8A25B8"/>
    <w:rsid w:val="3A903012"/>
    <w:rsid w:val="3A9465DB"/>
    <w:rsid w:val="3A983974"/>
    <w:rsid w:val="3AB944E3"/>
    <w:rsid w:val="3ABE7E78"/>
    <w:rsid w:val="3AC03EA4"/>
    <w:rsid w:val="3AECEE65"/>
    <w:rsid w:val="3AFA0757"/>
    <w:rsid w:val="3B0644B0"/>
    <w:rsid w:val="3B141B89"/>
    <w:rsid w:val="3B1948AC"/>
    <w:rsid w:val="3B194FEF"/>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4A1EF3"/>
    <w:rsid w:val="3C574608"/>
    <w:rsid w:val="3C577AA6"/>
    <w:rsid w:val="3C735022"/>
    <w:rsid w:val="3C786D9B"/>
    <w:rsid w:val="3C852F6D"/>
    <w:rsid w:val="3CA3477C"/>
    <w:rsid w:val="3CAC21E1"/>
    <w:rsid w:val="3CB4493F"/>
    <w:rsid w:val="3CB50B2F"/>
    <w:rsid w:val="3CCE78E2"/>
    <w:rsid w:val="3CD45671"/>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1509D"/>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63608"/>
    <w:rsid w:val="3E0F1FEC"/>
    <w:rsid w:val="3E0F43D2"/>
    <w:rsid w:val="3E234A2C"/>
    <w:rsid w:val="3E3F2FC8"/>
    <w:rsid w:val="3E461C99"/>
    <w:rsid w:val="3E4B3E68"/>
    <w:rsid w:val="3E594080"/>
    <w:rsid w:val="3E5C1648"/>
    <w:rsid w:val="3E6108A1"/>
    <w:rsid w:val="3E642A25"/>
    <w:rsid w:val="3E672BF5"/>
    <w:rsid w:val="3E73764B"/>
    <w:rsid w:val="3E777A24"/>
    <w:rsid w:val="3E840323"/>
    <w:rsid w:val="3E8F29F5"/>
    <w:rsid w:val="3E97431B"/>
    <w:rsid w:val="3EA75959"/>
    <w:rsid w:val="3EB04F24"/>
    <w:rsid w:val="3EB160AA"/>
    <w:rsid w:val="3EBB0C28"/>
    <w:rsid w:val="3EC11C25"/>
    <w:rsid w:val="3EC41A77"/>
    <w:rsid w:val="3ED9722A"/>
    <w:rsid w:val="3EDB69D2"/>
    <w:rsid w:val="3EEB383A"/>
    <w:rsid w:val="3EEC3429"/>
    <w:rsid w:val="3EF60293"/>
    <w:rsid w:val="3EF83469"/>
    <w:rsid w:val="3EFC6603"/>
    <w:rsid w:val="3EFC74BC"/>
    <w:rsid w:val="3F1B0ED5"/>
    <w:rsid w:val="3F1B4C51"/>
    <w:rsid w:val="3F1C5A03"/>
    <w:rsid w:val="3F3B4315"/>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32436"/>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65DA2"/>
    <w:rsid w:val="40F81866"/>
    <w:rsid w:val="40FB13CC"/>
    <w:rsid w:val="410530BB"/>
    <w:rsid w:val="41065A27"/>
    <w:rsid w:val="410C65D0"/>
    <w:rsid w:val="4124435E"/>
    <w:rsid w:val="412E5419"/>
    <w:rsid w:val="4139123C"/>
    <w:rsid w:val="413E5E67"/>
    <w:rsid w:val="41431664"/>
    <w:rsid w:val="414346AF"/>
    <w:rsid w:val="41484F72"/>
    <w:rsid w:val="41712D7E"/>
    <w:rsid w:val="418918F9"/>
    <w:rsid w:val="418E3331"/>
    <w:rsid w:val="419E6573"/>
    <w:rsid w:val="41A03830"/>
    <w:rsid w:val="41A762A5"/>
    <w:rsid w:val="41AB5861"/>
    <w:rsid w:val="41AF1514"/>
    <w:rsid w:val="41B172A4"/>
    <w:rsid w:val="41BB6E00"/>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6C648E"/>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6031D"/>
    <w:rsid w:val="441B49B9"/>
    <w:rsid w:val="4425690D"/>
    <w:rsid w:val="4438427A"/>
    <w:rsid w:val="443F2299"/>
    <w:rsid w:val="444455FE"/>
    <w:rsid w:val="44476729"/>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3C674F"/>
    <w:rsid w:val="45410233"/>
    <w:rsid w:val="45427DAA"/>
    <w:rsid w:val="45551ACA"/>
    <w:rsid w:val="457160E2"/>
    <w:rsid w:val="457C2402"/>
    <w:rsid w:val="457D531C"/>
    <w:rsid w:val="45916CE4"/>
    <w:rsid w:val="45943E01"/>
    <w:rsid w:val="45AB0468"/>
    <w:rsid w:val="45BB52B1"/>
    <w:rsid w:val="45C00026"/>
    <w:rsid w:val="45C000F8"/>
    <w:rsid w:val="45CE2095"/>
    <w:rsid w:val="45CF6016"/>
    <w:rsid w:val="45D24718"/>
    <w:rsid w:val="45F9322D"/>
    <w:rsid w:val="45FE0B94"/>
    <w:rsid w:val="46085B4A"/>
    <w:rsid w:val="460A7E5D"/>
    <w:rsid w:val="460B0587"/>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65745"/>
    <w:rsid w:val="469A214A"/>
    <w:rsid w:val="469B48E9"/>
    <w:rsid w:val="46A149A5"/>
    <w:rsid w:val="46AE6F33"/>
    <w:rsid w:val="46BA7BF4"/>
    <w:rsid w:val="46BB482C"/>
    <w:rsid w:val="46C2260C"/>
    <w:rsid w:val="46C80CC8"/>
    <w:rsid w:val="46F02B6A"/>
    <w:rsid w:val="46F31884"/>
    <w:rsid w:val="46F52B55"/>
    <w:rsid w:val="47055346"/>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AF6ABF"/>
    <w:rsid w:val="47BB36B5"/>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B06F92"/>
    <w:rsid w:val="48C16FB3"/>
    <w:rsid w:val="48D900A8"/>
    <w:rsid w:val="48DF7619"/>
    <w:rsid w:val="48E10EC7"/>
    <w:rsid w:val="48F936E3"/>
    <w:rsid w:val="49041800"/>
    <w:rsid w:val="49107C2F"/>
    <w:rsid w:val="49172B6D"/>
    <w:rsid w:val="49197E8C"/>
    <w:rsid w:val="49215CD0"/>
    <w:rsid w:val="4925465E"/>
    <w:rsid w:val="49304D37"/>
    <w:rsid w:val="49314D2C"/>
    <w:rsid w:val="49336209"/>
    <w:rsid w:val="49522E33"/>
    <w:rsid w:val="49595810"/>
    <w:rsid w:val="495E079C"/>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95FD6"/>
    <w:rsid w:val="4ACE79BE"/>
    <w:rsid w:val="4AD47314"/>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831FB"/>
    <w:rsid w:val="4B9F1745"/>
    <w:rsid w:val="4BA521C1"/>
    <w:rsid w:val="4BB471F9"/>
    <w:rsid w:val="4BB548C0"/>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042D7"/>
    <w:rsid w:val="4C75395B"/>
    <w:rsid w:val="4C7C1733"/>
    <w:rsid w:val="4C7E401A"/>
    <w:rsid w:val="4C896F38"/>
    <w:rsid w:val="4C8B626D"/>
    <w:rsid w:val="4C8E6703"/>
    <w:rsid w:val="4CB44B77"/>
    <w:rsid w:val="4CB577CD"/>
    <w:rsid w:val="4CB608EF"/>
    <w:rsid w:val="4CC74B97"/>
    <w:rsid w:val="4D0346E6"/>
    <w:rsid w:val="4D121061"/>
    <w:rsid w:val="4D152F3B"/>
    <w:rsid w:val="4D1A577D"/>
    <w:rsid w:val="4D3D00CF"/>
    <w:rsid w:val="4D3F1721"/>
    <w:rsid w:val="4D421ADA"/>
    <w:rsid w:val="4D497317"/>
    <w:rsid w:val="4D7A6BAF"/>
    <w:rsid w:val="4D88073A"/>
    <w:rsid w:val="4DA002FF"/>
    <w:rsid w:val="4DB56DF9"/>
    <w:rsid w:val="4DBB6CE0"/>
    <w:rsid w:val="4DBE070F"/>
    <w:rsid w:val="4DC14FBC"/>
    <w:rsid w:val="4DD01FC4"/>
    <w:rsid w:val="4DDF5B14"/>
    <w:rsid w:val="4DE127B4"/>
    <w:rsid w:val="4DE179F3"/>
    <w:rsid w:val="4DE91D1C"/>
    <w:rsid w:val="4DEB6401"/>
    <w:rsid w:val="4DEC1B8E"/>
    <w:rsid w:val="4E014268"/>
    <w:rsid w:val="4E047618"/>
    <w:rsid w:val="4E1522F0"/>
    <w:rsid w:val="4E170364"/>
    <w:rsid w:val="4E2F0959"/>
    <w:rsid w:val="4E3658D6"/>
    <w:rsid w:val="4E426E49"/>
    <w:rsid w:val="4E53517D"/>
    <w:rsid w:val="4E6D4314"/>
    <w:rsid w:val="4E747373"/>
    <w:rsid w:val="4E7800B6"/>
    <w:rsid w:val="4E793CE5"/>
    <w:rsid w:val="4E7A4A0F"/>
    <w:rsid w:val="4E895803"/>
    <w:rsid w:val="4EA11F11"/>
    <w:rsid w:val="4EAF55F6"/>
    <w:rsid w:val="4EC3666C"/>
    <w:rsid w:val="4EC453C4"/>
    <w:rsid w:val="4ECE26DD"/>
    <w:rsid w:val="4ED07A02"/>
    <w:rsid w:val="4F0F77B1"/>
    <w:rsid w:val="4F140AC3"/>
    <w:rsid w:val="4F1500D7"/>
    <w:rsid w:val="4F190A0E"/>
    <w:rsid w:val="4F224D49"/>
    <w:rsid w:val="4F266265"/>
    <w:rsid w:val="4F2B1661"/>
    <w:rsid w:val="4F346BCB"/>
    <w:rsid w:val="4F377108"/>
    <w:rsid w:val="4F3C1733"/>
    <w:rsid w:val="4F3D70A6"/>
    <w:rsid w:val="4F3E06F5"/>
    <w:rsid w:val="4F4502D5"/>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09D"/>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A076B"/>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A365A"/>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BF0246"/>
    <w:rsid w:val="51D952C2"/>
    <w:rsid w:val="51DE167A"/>
    <w:rsid w:val="51DE4874"/>
    <w:rsid w:val="51E57494"/>
    <w:rsid w:val="51E72CB3"/>
    <w:rsid w:val="51EB4AEC"/>
    <w:rsid w:val="51F93319"/>
    <w:rsid w:val="51FA1F4B"/>
    <w:rsid w:val="51FD0C43"/>
    <w:rsid w:val="5208399B"/>
    <w:rsid w:val="520A2D8B"/>
    <w:rsid w:val="520E4D2A"/>
    <w:rsid w:val="52143C31"/>
    <w:rsid w:val="52221516"/>
    <w:rsid w:val="522F68D2"/>
    <w:rsid w:val="52370BC5"/>
    <w:rsid w:val="523D0981"/>
    <w:rsid w:val="523E73BD"/>
    <w:rsid w:val="52456B90"/>
    <w:rsid w:val="52464FEA"/>
    <w:rsid w:val="52475ECE"/>
    <w:rsid w:val="525A3444"/>
    <w:rsid w:val="525C3CE7"/>
    <w:rsid w:val="526236DD"/>
    <w:rsid w:val="526314D6"/>
    <w:rsid w:val="5263422D"/>
    <w:rsid w:val="526351A5"/>
    <w:rsid w:val="52660692"/>
    <w:rsid w:val="52686602"/>
    <w:rsid w:val="529A229C"/>
    <w:rsid w:val="52A375CF"/>
    <w:rsid w:val="52A41656"/>
    <w:rsid w:val="52BD65CF"/>
    <w:rsid w:val="52C84A6B"/>
    <w:rsid w:val="52D17F37"/>
    <w:rsid w:val="52DC6A75"/>
    <w:rsid w:val="52EF55C6"/>
    <w:rsid w:val="530F12E3"/>
    <w:rsid w:val="53176B7B"/>
    <w:rsid w:val="5320259B"/>
    <w:rsid w:val="53204279"/>
    <w:rsid w:val="532A6254"/>
    <w:rsid w:val="532A6A15"/>
    <w:rsid w:val="53347BB5"/>
    <w:rsid w:val="53366CB2"/>
    <w:rsid w:val="53382CC5"/>
    <w:rsid w:val="533B1B4E"/>
    <w:rsid w:val="534224B3"/>
    <w:rsid w:val="5342284C"/>
    <w:rsid w:val="534C2787"/>
    <w:rsid w:val="53642BD9"/>
    <w:rsid w:val="537065D3"/>
    <w:rsid w:val="537E6F4E"/>
    <w:rsid w:val="538347BF"/>
    <w:rsid w:val="53943ED6"/>
    <w:rsid w:val="53A93F8C"/>
    <w:rsid w:val="53BA7E60"/>
    <w:rsid w:val="53DE6A0E"/>
    <w:rsid w:val="53E213F0"/>
    <w:rsid w:val="53E7785B"/>
    <w:rsid w:val="540826AB"/>
    <w:rsid w:val="541379AC"/>
    <w:rsid w:val="54312B0F"/>
    <w:rsid w:val="543F46C9"/>
    <w:rsid w:val="545545DE"/>
    <w:rsid w:val="54554B24"/>
    <w:rsid w:val="546163B0"/>
    <w:rsid w:val="54651DD5"/>
    <w:rsid w:val="54710709"/>
    <w:rsid w:val="54780F20"/>
    <w:rsid w:val="5478123C"/>
    <w:rsid w:val="54785C59"/>
    <w:rsid w:val="54811867"/>
    <w:rsid w:val="549547C4"/>
    <w:rsid w:val="54A20444"/>
    <w:rsid w:val="54A52D27"/>
    <w:rsid w:val="54A905AB"/>
    <w:rsid w:val="54B430BC"/>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735DDC"/>
    <w:rsid w:val="558847A4"/>
    <w:rsid w:val="558E013B"/>
    <w:rsid w:val="55954473"/>
    <w:rsid w:val="55954E7D"/>
    <w:rsid w:val="55963291"/>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7333AD"/>
    <w:rsid w:val="567535C9"/>
    <w:rsid w:val="56A709E0"/>
    <w:rsid w:val="56AC31D8"/>
    <w:rsid w:val="56B714EC"/>
    <w:rsid w:val="56B96F6D"/>
    <w:rsid w:val="56D80361"/>
    <w:rsid w:val="56DC10AB"/>
    <w:rsid w:val="56E51E92"/>
    <w:rsid w:val="56E61118"/>
    <w:rsid w:val="56F42749"/>
    <w:rsid w:val="56F75D8C"/>
    <w:rsid w:val="56F97D56"/>
    <w:rsid w:val="570159AB"/>
    <w:rsid w:val="57081D47"/>
    <w:rsid w:val="570B1DD6"/>
    <w:rsid w:val="571B6442"/>
    <w:rsid w:val="571E72D4"/>
    <w:rsid w:val="571F428C"/>
    <w:rsid w:val="572A4408"/>
    <w:rsid w:val="5736174E"/>
    <w:rsid w:val="573A40DD"/>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DF2F7C"/>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50E4B"/>
    <w:rsid w:val="59853B23"/>
    <w:rsid w:val="598C2884"/>
    <w:rsid w:val="5995120D"/>
    <w:rsid w:val="599F41E3"/>
    <w:rsid w:val="59A45712"/>
    <w:rsid w:val="59B43BDE"/>
    <w:rsid w:val="59BB1D3D"/>
    <w:rsid w:val="59C873D6"/>
    <w:rsid w:val="59CF2287"/>
    <w:rsid w:val="59D26D18"/>
    <w:rsid w:val="59D43C68"/>
    <w:rsid w:val="59D75C26"/>
    <w:rsid w:val="59D9051D"/>
    <w:rsid w:val="59DE7F7E"/>
    <w:rsid w:val="59FE08A1"/>
    <w:rsid w:val="5A0313FD"/>
    <w:rsid w:val="5A131FCF"/>
    <w:rsid w:val="5A171509"/>
    <w:rsid w:val="5A2928F9"/>
    <w:rsid w:val="5A29694A"/>
    <w:rsid w:val="5A380B96"/>
    <w:rsid w:val="5A3904CD"/>
    <w:rsid w:val="5A3A2C2D"/>
    <w:rsid w:val="5A3E51FE"/>
    <w:rsid w:val="5A3E6B5F"/>
    <w:rsid w:val="5A457E4F"/>
    <w:rsid w:val="5A5955C5"/>
    <w:rsid w:val="5A5E6A4F"/>
    <w:rsid w:val="5A672C25"/>
    <w:rsid w:val="5A742B23"/>
    <w:rsid w:val="5A7C4757"/>
    <w:rsid w:val="5A895E68"/>
    <w:rsid w:val="5A8A2FF1"/>
    <w:rsid w:val="5A9477FD"/>
    <w:rsid w:val="5AB512EE"/>
    <w:rsid w:val="5AB6306C"/>
    <w:rsid w:val="5AB72631"/>
    <w:rsid w:val="5AB9454C"/>
    <w:rsid w:val="5AC35661"/>
    <w:rsid w:val="5AC9000E"/>
    <w:rsid w:val="5AE623A0"/>
    <w:rsid w:val="5AE73F2F"/>
    <w:rsid w:val="5AF05B96"/>
    <w:rsid w:val="5AF656AC"/>
    <w:rsid w:val="5AFD30AA"/>
    <w:rsid w:val="5B013AD3"/>
    <w:rsid w:val="5B0422CA"/>
    <w:rsid w:val="5B0603C8"/>
    <w:rsid w:val="5B0A5417"/>
    <w:rsid w:val="5B0B1720"/>
    <w:rsid w:val="5B0F5A6E"/>
    <w:rsid w:val="5B1073E3"/>
    <w:rsid w:val="5B171980"/>
    <w:rsid w:val="5B2E2E8A"/>
    <w:rsid w:val="5B326E32"/>
    <w:rsid w:val="5B36405E"/>
    <w:rsid w:val="5B394885"/>
    <w:rsid w:val="5B3A093D"/>
    <w:rsid w:val="5B3F40C4"/>
    <w:rsid w:val="5B454B70"/>
    <w:rsid w:val="5B6D6329"/>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9F4EFC"/>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346F"/>
    <w:rsid w:val="5F174B23"/>
    <w:rsid w:val="5F195D02"/>
    <w:rsid w:val="5F28567D"/>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114D3D"/>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50CA9"/>
    <w:rsid w:val="60CB183E"/>
    <w:rsid w:val="60CD295D"/>
    <w:rsid w:val="60D01FF0"/>
    <w:rsid w:val="60D4086F"/>
    <w:rsid w:val="60E11940"/>
    <w:rsid w:val="60E70871"/>
    <w:rsid w:val="60EC2482"/>
    <w:rsid w:val="60F131B9"/>
    <w:rsid w:val="61127446"/>
    <w:rsid w:val="61202643"/>
    <w:rsid w:val="612C573D"/>
    <w:rsid w:val="613B2E45"/>
    <w:rsid w:val="61591EC7"/>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12105"/>
    <w:rsid w:val="621634A5"/>
    <w:rsid w:val="621B1AC0"/>
    <w:rsid w:val="622B55A6"/>
    <w:rsid w:val="624543CF"/>
    <w:rsid w:val="62472BD5"/>
    <w:rsid w:val="62504C51"/>
    <w:rsid w:val="62577DC5"/>
    <w:rsid w:val="625A29A5"/>
    <w:rsid w:val="626764BC"/>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1F7C13"/>
    <w:rsid w:val="63260125"/>
    <w:rsid w:val="63341046"/>
    <w:rsid w:val="63460EB6"/>
    <w:rsid w:val="634B1E5A"/>
    <w:rsid w:val="634C3E48"/>
    <w:rsid w:val="635672DB"/>
    <w:rsid w:val="63695F6D"/>
    <w:rsid w:val="636F1CCF"/>
    <w:rsid w:val="636F48ED"/>
    <w:rsid w:val="63731312"/>
    <w:rsid w:val="63755051"/>
    <w:rsid w:val="637B0985"/>
    <w:rsid w:val="63875F87"/>
    <w:rsid w:val="639953C1"/>
    <w:rsid w:val="639F1A46"/>
    <w:rsid w:val="63A51409"/>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64F1F"/>
    <w:rsid w:val="64AD266E"/>
    <w:rsid w:val="64CD2478"/>
    <w:rsid w:val="64CD64CE"/>
    <w:rsid w:val="64EB1913"/>
    <w:rsid w:val="64EF72E7"/>
    <w:rsid w:val="64F407C9"/>
    <w:rsid w:val="64FF3168"/>
    <w:rsid w:val="651641C9"/>
    <w:rsid w:val="65193AFA"/>
    <w:rsid w:val="65222432"/>
    <w:rsid w:val="65222D76"/>
    <w:rsid w:val="652C6F83"/>
    <w:rsid w:val="65314145"/>
    <w:rsid w:val="65406185"/>
    <w:rsid w:val="65513585"/>
    <w:rsid w:val="656124B5"/>
    <w:rsid w:val="65663BFD"/>
    <w:rsid w:val="656A0931"/>
    <w:rsid w:val="6582360D"/>
    <w:rsid w:val="658722D4"/>
    <w:rsid w:val="65877A56"/>
    <w:rsid w:val="658B0329"/>
    <w:rsid w:val="65913B14"/>
    <w:rsid w:val="65962352"/>
    <w:rsid w:val="65963165"/>
    <w:rsid w:val="65A5045A"/>
    <w:rsid w:val="65AC2DCC"/>
    <w:rsid w:val="65AF49DC"/>
    <w:rsid w:val="65CF0788"/>
    <w:rsid w:val="65DA7E88"/>
    <w:rsid w:val="65DF00BB"/>
    <w:rsid w:val="65E14645"/>
    <w:rsid w:val="65F5312E"/>
    <w:rsid w:val="65FF5F40"/>
    <w:rsid w:val="66116988"/>
    <w:rsid w:val="66180DB2"/>
    <w:rsid w:val="661A287B"/>
    <w:rsid w:val="661D1848"/>
    <w:rsid w:val="661E50E3"/>
    <w:rsid w:val="661E6390"/>
    <w:rsid w:val="66265BE2"/>
    <w:rsid w:val="662E0264"/>
    <w:rsid w:val="663743F7"/>
    <w:rsid w:val="664773D3"/>
    <w:rsid w:val="66586187"/>
    <w:rsid w:val="665933BA"/>
    <w:rsid w:val="665A7824"/>
    <w:rsid w:val="665D5547"/>
    <w:rsid w:val="665E3732"/>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60797E"/>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0C68DF"/>
    <w:rsid w:val="68147FED"/>
    <w:rsid w:val="681B0B04"/>
    <w:rsid w:val="681B2BA8"/>
    <w:rsid w:val="68317A01"/>
    <w:rsid w:val="683E76FB"/>
    <w:rsid w:val="68417144"/>
    <w:rsid w:val="68487C65"/>
    <w:rsid w:val="6849277E"/>
    <w:rsid w:val="684A0CB0"/>
    <w:rsid w:val="68666B5F"/>
    <w:rsid w:val="686959E7"/>
    <w:rsid w:val="68792672"/>
    <w:rsid w:val="687B438B"/>
    <w:rsid w:val="688456A6"/>
    <w:rsid w:val="688E41FC"/>
    <w:rsid w:val="689A0639"/>
    <w:rsid w:val="68BE262D"/>
    <w:rsid w:val="68C5598A"/>
    <w:rsid w:val="68DE236D"/>
    <w:rsid w:val="68E02403"/>
    <w:rsid w:val="68EE7FEF"/>
    <w:rsid w:val="68F303F9"/>
    <w:rsid w:val="691471B1"/>
    <w:rsid w:val="69297452"/>
    <w:rsid w:val="69466DE5"/>
    <w:rsid w:val="694D7EA1"/>
    <w:rsid w:val="69531DD5"/>
    <w:rsid w:val="69565500"/>
    <w:rsid w:val="696E0287"/>
    <w:rsid w:val="697F09BC"/>
    <w:rsid w:val="699C0DA4"/>
    <w:rsid w:val="69BE654F"/>
    <w:rsid w:val="69CF472A"/>
    <w:rsid w:val="69D72B73"/>
    <w:rsid w:val="69EC26C1"/>
    <w:rsid w:val="69EF4262"/>
    <w:rsid w:val="69F27AFE"/>
    <w:rsid w:val="69F73E84"/>
    <w:rsid w:val="6A010725"/>
    <w:rsid w:val="6A035AFD"/>
    <w:rsid w:val="6A1C4030"/>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E4749B"/>
    <w:rsid w:val="6AF15D5E"/>
    <w:rsid w:val="6AF70171"/>
    <w:rsid w:val="6AF81BEF"/>
    <w:rsid w:val="6AF97F0D"/>
    <w:rsid w:val="6B0F149F"/>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AF6FE6"/>
    <w:rsid w:val="6CB315D5"/>
    <w:rsid w:val="6CC577BE"/>
    <w:rsid w:val="6CC9747D"/>
    <w:rsid w:val="6CE256EE"/>
    <w:rsid w:val="6CE72DCA"/>
    <w:rsid w:val="6CE81281"/>
    <w:rsid w:val="6CEF6E01"/>
    <w:rsid w:val="6D025744"/>
    <w:rsid w:val="6D0F39D8"/>
    <w:rsid w:val="6D1B05CF"/>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DFB76C0"/>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27E52"/>
    <w:rsid w:val="6F376DCC"/>
    <w:rsid w:val="6F435A38"/>
    <w:rsid w:val="6F596C48"/>
    <w:rsid w:val="6F5A1CBD"/>
    <w:rsid w:val="6F7E3C37"/>
    <w:rsid w:val="6F7F02FD"/>
    <w:rsid w:val="6F817CA1"/>
    <w:rsid w:val="6F8C53E3"/>
    <w:rsid w:val="6FB7042B"/>
    <w:rsid w:val="6FC07784"/>
    <w:rsid w:val="6FCB6828"/>
    <w:rsid w:val="6FDD7A49"/>
    <w:rsid w:val="6FDE3B35"/>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345C8"/>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EA4A14"/>
    <w:rsid w:val="71F444AE"/>
    <w:rsid w:val="720322B7"/>
    <w:rsid w:val="720C7F55"/>
    <w:rsid w:val="721B338F"/>
    <w:rsid w:val="721E58E3"/>
    <w:rsid w:val="7221497B"/>
    <w:rsid w:val="72223660"/>
    <w:rsid w:val="722F68B9"/>
    <w:rsid w:val="723030FD"/>
    <w:rsid w:val="72406A88"/>
    <w:rsid w:val="72524541"/>
    <w:rsid w:val="72524642"/>
    <w:rsid w:val="72534367"/>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2F1119"/>
    <w:rsid w:val="73336451"/>
    <w:rsid w:val="735740D8"/>
    <w:rsid w:val="735754B6"/>
    <w:rsid w:val="735B3A42"/>
    <w:rsid w:val="735D0C69"/>
    <w:rsid w:val="73717A0E"/>
    <w:rsid w:val="737705AB"/>
    <w:rsid w:val="737877B9"/>
    <w:rsid w:val="73B9423B"/>
    <w:rsid w:val="73C741AC"/>
    <w:rsid w:val="73D9058E"/>
    <w:rsid w:val="73D94D40"/>
    <w:rsid w:val="73DB0AB8"/>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474F8"/>
    <w:rsid w:val="74EA7F48"/>
    <w:rsid w:val="74F86DE1"/>
    <w:rsid w:val="74FA26FA"/>
    <w:rsid w:val="74FB48D8"/>
    <w:rsid w:val="74FF3711"/>
    <w:rsid w:val="75002663"/>
    <w:rsid w:val="750618D1"/>
    <w:rsid w:val="75351B6F"/>
    <w:rsid w:val="754B57C9"/>
    <w:rsid w:val="754E5EB9"/>
    <w:rsid w:val="7553774A"/>
    <w:rsid w:val="755B7A7A"/>
    <w:rsid w:val="756160EE"/>
    <w:rsid w:val="756A62B3"/>
    <w:rsid w:val="7571717B"/>
    <w:rsid w:val="75756626"/>
    <w:rsid w:val="757A5F13"/>
    <w:rsid w:val="757B230D"/>
    <w:rsid w:val="7582045C"/>
    <w:rsid w:val="75917919"/>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6FD2AF3"/>
    <w:rsid w:val="77045F73"/>
    <w:rsid w:val="77054504"/>
    <w:rsid w:val="770D4353"/>
    <w:rsid w:val="7719777C"/>
    <w:rsid w:val="77225CCC"/>
    <w:rsid w:val="77236826"/>
    <w:rsid w:val="77330B6D"/>
    <w:rsid w:val="774E4AC7"/>
    <w:rsid w:val="775E2AD3"/>
    <w:rsid w:val="776E0417"/>
    <w:rsid w:val="7770305F"/>
    <w:rsid w:val="777D3B96"/>
    <w:rsid w:val="778A2567"/>
    <w:rsid w:val="778B1950"/>
    <w:rsid w:val="778C70CF"/>
    <w:rsid w:val="77931E6A"/>
    <w:rsid w:val="779A5CE7"/>
    <w:rsid w:val="779C33A2"/>
    <w:rsid w:val="779E357E"/>
    <w:rsid w:val="77AA01A1"/>
    <w:rsid w:val="77BB68CF"/>
    <w:rsid w:val="77BE24E5"/>
    <w:rsid w:val="77D37018"/>
    <w:rsid w:val="77D91BE8"/>
    <w:rsid w:val="77DE45C8"/>
    <w:rsid w:val="77DF1401"/>
    <w:rsid w:val="77E07113"/>
    <w:rsid w:val="77F248DC"/>
    <w:rsid w:val="77FF54E3"/>
    <w:rsid w:val="780B0485"/>
    <w:rsid w:val="780D3DE9"/>
    <w:rsid w:val="780F0D30"/>
    <w:rsid w:val="782A7648"/>
    <w:rsid w:val="782F65BA"/>
    <w:rsid w:val="783231B3"/>
    <w:rsid w:val="784B5D12"/>
    <w:rsid w:val="78534459"/>
    <w:rsid w:val="78592F9B"/>
    <w:rsid w:val="785E1CB7"/>
    <w:rsid w:val="78673E04"/>
    <w:rsid w:val="78674C38"/>
    <w:rsid w:val="7869537B"/>
    <w:rsid w:val="786A7FE9"/>
    <w:rsid w:val="78706B24"/>
    <w:rsid w:val="78771F81"/>
    <w:rsid w:val="78786FA2"/>
    <w:rsid w:val="787937CE"/>
    <w:rsid w:val="787A6911"/>
    <w:rsid w:val="788A485A"/>
    <w:rsid w:val="788C2E58"/>
    <w:rsid w:val="78C16E6D"/>
    <w:rsid w:val="78C338C8"/>
    <w:rsid w:val="78C44B64"/>
    <w:rsid w:val="78D0242E"/>
    <w:rsid w:val="78D22055"/>
    <w:rsid w:val="78D91AC3"/>
    <w:rsid w:val="78DE5093"/>
    <w:rsid w:val="78E0297C"/>
    <w:rsid w:val="78FE02CF"/>
    <w:rsid w:val="79085584"/>
    <w:rsid w:val="790877B0"/>
    <w:rsid w:val="791A781C"/>
    <w:rsid w:val="79236948"/>
    <w:rsid w:val="79314CD6"/>
    <w:rsid w:val="795A0647"/>
    <w:rsid w:val="79776397"/>
    <w:rsid w:val="79786AEC"/>
    <w:rsid w:val="7987176F"/>
    <w:rsid w:val="79946EE9"/>
    <w:rsid w:val="79B071E9"/>
    <w:rsid w:val="79B945B1"/>
    <w:rsid w:val="79BD7CBE"/>
    <w:rsid w:val="79C16393"/>
    <w:rsid w:val="79C65861"/>
    <w:rsid w:val="79EE553C"/>
    <w:rsid w:val="79F23216"/>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ED662E"/>
    <w:rsid w:val="7AF34939"/>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8E5A40"/>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84414"/>
    <w:rsid w:val="7C09331B"/>
    <w:rsid w:val="7C106B64"/>
    <w:rsid w:val="7C125E72"/>
    <w:rsid w:val="7C2933EA"/>
    <w:rsid w:val="7C2F7BF3"/>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6B2EAC"/>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6B0A89"/>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314C43"/>
    <w:rsid w:val="7F424EFC"/>
    <w:rsid w:val="7F43074E"/>
    <w:rsid w:val="7F445D1E"/>
    <w:rsid w:val="7F4A38BB"/>
    <w:rsid w:val="7F4D5E90"/>
    <w:rsid w:val="7F5009AF"/>
    <w:rsid w:val="7F5B3F5D"/>
    <w:rsid w:val="7F5D4552"/>
    <w:rsid w:val="7F61389D"/>
    <w:rsid w:val="7F64188B"/>
    <w:rsid w:val="7F6859A1"/>
    <w:rsid w:val="7F6A18A4"/>
    <w:rsid w:val="7F745D6F"/>
    <w:rsid w:val="7F7F41E8"/>
    <w:rsid w:val="7F8005B3"/>
    <w:rsid w:val="7FBFB60E"/>
    <w:rsid w:val="7FC66B87"/>
    <w:rsid w:val="7FCE26DA"/>
    <w:rsid w:val="7FCF5260"/>
    <w:rsid w:val="7FD3B704"/>
    <w:rsid w:val="7FD40C00"/>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chart" Target="charts/chart1.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Users\machen\Desktop\&#20840;&#29699;&#32929;&#25351;&#26085;&#25910;&#30424;&#28072;&#36300;&#24133;(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全球主要股指涨跌幅（</a:t>
            </a:r>
            <a:r>
              <a:rPr lang="en-US" altLang="zh-CN"/>
              <a:t>%</a:t>
            </a:r>
            <a:r>
              <a:rPr altLang="en-US"/>
              <a:t>）</a:t>
            </a:r>
            <a:endParaRPr altLang="en-US"/>
          </a:p>
        </c:rich>
      </c:tx>
      <c:layout>
        <c:manualLayout>
          <c:xMode val="edge"/>
          <c:yMode val="edge"/>
          <c:x val="0.335042364835181"/>
          <c:y val="0.0266753901098456"/>
        </c:manualLayout>
      </c:layout>
      <c:overlay val="0"/>
      <c:spPr>
        <a:noFill/>
        <a:ln>
          <a:noFill/>
        </a:ln>
        <a:effectLst/>
      </c:spPr>
    </c:title>
    <c:autoTitleDeleted val="0"/>
    <c:plotArea>
      <c:layout>
        <c:manualLayout>
          <c:layoutTarget val="inner"/>
          <c:xMode val="edge"/>
          <c:yMode val="edge"/>
          <c:x val="0.098375964271214"/>
          <c:y val="0.131283675877314"/>
          <c:w val="0.834502923976608"/>
          <c:h val="0.707541079812207"/>
        </c:manualLayout>
      </c:layout>
      <c:barChart>
        <c:barDir val="col"/>
        <c:grouping val="clustered"/>
        <c:varyColors val="0"/>
        <c:ser>
          <c:idx val="0"/>
          <c:order val="0"/>
          <c:tx>
            <c:strRef>
              <c:f>'[全球股指日收盘涨跌幅(1).xlsx]主要股指涨跌幅'!$S$410</c:f>
              <c:strCache>
                <c:ptCount val="1"/>
                <c:pt idx="0">
                  <c:v>2024-03-13</c:v>
                </c:pt>
              </c:strCache>
            </c:strRef>
          </c:tx>
          <c:spPr>
            <a:solidFill>
              <a:schemeClr val="accent1"/>
            </a:solidFill>
            <a:ln>
              <a:noFill/>
            </a:ln>
            <a:effectLst/>
          </c:spPr>
          <c:invertIfNegative val="0"/>
          <c:dPt>
            <c:idx val="0"/>
            <c:invertIfNegative val="0"/>
            <c:bubble3D val="0"/>
            <c:spPr>
              <a:solidFill>
                <a:srgbClr val="92D050"/>
              </a:solidFill>
              <a:ln>
                <a:noFill/>
              </a:ln>
              <a:effectLst/>
            </c:spPr>
          </c:dPt>
          <c:dPt>
            <c:idx val="1"/>
            <c:invertIfNegative val="0"/>
            <c:bubble3D val="0"/>
            <c:spPr>
              <a:solidFill>
                <a:srgbClr val="92D050"/>
              </a:solidFill>
              <a:ln>
                <a:noFill/>
              </a:ln>
              <a:effectLst/>
            </c:spPr>
          </c:dPt>
          <c:dPt>
            <c:idx val="2"/>
            <c:invertIfNegative val="0"/>
            <c:bubble3D val="0"/>
            <c:spPr>
              <a:solidFill>
                <a:srgbClr val="92D050"/>
              </a:solidFill>
              <a:ln>
                <a:noFill/>
              </a:ln>
              <a:effectLst/>
            </c:spPr>
          </c:dPt>
          <c:dPt>
            <c:idx val="3"/>
            <c:invertIfNegative val="0"/>
            <c:bubble3D val="0"/>
            <c:spPr>
              <a:solidFill>
                <a:srgbClr val="92D050"/>
              </a:solidFill>
              <a:ln>
                <a:noFill/>
              </a:ln>
              <a:effectLst/>
            </c:spPr>
          </c:dPt>
          <c:dPt>
            <c:idx val="4"/>
            <c:invertIfNegative val="0"/>
            <c:bubble3D val="0"/>
            <c:spPr>
              <a:solidFill>
                <a:srgbClr val="92D050"/>
              </a:solidFill>
              <a:ln>
                <a:noFill/>
              </a:ln>
              <a:effectLst/>
            </c:spPr>
          </c:dPt>
          <c:dPt>
            <c:idx val="5"/>
            <c:invertIfNegative val="0"/>
            <c:bubble3D val="0"/>
            <c:spPr>
              <a:solidFill>
                <a:srgbClr val="92D050"/>
              </a:solidFill>
              <a:ln>
                <a:noFill/>
              </a:ln>
              <a:effectLst/>
            </c:spPr>
          </c:dPt>
          <c:dPt>
            <c:idx val="6"/>
            <c:invertIfNegative val="0"/>
            <c:bubble3D val="0"/>
            <c:spPr>
              <a:solidFill>
                <a:srgbClr val="92D050"/>
              </a:solidFill>
              <a:ln>
                <a:noFill/>
              </a:ln>
              <a:effectLst/>
            </c:spPr>
          </c:dPt>
          <c:dPt>
            <c:idx val="7"/>
            <c:invertIfNegative val="0"/>
            <c:bubble3D val="0"/>
            <c:spPr>
              <a:solidFill>
                <a:srgbClr val="92D050"/>
              </a:solidFill>
              <a:ln>
                <a:noFill/>
              </a:ln>
              <a:effectLst/>
            </c:spPr>
          </c:dPt>
          <c:dPt>
            <c:idx val="8"/>
            <c:invertIfNegative val="0"/>
            <c:bubble3D val="0"/>
            <c:spPr>
              <a:solidFill>
                <a:srgbClr val="92D050"/>
              </a:solidFill>
              <a:ln>
                <a:noFill/>
              </a:ln>
              <a:effectLst/>
            </c:spPr>
          </c:dPt>
          <c:dPt>
            <c:idx val="9"/>
            <c:invertIfNegative val="0"/>
            <c:bubble3D val="0"/>
            <c:spPr>
              <a:solidFill>
                <a:srgbClr val="92D050"/>
              </a:solidFill>
              <a:ln>
                <a:noFill/>
              </a:ln>
              <a:effectLst/>
            </c:spPr>
          </c:dPt>
          <c:dPt>
            <c:idx val="10"/>
            <c:invertIfNegative val="0"/>
            <c:bubble3D val="0"/>
            <c:spPr>
              <a:solidFill>
                <a:srgbClr val="FF0000"/>
              </a:solidFill>
              <a:ln>
                <a:noFill/>
              </a:ln>
              <a:effectLst/>
            </c:spPr>
          </c:dPt>
          <c:dPt>
            <c:idx val="11"/>
            <c:invertIfNegative val="0"/>
            <c:bubble3D val="0"/>
            <c:spPr>
              <a:solidFill>
                <a:srgbClr val="FF0000"/>
              </a:solidFill>
              <a:ln>
                <a:noFill/>
              </a:ln>
              <a:effectLst/>
            </c:spPr>
          </c:dPt>
          <c:dPt>
            <c:idx val="12"/>
            <c:invertIfNegative val="0"/>
            <c:bubble3D val="0"/>
            <c:spPr>
              <a:solidFill>
                <a:srgbClr val="FF0000"/>
              </a:solidFill>
              <a:ln>
                <a:noFill/>
              </a:ln>
              <a:effectLst/>
            </c:spPr>
          </c:dPt>
          <c:dPt>
            <c:idx val="13"/>
            <c:invertIfNegative val="0"/>
            <c:bubble3D val="0"/>
            <c:spPr>
              <a:solidFill>
                <a:srgbClr val="FF0000"/>
              </a:solidFill>
              <a:ln>
                <a:noFill/>
              </a:ln>
              <a:effectLst/>
            </c:spPr>
          </c:dPt>
          <c:dPt>
            <c:idx val="14"/>
            <c:invertIfNegative val="0"/>
            <c:bubble3D val="0"/>
            <c:spPr>
              <a:solidFill>
                <a:srgbClr val="FF0000"/>
              </a:solidFill>
              <a:ln>
                <a:noFill/>
              </a:ln>
              <a:effectLst/>
            </c:spPr>
          </c:dPt>
          <c:dLbls>
            <c:delete val="1"/>
          </c:dLbls>
          <c:cat>
            <c:strRef>
              <c:f>'[全球股指日收盘涨跌幅(1).xlsx]主要股指涨跌幅'!$R$411:$R$425</c:f>
              <c:strCache>
                <c:ptCount val="15"/>
                <c:pt idx="0">
                  <c:v>沪深300</c:v>
                </c:pt>
                <c:pt idx="1">
                  <c:v>日经225</c:v>
                </c:pt>
                <c:pt idx="2">
                  <c:v>创业板指</c:v>
                </c:pt>
                <c:pt idx="3">
                  <c:v>纳斯达克指数</c:v>
                </c:pt>
                <c:pt idx="4">
                  <c:v>上证指数</c:v>
                </c:pt>
                <c:pt idx="5">
                  <c:v>深证成指</c:v>
                </c:pt>
                <c:pt idx="6">
                  <c:v>中小100</c:v>
                </c:pt>
                <c:pt idx="7">
                  <c:v>标普500</c:v>
                </c:pt>
                <c:pt idx="8">
                  <c:v>恒生指数</c:v>
                </c:pt>
                <c:pt idx="9">
                  <c:v>德国DAX</c:v>
                </c:pt>
                <c:pt idx="10">
                  <c:v>道琼斯工业指数</c:v>
                </c:pt>
                <c:pt idx="11">
                  <c:v>英国富时100</c:v>
                </c:pt>
                <c:pt idx="12">
                  <c:v>富时新加坡海峡指数</c:v>
                </c:pt>
                <c:pt idx="13">
                  <c:v>法国CAC40</c:v>
                </c:pt>
                <c:pt idx="14">
                  <c:v>意大利指数</c:v>
                </c:pt>
              </c:strCache>
            </c:strRef>
          </c:cat>
          <c:val>
            <c:numRef>
              <c:f>'[全球股指日收盘涨跌幅(1).xlsx]主要股指涨跌幅'!$S$411:$S$425</c:f>
              <c:numCache>
                <c:formatCode>0.00_ </c:formatCode>
                <c:ptCount val="15"/>
                <c:pt idx="0">
                  <c:v>-0.7</c:v>
                </c:pt>
                <c:pt idx="1">
                  <c:v>-0.62</c:v>
                </c:pt>
                <c:pt idx="2">
                  <c:v>-0.57</c:v>
                </c:pt>
                <c:pt idx="3">
                  <c:v>-0.54</c:v>
                </c:pt>
                <c:pt idx="4">
                  <c:v>-0.4</c:v>
                </c:pt>
                <c:pt idx="5">
                  <c:v>-0.27</c:v>
                </c:pt>
                <c:pt idx="6">
                  <c:v>-0.23</c:v>
                </c:pt>
                <c:pt idx="7">
                  <c:v>-0.19</c:v>
                </c:pt>
                <c:pt idx="8">
                  <c:v>-0.07</c:v>
                </c:pt>
                <c:pt idx="9">
                  <c:v>-0.03</c:v>
                </c:pt>
                <c:pt idx="10">
                  <c:v>0.1</c:v>
                </c:pt>
                <c:pt idx="11">
                  <c:v>0.31</c:v>
                </c:pt>
                <c:pt idx="12">
                  <c:v>0.61</c:v>
                </c:pt>
                <c:pt idx="13">
                  <c:v>0.62</c:v>
                </c:pt>
                <c:pt idx="14">
                  <c:v>1.31</c:v>
                </c:pt>
              </c:numCache>
            </c:numRef>
          </c:val>
        </c:ser>
        <c:dLbls>
          <c:showLegendKey val="0"/>
          <c:showVal val="0"/>
          <c:showCatName val="0"/>
          <c:showSerName val="0"/>
          <c:showPercent val="0"/>
          <c:showBubbleSize val="0"/>
        </c:dLbls>
        <c:gapWidth val="150"/>
        <c:overlap val="0"/>
        <c:axId val="975762854"/>
        <c:axId val="98127667"/>
      </c:barChart>
      <c:catAx>
        <c:axId val="975762854"/>
        <c:scaling>
          <c:orientation val="minMax"/>
        </c:scaling>
        <c:delete val="0"/>
        <c:axPos val="b"/>
        <c:majorTickMark val="none"/>
        <c:minorTickMark val="none"/>
        <c:tickLblPos val="nextTo"/>
        <c:spPr>
          <a:solidFill>
            <a:srgbClr val="92D050"/>
          </a:solid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127667"/>
        <c:crosses val="autoZero"/>
        <c:auto val="1"/>
        <c:lblAlgn val="ctr"/>
        <c:lblOffset val="100"/>
        <c:noMultiLvlLbl val="0"/>
      </c:catAx>
      <c:valAx>
        <c:axId val="98127667"/>
        <c:scaling>
          <c:orientation val="minMax"/>
        </c:scaling>
        <c:delete val="0"/>
        <c:axPos val="l"/>
        <c:majorGridlines>
          <c:spPr>
            <a:ln w="9525" cap="flat" cmpd="sng" algn="ctr">
              <a:solidFill>
                <a:schemeClr val="lt1">
                  <a:lumMod val="902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5762854"/>
        <c:crosses val="autoZero"/>
        <c:crossBetween val="between"/>
      </c:valAx>
      <c:dTable>
        <c:showHorzBorder val="1"/>
        <c:showVertBorder val="1"/>
        <c:showOutline val="1"/>
        <c:showKeys val="1"/>
        <c:spPr>
          <a:noFill/>
          <a:ln w="9525" cap="flat" cmpd="sng" algn="ctr">
            <a:solidFill>
              <a:schemeClr val="tx1"/>
            </a:solidFill>
            <a:round/>
          </a:ln>
          <a:effectLst/>
        </c:spPr>
        <c:txPr>
          <a:bodyPr rot="0" spcFirstLastPara="0" vertOverflow="ellipsis" vert="horz" wrap="square" anchor="ctr" anchorCtr="1"/>
          <a:lstStyle/>
          <a:p>
            <a:pPr>
              <a:defRPr lang="zh-CN" sz="800" b="0" i="0" u="none" strike="noStrike" kern="1200" cap="none" spc="0" normalizeH="0" baseline="0">
                <a:solidFill>
                  <a:schemeClr val="tx1">
                    <a:lumMod val="65000"/>
                    <a:lumOff val="35000"/>
                  </a:schemeClr>
                </a:solidFill>
                <a:uFill>
                  <a:solidFill>
                    <a:schemeClr val="tx1">
                      <a:lumMod val="65000"/>
                      <a:lumOff val="35000"/>
                    </a:schemeClr>
                  </a:solidFill>
                </a:uFill>
                <a:latin typeface="+mn-lt"/>
                <a:ea typeface="仿宋" panose="02010609060101010101" pitchFamily="3" charset="-122"/>
                <a:cs typeface="+mn-cs"/>
              </a:defRPr>
            </a:pPr>
          </a:p>
        </c:txPr>
      </c:dTable>
      <c:spPr>
        <a:noFill/>
        <a:ln w="3175">
          <a:solidFill>
            <a:schemeClr val="tx1"/>
          </a:solidFill>
        </a:ln>
        <a:effectLst/>
      </c:spPr>
    </c:plotArea>
    <c:plotVisOnly val="1"/>
    <c:dispBlanksAs val="gap"/>
    <c:showDLblsOverMax val="0"/>
  </c:chart>
  <c:spPr>
    <a:solidFill>
      <a:schemeClr val="bg1"/>
    </a:solidFill>
    <a:ln w="3175" cap="flat" cmpd="sng" algn="ctr">
      <a:solidFill>
        <a:sysClr val="windowText" lastClr="000000"/>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3148</Words>
  <Characters>3762</Characters>
  <Lines>25</Lines>
  <Paragraphs>7</Paragraphs>
  <TotalTime>0</TotalTime>
  <ScaleCrop>false</ScaleCrop>
  <LinksUpToDate>false</LinksUpToDate>
  <CharactersWithSpaces>3821</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WPS_1180513195</cp:lastModifiedBy>
  <cp:lastPrinted>2022-07-22T01:54:00Z</cp:lastPrinted>
  <dcterms:modified xsi:type="dcterms:W3CDTF">2024-03-14T01:06:11Z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99D4AC38B698495EAAE7AFD2A3AEC27F_13</vt:lpwstr>
  </property>
</Properties>
</file>