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15</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15</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美国PPI数据超预期。2月PPI同比升1.6%，预期升1.1%；环比升0.6%，预期升0.3%。核心PPI同比升2.0%，预期升1.9%；环比升0.3%，预期升0.2%。美国零售销售数据不及预期，2月零售销售环比升0.6%，预期升0.8%；核心零售销售环比升0.3%，预期升0.5%。美国上周初请失业金人数录得20.9万人，仍处于历史低位，预期21.8万，前值从21.7万修正为21万人。】</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【马斯克旗下太空技术探索公司SpaceX公司成功将“星舰”送入太空。】</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【加拿大1月制造业库存环比降0.2%；制造业装船环比升0.2%，预期升0.4%；制造业库存装船比升1.72%%；制造业新订单环比降3.1%；制造业未完成订单环比降1.3%。】</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【英国2月三个月RICS房价指数-10，预期-11，前值-18。】</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【日本最大的产业工会UA ZENSEN表示，与去年同期相比，231家公司提出的平均加薪幅度达到2013年以来的最高纪录；全职员工工资涨幅达5.91%，创最高纪录。】</w:t>
      </w:r>
    </w:p>
    <w:p>
      <w:pPr>
        <w:pStyle w:val="31"/>
        <w:numPr>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numId w:val="0"/>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12：30 日本1月第三产业活动指数；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德国二月WPI；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法国2月CPI；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美意大利1月零售销售；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美国2月出口物价指数、进口价格指数；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21：15 美国2月商工业产能利用率、制造业产出指数；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22：00 美国3月密歇根大学消费者预期指数。</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bookmarkStart w:id="2" w:name="_GoBack"/>
      <w:bookmarkEnd w:id="2"/>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3月15日（周五），美国三大股指小幅收跌，道指跌0.35%，标普500指数跌0.29%，纳指跌0.3%。</w:t>
      </w:r>
      <w:r>
        <w:rPr>
          <w:rFonts w:hint="eastAsia" w:ascii="仿宋" w:hAnsi="仿宋" w:eastAsia="仿宋" w:cs="仿宋"/>
          <w:b w:val="0"/>
          <w:bCs w:val="0"/>
          <w:color w:val="000000" w:themeColor="text1"/>
          <w:sz w:val="24"/>
          <w:szCs w:val="24"/>
          <w:lang w:eastAsia="zh-CN"/>
          <w14:textFill>
            <w14:solidFill>
              <w14:schemeClr w14:val="tx1"/>
            </w14:solidFill>
          </w14:textFill>
        </w:rPr>
        <w:t>国际贵金属期货普遍收</w:t>
      </w:r>
      <w:r>
        <w:rPr>
          <w:rFonts w:hint="eastAsia" w:ascii="仿宋" w:hAnsi="仿宋" w:eastAsia="仿宋" w:cs="仿宋"/>
          <w:b w:val="0"/>
          <w:bCs w:val="0"/>
          <w:color w:val="000000" w:themeColor="text1"/>
          <w:sz w:val="24"/>
          <w:szCs w:val="24"/>
          <w:lang w:val="en-US" w:eastAsia="zh-CN"/>
          <w14:textFill>
            <w14:solidFill>
              <w14:schemeClr w14:val="tx1"/>
            </w14:solidFill>
          </w14:textFill>
        </w:rPr>
        <w:t>跌</w:t>
      </w:r>
      <w:r>
        <w:rPr>
          <w:rFonts w:hint="eastAsia" w:ascii="仿宋" w:hAnsi="仿宋" w:eastAsia="仿宋" w:cs="仿宋"/>
          <w:b w:val="0"/>
          <w:bCs w:val="0"/>
          <w:color w:val="000000" w:themeColor="text1"/>
          <w:sz w:val="24"/>
          <w:szCs w:val="24"/>
          <w:lang w:eastAsia="zh-CN"/>
          <w14:textFill>
            <w14:solidFill>
              <w14:schemeClr w14:val="tx1"/>
            </w14:solidFill>
          </w14:textFill>
        </w:rPr>
        <w:t>，LME期铜跌0.17%报8912美元/吨，COMEX黄金期货跌0.66%报2166.5美元/盎司，COMEX白银期货跌0.52%报25.025美元/盎司。ICE</w:t>
      </w: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 5</w:t>
      </w:r>
      <w:r>
        <w:rPr>
          <w:rFonts w:hint="eastAsia" w:ascii="仿宋" w:hAnsi="仿宋" w:eastAsia="仿宋" w:cs="仿宋"/>
          <w:b w:val="0"/>
          <w:bCs w:val="0"/>
          <w:color w:val="000000" w:themeColor="text1"/>
          <w:sz w:val="24"/>
          <w:szCs w:val="24"/>
          <w:lang w:eastAsia="zh-CN"/>
          <w14:textFill>
            <w14:solidFill>
              <w14:schemeClr w14:val="tx1"/>
            </w14:solidFill>
          </w14:textFill>
        </w:rPr>
        <w:t>月原糖期货合约收盘收</w:t>
      </w:r>
      <w:r>
        <w:rPr>
          <w:rFonts w:hint="eastAsia" w:ascii="仿宋" w:hAnsi="仿宋" w:eastAsia="仿宋" w:cs="仿宋"/>
          <w:b w:val="0"/>
          <w:bCs w:val="0"/>
          <w:color w:val="000000" w:themeColor="text1"/>
          <w:sz w:val="24"/>
          <w:szCs w:val="24"/>
          <w:lang w:val="en-US" w:eastAsia="zh-CN"/>
          <w14:textFill>
            <w14:solidFill>
              <w14:schemeClr w14:val="tx1"/>
            </w14:solidFill>
          </w14:textFill>
        </w:rPr>
        <w:t>跌</w:t>
      </w:r>
      <w:r>
        <w:rPr>
          <w:rFonts w:hint="eastAsia" w:ascii="仿宋" w:hAnsi="仿宋" w:eastAsia="仿宋" w:cs="仿宋"/>
          <w:b w:val="0"/>
          <w:bCs w:val="0"/>
          <w:color w:val="000000" w:themeColor="text1"/>
          <w:sz w:val="24"/>
          <w:szCs w:val="24"/>
          <w:lang w:eastAsia="zh-CN"/>
          <w14:textFill>
            <w14:solidFill>
              <w14:schemeClr w14:val="tx1"/>
            </w14:solidFill>
          </w14:textFill>
        </w:rPr>
        <w:t>0.</w:t>
      </w:r>
      <w:r>
        <w:rPr>
          <w:rFonts w:hint="eastAsia" w:ascii="仿宋" w:hAnsi="仿宋" w:eastAsia="仿宋" w:cs="仿宋"/>
          <w:b w:val="0"/>
          <w:bCs w:val="0"/>
          <w:color w:val="000000" w:themeColor="text1"/>
          <w:sz w:val="24"/>
          <w:szCs w:val="24"/>
          <w:lang w:val="en-US" w:eastAsia="zh-CN"/>
          <w14:textFill>
            <w14:solidFill>
              <w14:schemeClr w14:val="tx1"/>
            </w14:solidFill>
          </w14:textFill>
        </w:rPr>
        <w:t>73</w:t>
      </w:r>
      <w:r>
        <w:rPr>
          <w:rFonts w:hint="eastAsia" w:ascii="仿宋" w:hAnsi="仿宋" w:eastAsia="仿宋" w:cs="仿宋"/>
          <w:b w:val="0"/>
          <w:bCs w:val="0"/>
          <w:color w:val="000000" w:themeColor="text1"/>
          <w:sz w:val="24"/>
          <w:szCs w:val="24"/>
          <w:lang w:eastAsia="zh-CN"/>
          <w14:textFill>
            <w14:solidFill>
              <w14:schemeClr w14:val="tx1"/>
            </w14:solidFill>
          </w14:textFill>
        </w:rPr>
        <w:t>%，结算价21.</w:t>
      </w:r>
      <w:r>
        <w:rPr>
          <w:rFonts w:hint="eastAsia" w:ascii="仿宋" w:hAnsi="仿宋" w:eastAsia="仿宋" w:cs="仿宋"/>
          <w:b w:val="0"/>
          <w:bCs w:val="0"/>
          <w:color w:val="000000" w:themeColor="text1"/>
          <w:sz w:val="24"/>
          <w:szCs w:val="24"/>
          <w:lang w:val="en-US" w:eastAsia="zh-CN"/>
          <w14:textFill>
            <w14:solidFill>
              <w14:schemeClr w14:val="tx1"/>
            </w14:solidFill>
          </w14:textFill>
        </w:rPr>
        <w:t>77</w:t>
      </w:r>
      <w:r>
        <w:rPr>
          <w:rFonts w:hint="eastAsia" w:ascii="仿宋" w:hAnsi="仿宋" w:eastAsia="仿宋" w:cs="仿宋"/>
          <w:b w:val="0"/>
          <w:bCs w:val="0"/>
          <w:color w:val="000000" w:themeColor="text1"/>
          <w:sz w:val="24"/>
          <w:szCs w:val="24"/>
          <w14:textFill>
            <w14:solidFill>
              <w14:schemeClr w14:val="tx1"/>
            </w14:solidFill>
          </w14:textFill>
        </w:rPr>
        <w:t>美分/磅</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 5</w:t>
      </w:r>
      <w:r>
        <w:rPr>
          <w:rFonts w:hint="eastAsia" w:ascii="仿宋" w:hAnsi="仿宋" w:eastAsia="仿宋" w:cs="仿宋"/>
          <w:b w:val="0"/>
          <w:bCs w:val="0"/>
          <w:color w:val="000000" w:themeColor="text1"/>
          <w:sz w:val="24"/>
          <w:szCs w:val="24"/>
          <w14:textFill>
            <w14:solidFill>
              <w14:schemeClr w14:val="tx1"/>
            </w14:solidFill>
          </w14:textFill>
        </w:rPr>
        <w:t>月期棉收跌</w:t>
      </w:r>
      <w:r>
        <w:rPr>
          <w:rFonts w:hint="eastAsia" w:ascii="仿宋" w:hAnsi="仿宋" w:eastAsia="仿宋" w:cs="仿宋"/>
          <w:b w:val="0"/>
          <w:bCs w:val="0"/>
          <w:color w:val="000000" w:themeColor="text1"/>
          <w:sz w:val="24"/>
          <w:szCs w:val="24"/>
          <w:lang w:val="en-US" w:eastAsia="zh-CN"/>
          <w14:textFill>
            <w14:solidFill>
              <w14:schemeClr w14:val="tx1"/>
            </w14:solidFill>
          </w14:textFill>
        </w:rPr>
        <w:t>1.50</w:t>
      </w:r>
      <w:r>
        <w:rPr>
          <w:rFonts w:hint="eastAsia" w:ascii="仿宋" w:hAnsi="仿宋" w:eastAsia="仿宋" w:cs="仿宋"/>
          <w:b w:val="0"/>
          <w:bCs w:val="0"/>
          <w:color w:val="000000" w:themeColor="text1"/>
          <w:sz w:val="24"/>
          <w:szCs w:val="24"/>
          <w14:textFill>
            <w14:solidFill>
              <w14:schemeClr w14:val="tx1"/>
            </w14:solidFill>
          </w14:textFill>
        </w:rPr>
        <w:t>%，结算价报9</w:t>
      </w:r>
      <w:r>
        <w:rPr>
          <w:rFonts w:hint="eastAsia" w:ascii="仿宋" w:hAnsi="仿宋" w:eastAsia="仿宋" w:cs="仿宋"/>
          <w:b w:val="0"/>
          <w:bCs w:val="0"/>
          <w:color w:val="000000" w:themeColor="text1"/>
          <w:sz w:val="24"/>
          <w:szCs w:val="24"/>
          <w:lang w:val="en-US" w:eastAsia="zh-CN"/>
          <w14:textFill>
            <w14:solidFill>
              <w14:schemeClr w14:val="tx1"/>
            </w14:solidFill>
          </w14:textFill>
        </w:rPr>
        <w:t>3.48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jc w:val="center"/>
      </w:pPr>
      <w:r>
        <w:drawing>
          <wp:inline distT="0" distB="0" distL="114300" distR="114300">
            <wp:extent cx="5273675" cy="2529205"/>
            <wp:effectExtent l="4445" t="4445" r="17780" b="19050"/>
            <wp:docPr id="1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图1</w:t>
      </w:r>
      <w:r>
        <w:rPr>
          <w:rFonts w:hint="eastAsia" w:cs="宋体" w:asciiTheme="minorEastAsia" w:hAnsiTheme="minorEastAsia"/>
          <w:sz w:val="18"/>
          <w:szCs w:val="20"/>
          <w:lang w:eastAsia="zh-CN"/>
        </w:rPr>
        <w:t>：</w:t>
      </w:r>
      <w:r>
        <w:rPr>
          <w:rFonts w:hint="eastAsia" w:cs="宋体" w:asciiTheme="minorEastAsia" w:hAnsiTheme="minorEastAsia"/>
          <w:sz w:val="18"/>
          <w:szCs w:val="20"/>
        </w:rPr>
        <w:t>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美元指数</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周五美元指数涨0.54%报103.37，非美货币普遍下跌，欧元兑美元跌0.59%报1.0883，英镑兑美元跌0.36%报1.2750，澳元兑美元跌0.61%报0.6581，美元兑日元涨0.38%报148.32。昨日公布的美国PPI数据超出市场预期，2月PPI同比升1.6%，高于预期的预期的1.1%及前值0.9%；核心PPI同比升2.0%，同样超出预期的1.9%并与前值持平；整体PPI数据显著回升再次反映美国通胀下行受阻，利率预期小幅抬升。然而2月美国零售销售数据不及预期，2月零售销售环比升0.6%，低于预期的0.8%，核心零售销售环比升0.3%，同样低于预期的0.5%，零售数据再次返回正增长但增速相对缓慢，后继或仍需增速持续放缓来增强市场对美国经济走弱的预期。往后看，短期内通胀数据走强或增强美联储维持高利率水平的决心，同时美国经济尚未出现显著放缓，美联储仍有充足时间确保经济走势朝其目标前进，短期内美债需求在联储缩表持续的影响下或仍相较疲软，利率预期走强或持续给予美元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0500" cy="2027555"/>
            <wp:effectExtent l="0" t="0" r="635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70500" cy="2027555"/>
                    </a:xfrm>
                    <a:prstGeom prst="rect">
                      <a:avLst/>
                    </a:prstGeom>
                    <a:noFill/>
                    <a:ln>
                      <a:noFill/>
                    </a:ln>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图2</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15日，标普500指数收跌0.29%至5165.31点；迷你标普500主力合约收跌0.38%至5217.75点。美股周四收跌。美国2月PPI数据显示整体通胀率连续第二个月超过预期、通胀仍在升温，再次巩固了市场对美联储不会急于降息的预期。PPI数据公布后美债收益率攀升，令股指承压。策略上，逢低试多。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ilvl w:val="0"/>
          <w:numId w:val="0"/>
        </w:numPr>
        <w:spacing w:line="360" w:lineRule="auto"/>
        <w:ind w:leftChars="0"/>
        <w:rPr>
          <w:rFonts w:ascii="新宋体" w:hAnsi="新宋体" w:eastAsia="新宋体"/>
          <w:b/>
        </w:rPr>
      </w:pPr>
      <w:r>
        <w:rPr>
          <w:rFonts w:ascii="新宋体" w:hAnsi="新宋体" w:eastAsia="新宋体"/>
          <w:b/>
        </w:rPr>
        <w:drawing>
          <wp:inline distT="0" distB="0" distL="0" distR="0">
            <wp:extent cx="5274310" cy="19367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936750"/>
                    </a:xfrm>
                    <a:prstGeom prst="rect">
                      <a:avLst/>
                    </a:prstGeom>
                  </pic:spPr>
                </pic:pic>
              </a:graphicData>
            </a:graphic>
          </wp:inline>
        </w:drawing>
      </w:r>
    </w:p>
    <w:p>
      <w:pPr>
        <w:autoSpaceDE w:val="0"/>
        <w:autoSpaceDN w:val="0"/>
        <w:adjustRightInd w:val="0"/>
        <w:spacing w:line="360" w:lineRule="auto"/>
        <w:rPr>
          <w:rFonts w:hint="eastAsia" w:asciiTheme="minorEastAsia" w:hAnsiTheme="minorEastAsia" w:eastAsiaTheme="minorEastAsia"/>
          <w:sz w:val="18"/>
          <w:szCs w:val="20"/>
          <w:lang w:val="en-US" w:eastAsia="zh-CN"/>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3</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lang w:val="en-US" w:eastAsia="zh-CN"/>
        </w:rPr>
        <w:t>S&amp;P500走势图</w:t>
      </w:r>
    </w:p>
    <w:p>
      <w:pPr>
        <w:autoSpaceDE w:val="0"/>
        <w:autoSpaceDN w:val="0"/>
        <w:adjustRightInd w:val="0"/>
        <w:spacing w:line="360" w:lineRule="auto"/>
        <w:rPr>
          <w:rFonts w:hint="default" w:asciiTheme="minorEastAsia" w:hAnsiTheme="minorEastAsia" w:eastAsiaTheme="minorEastAsia"/>
          <w:sz w:val="18"/>
          <w:szCs w:val="20"/>
          <w:lang w:val="en-US" w:eastAsia="zh-CN"/>
        </w:rPr>
      </w:pPr>
    </w:p>
    <w:p>
      <w:pPr>
        <w:autoSpaceDE w:val="0"/>
        <w:autoSpaceDN w:val="0"/>
        <w:adjustRightInd w:val="0"/>
        <w:spacing w:line="360" w:lineRule="auto"/>
        <w:rPr>
          <w:rFonts w:hint="default" w:asciiTheme="minorEastAsia" w:hAnsiTheme="minorEastAsia" w:eastAsiaTheme="minorEastAsia"/>
          <w:sz w:val="18"/>
          <w:szCs w:val="20"/>
          <w:lang w:val="en-US" w:eastAsia="zh-CN"/>
        </w:rPr>
      </w:pP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ind w:firstLine="480" w:firstLineChars="200"/>
        <w:rPr>
          <w:rFonts w:hint="eastAsia" w:ascii="仿宋" w:hAnsi="仿宋" w:eastAsia="仿宋" w:cs="仿宋"/>
          <w:sz w:val="24"/>
          <w:szCs w:val="24"/>
        </w:rPr>
      </w:pPr>
      <w:r>
        <w:rPr>
          <w:rFonts w:hint="eastAsia" w:ascii="仿宋" w:hAnsi="仿宋" w:eastAsia="仿宋" w:cs="仿宋"/>
          <w:sz w:val="24"/>
          <w:szCs w:val="24"/>
        </w:rPr>
        <w:t>截至3月14日，富时中国A50指数收跌0.23%至12108.75点；新交所富时A50期指主力合约收跌0.04%至12126点。基本面上，两会政策平稳落地、与市场预期一致，财政政策力度中性、房地产延续弱势、经济结构性修复仍需时间。</w:t>
      </w:r>
    </w:p>
    <w:p>
      <w:pPr>
        <w:ind w:firstLine="480" w:firstLineChars="200"/>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sz w:val="24"/>
          <w:szCs w:val="24"/>
        </w:rPr>
        <w:t>等待三四月份经济数据对经济持续性增长以及库存周期拐点的验证。整体看，基本面对市场的驱动仍然较弱，资金短线存在较浓观望情绪。预计指数存在一定的阶段性回调需求。策略上，短线观望为主。详细支撑阻力位请见图表4。</w:t>
      </w:r>
    </w:p>
    <w:p>
      <w:pPr>
        <w:rPr>
          <w:rFonts w:ascii="新宋体" w:hAnsi="新宋体" w:eastAsia="新宋体"/>
        </w:rPr>
      </w:pPr>
      <w:r>
        <w:rPr>
          <w:rFonts w:ascii="新宋体" w:hAnsi="新宋体" w:eastAsia="新宋体"/>
        </w:rPr>
        <w:drawing>
          <wp:inline distT="0" distB="0" distL="0" distR="0">
            <wp:extent cx="5274310" cy="1924685"/>
            <wp:effectExtent l="0" t="0" r="254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autoSpaceDE w:val="0"/>
        <w:autoSpaceDN w:val="0"/>
        <w:adjustRightInd w:val="0"/>
        <w:spacing w:line="360" w:lineRule="auto"/>
        <w:rPr>
          <w:rFonts w:ascii="新宋体" w:hAnsi="新宋体" w:eastAsia="新宋体"/>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4</w:t>
      </w:r>
      <w:r>
        <w:rPr>
          <w:rFonts w:hint="eastAsia" w:asciiTheme="minorEastAsia" w:hAnsiTheme="minorEastAsia" w:eastAsiaTheme="minorEastAsia"/>
          <w:sz w:val="18"/>
          <w:szCs w:val="20"/>
          <w:lang w:eastAsia="zh-CN"/>
        </w:rPr>
        <w:t>：富时中国A50指数</w:t>
      </w:r>
      <w:r>
        <w:rPr>
          <w:rFonts w:hint="eastAsia" w:asciiTheme="minorEastAsia" w:hAnsiTheme="minorEastAsia" w:eastAsiaTheme="minorEastAsia"/>
          <w:sz w:val="18"/>
          <w:szCs w:val="20"/>
          <w:lang w:val="en-US" w:eastAsia="zh-CN"/>
        </w:rPr>
        <w:t>走势图</w:t>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隔夜美元指数震荡走强，交投于103.37。美国国债收益率低开高走，基准的10年期美债收益率收报4.2922%，对美联储政策利率最敏感的2年期美债收益率收报4.6935%。</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库存方面：截至3月14日，LME铜库存为108050吨，环比-875吨。3月8日当周，上海期货交易所阴极铜库存为239245吨，周环比+ 24758吨。</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外盘持仓方面：根据CFTC公布的最新数据显示，截止至3月5日当周，非商业多头持仓70970手，空头为76297手，净空持仓为5327手，较上周净空增加3724手。</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隔夜COMEX铜震荡偏弱，其中2405合约报收4.053美元/磅，涨跌幅-0.17%。国际方面，美国PPI数据年率录得1.6%，高于预期的1.1%，前值从0.9%上修为1%；月率录得0.6%，达到了去年八月以来的最大涨幅，是预期0.3%的两倍，美国PPI数据超预期降息预期遇冷。国内方面，中国人民银行党委召开扩大会议：保持流动性合理充裕，促进社会融资规模、货币供应量同经济增长和价格水平预期目标相匹配。做好金融支持地方政府债务风险化解工作，因城施策精准实施好差别化住房信贷政策。现货方面，供给端减产预期提升，需求在宏观整体偏暖，流动性相对宽松，政策引导支持的背景下，预期亦整体向好。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939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4310" cy="199390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昨日公布的美国PPI数据超出市场预期，2月PPI同比升1.6%，高于预期的预期的1.1%及前值0.9%；核心PPI同比升2.0%，同样超出预期的1.9%并与前值持平；整体PPI数据显著回升再次反映美国通胀下行受阻，利率预期小幅抬升。然而2月美国零售销售数据不及预期，2月零售销售环比升0.6%，低于预期的0.8%，核心零售销售环比升0.3%，同样低于预期的0.5%，零售数据再次返回正增长但增速相对缓慢，后继或仍需增速持续放缓来增强市场对美国经济走弱的预期。</w:t>
      </w: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14</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816.86</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80" w:firstLineChars="20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往后看，短期内通胀数据走强或增强美联储维持高利率水平的决心，同时美国经济尚未出现显著放缓，美联储仍有充足时间确保经济走势朝其目标前进，短期内美债需求在联储缩表持续的影响下或仍相较疲软，利率预期走强或持续给予美元一定支撑，贵金属价格或相对承压。操作上建议，日内轻仓做空，请投资者注意风险控制。</w:t>
      </w:r>
    </w:p>
    <w:p>
      <w:pPr>
        <w:spacing w:line="360" w:lineRule="auto"/>
        <w:jc w:val="cente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135" cy="1258570"/>
            <wp:effectExtent l="0" t="0" r="571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1135" cy="1258570"/>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图6</w:t>
      </w:r>
      <w:r>
        <w:rPr>
          <w:rFonts w:hint="eastAsia" w:cs="宋体" w:asciiTheme="minorEastAsia" w:hAnsiTheme="minorEastAsia" w:eastAsiaTheme="minorEastAsia"/>
          <w:sz w:val="18"/>
          <w:szCs w:val="18"/>
          <w:lang w:eastAsia="zh-CN"/>
        </w:rPr>
        <w:t>：</w:t>
      </w:r>
      <w:r>
        <w:rPr>
          <w:rFonts w:hint="eastAsia" w:cs="宋体" w:asciiTheme="minorEastAsia" w:hAnsiTheme="minorEastAsia" w:eastAsiaTheme="minorEastAsia"/>
          <w:sz w:val="18"/>
          <w:szCs w:val="18"/>
        </w:rPr>
        <w:t>COMEX黄金日线走势图</w:t>
      </w:r>
    </w:p>
    <w:p>
      <w:pPr>
        <w:pStyle w:val="31"/>
        <w:numPr>
          <w:ilvl w:val="0"/>
          <w:numId w:val="2"/>
        </w:numPr>
        <w:spacing w:before="240" w:line="360" w:lineRule="auto"/>
        <w:ind w:leftChars="0"/>
      </w:pPr>
      <w:r>
        <w:rPr>
          <w:rFonts w:hint="eastAsia" w:asciiTheme="majorEastAsia" w:hAnsiTheme="majorEastAsia" w:eastAsiaTheme="majorEastAsia"/>
          <w:b/>
          <w:color w:val="002060"/>
          <w:sz w:val="28"/>
          <w:szCs w:val="28"/>
          <w:lang w:val="en-US" w:eastAsia="zh-CN"/>
        </w:rPr>
        <w:t>原油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周四，国际能源署自11月以来第四次上调2024年全球原油需求增长预期，但是同时警告说，“全球经济放缓对原油消费将构成额外的阻力”。</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为发达经济体提供建议的国际能源署预计2024年全球原油需求将同比增加130万桶/日，较上月预测高出11万桶/日，尽管低于去年的同比增幅230万桶/日。</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该机构还调低了2024年欧佩克联盟的原油产量预期，预计2024年全球原油供应为1.029亿桶/日，同比增加80万桶/日。</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分析师称，需求保持高位，而供应却越来越紧张，特别是燃料。炼油利润强劲对原油需求有利。</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代表炼油利润的3-2-1裂解价差升至9月中旬以来最高值，有助于原油加工增长。</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周三，乌克兰动用无人机连续第二天对俄罗斯炼油设施进行袭击，目标是四家大型炼油厂。</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俄罗斯能源部表示，由于乌克兰无人机袭击和火灾导致炼油厂停工，2月份俄罗斯海运燃料出口环比下降1.5%。</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分析师估计，俄罗斯炼油厂遭袭可能导致俄罗斯汽油产量减少10%以上。</w:t>
      </w:r>
      <w:r>
        <w:rPr>
          <w:rFonts w:hint="eastAsia" w:ascii="仿宋" w:hAnsi="仿宋" w:eastAsia="仿宋" w:cs="仿宋"/>
          <w:b w:val="0"/>
          <w:bCs w:val="0"/>
          <w:color w:val="000000" w:themeColor="text1"/>
          <w:sz w:val="24"/>
          <w:szCs w:val="24"/>
          <w14:textFill>
            <w14:solidFill>
              <w14:schemeClr w14:val="tx1"/>
            </w14:solidFill>
          </w14:textFill>
        </w:rPr>
        <w:br w:type="textWrapping"/>
      </w:r>
      <w:r>
        <w:rPr>
          <w:rFonts w:hint="eastAsia" w:ascii="仿宋" w:hAnsi="仿宋" w:eastAsia="仿宋" w:cs="仿宋"/>
          <w:b w:val="0"/>
          <w:bCs w:val="0"/>
          <w:color w:val="000000" w:themeColor="text1"/>
          <w:sz w:val="24"/>
          <w:szCs w:val="24"/>
          <w14:textFill>
            <w14:solidFill>
              <w14:schemeClr w14:val="tx1"/>
            </w14:solidFill>
          </w14:textFill>
        </w:rPr>
        <w:t>　　美国能源信息署三表示，上周美国原油和汽油库存大幅下降。未来几周汽油价格将大幅上涨，因为夏季驾车季节到来前的供应减少。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纽约商品期货交易所（NYMEX）的西德克萨斯中质原油（WTI）4月合约较上一交易日上涨1.54美元或1.93%，报81.26美元/桶，短期呈现震荡上涨走势。支撑位：78.6；压力位：82。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0" distR="0">
            <wp:extent cx="5274310" cy="35007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3500755"/>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en-US" w:eastAsia="zh-CN"/>
        </w:rPr>
        <w:t>图7：原油（WTI）</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洲际期货交易所（ICE）原糖期货周四下跌，因受美元走高所累。交投最活跃的ICE 5月原糖期货合约收盘收跌0.16美分或0.73%，结算价每磅21.77美分。操作上，建议5月 ICE 原糖短期暂且观望。</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1770" cy="2208530"/>
            <wp:effectExtent l="0" t="0" r="5080" b="1270"/>
            <wp:docPr id="4" name="图片 4" descr="88a78bb6cfc2379e82036098694a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8a78bb6cfc2379e82036098694abe8"/>
                    <pic:cNvPicPr>
                      <a:picLocks noChangeAspect="1"/>
                    </pic:cNvPicPr>
                  </pic:nvPicPr>
                  <pic:blipFill>
                    <a:blip r:embed="rId14"/>
                    <a:stretch>
                      <a:fillRect/>
                    </a:stretch>
                  </pic:blipFill>
                  <pic:spPr>
                    <a:xfrm>
                      <a:off x="0" y="0"/>
                      <a:ext cx="5271770" cy="2208530"/>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w:t>
      </w:r>
      <w:r>
        <w:rPr>
          <w:rFonts w:hint="eastAsia" w:cs="宋体" w:asciiTheme="minorEastAsia" w:hAnsiTheme="minorEastAsia" w:eastAsiaTheme="minorEastAsia"/>
          <w:sz w:val="18"/>
          <w:szCs w:val="18"/>
          <w:lang w:val="en-US" w:eastAsia="zh-CN"/>
        </w:rPr>
        <w:t>8：ICE</w:t>
      </w:r>
      <w:r>
        <w:rPr>
          <w:rFonts w:hint="eastAsia" w:cs="宋体" w:asciiTheme="minorEastAsia" w:hAnsiTheme="minorEastAsia" w:eastAsiaTheme="minorEastAsia"/>
          <w:sz w:val="18"/>
          <w:szCs w:val="18"/>
          <w:lang w:val="zh-CN" w:eastAsia="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default" w:ascii="仿宋" w:hAnsi="仿宋" w:eastAsia="仿宋" w:cs="仿宋"/>
          <w:kern w:val="1"/>
          <w:sz w:val="24"/>
          <w:szCs w:val="24"/>
          <w:lang w:val="en-US" w:eastAsia="zh-CN"/>
        </w:rPr>
      </w:pPr>
      <w:r>
        <w:rPr>
          <w:rFonts w:hint="default" w:ascii="仿宋" w:hAnsi="仿宋" w:eastAsia="仿宋" w:cs="仿宋"/>
          <w:kern w:val="1"/>
          <w:sz w:val="24"/>
          <w:szCs w:val="24"/>
          <w:lang w:val="en-US" w:eastAsia="zh-CN"/>
        </w:rPr>
        <w:t>洲际交易所(ICE)棉花期货周四下跌，触及近三周来最低水平，因美元走高及股市悲观人气抵消美国周度出口销售数据利好。交投最活跃的ICE 5月期棉收跌1.42美分或1.50%，结算价报93.48美分/磅。操作上，建议5月 ICE 期棉短期暂且观望为宜。</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3040" cy="2162175"/>
            <wp:effectExtent l="0" t="0" r="3810" b="9525"/>
            <wp:docPr id="11" name="图片 11" descr="9a037610201f9098d5a68ac15d33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037610201f9098d5a68ac15d331d9"/>
                    <pic:cNvPicPr>
                      <a:picLocks noChangeAspect="1"/>
                    </pic:cNvPicPr>
                  </pic:nvPicPr>
                  <pic:blipFill>
                    <a:blip r:embed="rId15"/>
                    <a:stretch>
                      <a:fillRect/>
                    </a:stretch>
                  </pic:blipFill>
                  <pic:spPr>
                    <a:xfrm>
                      <a:off x="0" y="0"/>
                      <a:ext cx="5273040" cy="2162175"/>
                    </a:xfrm>
                    <a:prstGeom prst="rect">
                      <a:avLst/>
                    </a:prstGeom>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图9：ICE棉花期货主力合约日走势图及支撑位、阻力位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30D"/>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AA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158D6"/>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EF5CD8"/>
    <w:rsid w:val="01F30A06"/>
    <w:rsid w:val="01F313AB"/>
    <w:rsid w:val="01F82835"/>
    <w:rsid w:val="020175F3"/>
    <w:rsid w:val="0202426E"/>
    <w:rsid w:val="020E5336"/>
    <w:rsid w:val="02100A86"/>
    <w:rsid w:val="0218409E"/>
    <w:rsid w:val="02264DE6"/>
    <w:rsid w:val="022E49E2"/>
    <w:rsid w:val="023A441C"/>
    <w:rsid w:val="02526616"/>
    <w:rsid w:val="02532161"/>
    <w:rsid w:val="0270340F"/>
    <w:rsid w:val="027140F0"/>
    <w:rsid w:val="027421EC"/>
    <w:rsid w:val="02A147E9"/>
    <w:rsid w:val="02A83DF5"/>
    <w:rsid w:val="02AB2B4E"/>
    <w:rsid w:val="02B42E38"/>
    <w:rsid w:val="02B857DE"/>
    <w:rsid w:val="02BD00A2"/>
    <w:rsid w:val="02BD26C5"/>
    <w:rsid w:val="02BE2E95"/>
    <w:rsid w:val="02C60C33"/>
    <w:rsid w:val="02CF3284"/>
    <w:rsid w:val="02DD3F5F"/>
    <w:rsid w:val="02EF1C9C"/>
    <w:rsid w:val="02EF35B1"/>
    <w:rsid w:val="02F01A9D"/>
    <w:rsid w:val="02F32FFC"/>
    <w:rsid w:val="02F5221E"/>
    <w:rsid w:val="02F70554"/>
    <w:rsid w:val="030278A6"/>
    <w:rsid w:val="030933FD"/>
    <w:rsid w:val="03175B68"/>
    <w:rsid w:val="032B6C3A"/>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1A146A"/>
    <w:rsid w:val="043439F8"/>
    <w:rsid w:val="04406F20"/>
    <w:rsid w:val="04456092"/>
    <w:rsid w:val="0468241F"/>
    <w:rsid w:val="046E7AF4"/>
    <w:rsid w:val="047645E1"/>
    <w:rsid w:val="04775375"/>
    <w:rsid w:val="0478140B"/>
    <w:rsid w:val="047F3831"/>
    <w:rsid w:val="049158D8"/>
    <w:rsid w:val="04971774"/>
    <w:rsid w:val="049E54EE"/>
    <w:rsid w:val="04A10B6F"/>
    <w:rsid w:val="04A34B22"/>
    <w:rsid w:val="04B16720"/>
    <w:rsid w:val="04BA6EFD"/>
    <w:rsid w:val="04BE5FB8"/>
    <w:rsid w:val="04C4147D"/>
    <w:rsid w:val="04D45678"/>
    <w:rsid w:val="04DA4F7F"/>
    <w:rsid w:val="04E36BD2"/>
    <w:rsid w:val="050E4482"/>
    <w:rsid w:val="05114DFE"/>
    <w:rsid w:val="05145849"/>
    <w:rsid w:val="05234B36"/>
    <w:rsid w:val="0524656E"/>
    <w:rsid w:val="05317BB6"/>
    <w:rsid w:val="054521BB"/>
    <w:rsid w:val="054D61EC"/>
    <w:rsid w:val="05511F3E"/>
    <w:rsid w:val="05557F6D"/>
    <w:rsid w:val="05580A37"/>
    <w:rsid w:val="056C5A14"/>
    <w:rsid w:val="05722477"/>
    <w:rsid w:val="05740264"/>
    <w:rsid w:val="057F1668"/>
    <w:rsid w:val="05A75D5F"/>
    <w:rsid w:val="05A87039"/>
    <w:rsid w:val="05BC1DCB"/>
    <w:rsid w:val="05BD273F"/>
    <w:rsid w:val="05BF1ED3"/>
    <w:rsid w:val="05D258E0"/>
    <w:rsid w:val="05D83805"/>
    <w:rsid w:val="05DF1BD2"/>
    <w:rsid w:val="05ED01D7"/>
    <w:rsid w:val="05ED0882"/>
    <w:rsid w:val="05F721FB"/>
    <w:rsid w:val="06134660"/>
    <w:rsid w:val="062734CC"/>
    <w:rsid w:val="06287461"/>
    <w:rsid w:val="062E0A26"/>
    <w:rsid w:val="0636167E"/>
    <w:rsid w:val="064A25E0"/>
    <w:rsid w:val="064D2EBD"/>
    <w:rsid w:val="06521862"/>
    <w:rsid w:val="06522747"/>
    <w:rsid w:val="0656349E"/>
    <w:rsid w:val="06653915"/>
    <w:rsid w:val="067A5563"/>
    <w:rsid w:val="069E6E08"/>
    <w:rsid w:val="06AC01D9"/>
    <w:rsid w:val="06B852CF"/>
    <w:rsid w:val="06C06A30"/>
    <w:rsid w:val="06C5194B"/>
    <w:rsid w:val="06CA750F"/>
    <w:rsid w:val="06D07641"/>
    <w:rsid w:val="06DD626A"/>
    <w:rsid w:val="06F04422"/>
    <w:rsid w:val="06FE0F8A"/>
    <w:rsid w:val="07061550"/>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AB20F7"/>
    <w:rsid w:val="07B6503C"/>
    <w:rsid w:val="07B65204"/>
    <w:rsid w:val="07BC6C9C"/>
    <w:rsid w:val="07C1242E"/>
    <w:rsid w:val="07C5339E"/>
    <w:rsid w:val="07C723DC"/>
    <w:rsid w:val="07C84A57"/>
    <w:rsid w:val="07CC040F"/>
    <w:rsid w:val="07D066D7"/>
    <w:rsid w:val="07F01CB4"/>
    <w:rsid w:val="08026D59"/>
    <w:rsid w:val="080C0538"/>
    <w:rsid w:val="08277286"/>
    <w:rsid w:val="08487E99"/>
    <w:rsid w:val="085333A0"/>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45539"/>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3E36F7"/>
    <w:rsid w:val="0A4F7FA4"/>
    <w:rsid w:val="0A546075"/>
    <w:rsid w:val="0A581411"/>
    <w:rsid w:val="0A656A7A"/>
    <w:rsid w:val="0A696520"/>
    <w:rsid w:val="0A767057"/>
    <w:rsid w:val="0A8028A4"/>
    <w:rsid w:val="0A821835"/>
    <w:rsid w:val="0A821CA5"/>
    <w:rsid w:val="0A862805"/>
    <w:rsid w:val="0A867C36"/>
    <w:rsid w:val="0A952E0E"/>
    <w:rsid w:val="0A9C2704"/>
    <w:rsid w:val="0A9D49C5"/>
    <w:rsid w:val="0A9E05BA"/>
    <w:rsid w:val="0AA27F6B"/>
    <w:rsid w:val="0AAC0E1A"/>
    <w:rsid w:val="0AB13EC9"/>
    <w:rsid w:val="0AB345E6"/>
    <w:rsid w:val="0ABC1CE7"/>
    <w:rsid w:val="0AD52303"/>
    <w:rsid w:val="0ADC7777"/>
    <w:rsid w:val="0AF16106"/>
    <w:rsid w:val="0B040E02"/>
    <w:rsid w:val="0B1306DF"/>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A43CE5"/>
    <w:rsid w:val="0CBA41DA"/>
    <w:rsid w:val="0CCA3020"/>
    <w:rsid w:val="0CCB7521"/>
    <w:rsid w:val="0CCE3CCA"/>
    <w:rsid w:val="0CCE44FE"/>
    <w:rsid w:val="0CE56F6D"/>
    <w:rsid w:val="0CF13E38"/>
    <w:rsid w:val="0CF5074C"/>
    <w:rsid w:val="0D065238"/>
    <w:rsid w:val="0D18632B"/>
    <w:rsid w:val="0D240982"/>
    <w:rsid w:val="0D367028"/>
    <w:rsid w:val="0D3B225C"/>
    <w:rsid w:val="0D5A280F"/>
    <w:rsid w:val="0D6202FC"/>
    <w:rsid w:val="0D765426"/>
    <w:rsid w:val="0D793F17"/>
    <w:rsid w:val="0D8C1731"/>
    <w:rsid w:val="0D8F5C0D"/>
    <w:rsid w:val="0D9E477C"/>
    <w:rsid w:val="0DA85246"/>
    <w:rsid w:val="0DBA6F62"/>
    <w:rsid w:val="0DCC7E3F"/>
    <w:rsid w:val="0DD04666"/>
    <w:rsid w:val="0DD81112"/>
    <w:rsid w:val="0DE16873"/>
    <w:rsid w:val="0DE17D37"/>
    <w:rsid w:val="0DFE11D3"/>
    <w:rsid w:val="0E0822C6"/>
    <w:rsid w:val="0E195107"/>
    <w:rsid w:val="0E2F75DE"/>
    <w:rsid w:val="0E325912"/>
    <w:rsid w:val="0E40239A"/>
    <w:rsid w:val="0E4E0AD5"/>
    <w:rsid w:val="0E502055"/>
    <w:rsid w:val="0E5302BE"/>
    <w:rsid w:val="0E5B7AD8"/>
    <w:rsid w:val="0E6227D9"/>
    <w:rsid w:val="0E742B2A"/>
    <w:rsid w:val="0E7D3C17"/>
    <w:rsid w:val="0E8077D1"/>
    <w:rsid w:val="0E823668"/>
    <w:rsid w:val="0E8255D5"/>
    <w:rsid w:val="0E8B5EAD"/>
    <w:rsid w:val="0E9A0A79"/>
    <w:rsid w:val="0EB92ED7"/>
    <w:rsid w:val="0EC04114"/>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5DC5"/>
    <w:rsid w:val="0FFB7D61"/>
    <w:rsid w:val="1003603D"/>
    <w:rsid w:val="100472F7"/>
    <w:rsid w:val="1005671A"/>
    <w:rsid w:val="10154CC7"/>
    <w:rsid w:val="101E6DED"/>
    <w:rsid w:val="103123F2"/>
    <w:rsid w:val="10363F7F"/>
    <w:rsid w:val="103C36A5"/>
    <w:rsid w:val="104546B7"/>
    <w:rsid w:val="104C752D"/>
    <w:rsid w:val="104E1B9A"/>
    <w:rsid w:val="10537F4A"/>
    <w:rsid w:val="1066704D"/>
    <w:rsid w:val="10704862"/>
    <w:rsid w:val="107B43C3"/>
    <w:rsid w:val="107E2176"/>
    <w:rsid w:val="108E25A4"/>
    <w:rsid w:val="10960CAB"/>
    <w:rsid w:val="109F0BA7"/>
    <w:rsid w:val="10A03A68"/>
    <w:rsid w:val="10AA60B9"/>
    <w:rsid w:val="10AB7384"/>
    <w:rsid w:val="10B41A98"/>
    <w:rsid w:val="10BE15C4"/>
    <w:rsid w:val="10C50E46"/>
    <w:rsid w:val="10C61D50"/>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4369E"/>
    <w:rsid w:val="11D541EB"/>
    <w:rsid w:val="11DB2BA4"/>
    <w:rsid w:val="11E75068"/>
    <w:rsid w:val="11F06E93"/>
    <w:rsid w:val="11F42174"/>
    <w:rsid w:val="11FB2691"/>
    <w:rsid w:val="12104A91"/>
    <w:rsid w:val="121D5705"/>
    <w:rsid w:val="12277A29"/>
    <w:rsid w:val="124208BF"/>
    <w:rsid w:val="125810AA"/>
    <w:rsid w:val="125A3741"/>
    <w:rsid w:val="126D30C1"/>
    <w:rsid w:val="128123D2"/>
    <w:rsid w:val="12843CE1"/>
    <w:rsid w:val="12982DC1"/>
    <w:rsid w:val="12A52565"/>
    <w:rsid w:val="12A7056B"/>
    <w:rsid w:val="12C67D7F"/>
    <w:rsid w:val="12CC5D44"/>
    <w:rsid w:val="12D353D4"/>
    <w:rsid w:val="12D73585"/>
    <w:rsid w:val="12E45A8E"/>
    <w:rsid w:val="12FE1B82"/>
    <w:rsid w:val="130646C4"/>
    <w:rsid w:val="13390A39"/>
    <w:rsid w:val="133A64DA"/>
    <w:rsid w:val="13420D91"/>
    <w:rsid w:val="134358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06248"/>
    <w:rsid w:val="14B650DF"/>
    <w:rsid w:val="14D92F3F"/>
    <w:rsid w:val="14E32140"/>
    <w:rsid w:val="14E74DA5"/>
    <w:rsid w:val="14EF7340"/>
    <w:rsid w:val="14F0710C"/>
    <w:rsid w:val="150212E5"/>
    <w:rsid w:val="150C5E03"/>
    <w:rsid w:val="150C68CB"/>
    <w:rsid w:val="15102F39"/>
    <w:rsid w:val="151D2CC7"/>
    <w:rsid w:val="1527752E"/>
    <w:rsid w:val="153314B4"/>
    <w:rsid w:val="15472587"/>
    <w:rsid w:val="154B6AB3"/>
    <w:rsid w:val="15610299"/>
    <w:rsid w:val="157A4877"/>
    <w:rsid w:val="158F165C"/>
    <w:rsid w:val="15973CBB"/>
    <w:rsid w:val="159A02A2"/>
    <w:rsid w:val="15B400E9"/>
    <w:rsid w:val="15B646EB"/>
    <w:rsid w:val="15B80D48"/>
    <w:rsid w:val="15C57BCF"/>
    <w:rsid w:val="15CA13A9"/>
    <w:rsid w:val="15D14AAD"/>
    <w:rsid w:val="15DB59AA"/>
    <w:rsid w:val="15E02C01"/>
    <w:rsid w:val="15E252D6"/>
    <w:rsid w:val="15E27FE7"/>
    <w:rsid w:val="15EA1E9D"/>
    <w:rsid w:val="15F80BFE"/>
    <w:rsid w:val="15FD3794"/>
    <w:rsid w:val="16045920"/>
    <w:rsid w:val="160F3106"/>
    <w:rsid w:val="16117F11"/>
    <w:rsid w:val="161F43DC"/>
    <w:rsid w:val="16261011"/>
    <w:rsid w:val="16295AFF"/>
    <w:rsid w:val="162D4D4B"/>
    <w:rsid w:val="16334E3F"/>
    <w:rsid w:val="163B1603"/>
    <w:rsid w:val="16451C4D"/>
    <w:rsid w:val="164539AB"/>
    <w:rsid w:val="164B51D1"/>
    <w:rsid w:val="16612C47"/>
    <w:rsid w:val="16717CAE"/>
    <w:rsid w:val="167457F7"/>
    <w:rsid w:val="167C2BB6"/>
    <w:rsid w:val="167C7F04"/>
    <w:rsid w:val="167F252D"/>
    <w:rsid w:val="1686316D"/>
    <w:rsid w:val="16922E00"/>
    <w:rsid w:val="16982D62"/>
    <w:rsid w:val="16CB54ED"/>
    <w:rsid w:val="16CF61C1"/>
    <w:rsid w:val="16D36563"/>
    <w:rsid w:val="16E45306"/>
    <w:rsid w:val="16F011CE"/>
    <w:rsid w:val="171E058A"/>
    <w:rsid w:val="17212A33"/>
    <w:rsid w:val="17296645"/>
    <w:rsid w:val="172E3AC0"/>
    <w:rsid w:val="173F4A72"/>
    <w:rsid w:val="175F5D68"/>
    <w:rsid w:val="17691E11"/>
    <w:rsid w:val="176D721C"/>
    <w:rsid w:val="17773DA4"/>
    <w:rsid w:val="178851E9"/>
    <w:rsid w:val="178A344C"/>
    <w:rsid w:val="178E7A1C"/>
    <w:rsid w:val="17937AA5"/>
    <w:rsid w:val="17984446"/>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27B12"/>
    <w:rsid w:val="18035D24"/>
    <w:rsid w:val="181C4BBE"/>
    <w:rsid w:val="1823010A"/>
    <w:rsid w:val="18285F1D"/>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EB4A4A"/>
    <w:rsid w:val="18F12D03"/>
    <w:rsid w:val="18F709DF"/>
    <w:rsid w:val="19015029"/>
    <w:rsid w:val="190803DF"/>
    <w:rsid w:val="190C71E0"/>
    <w:rsid w:val="19113A6E"/>
    <w:rsid w:val="19115ADE"/>
    <w:rsid w:val="19160578"/>
    <w:rsid w:val="192A48A7"/>
    <w:rsid w:val="19315388"/>
    <w:rsid w:val="19330697"/>
    <w:rsid w:val="193E0C96"/>
    <w:rsid w:val="19400B47"/>
    <w:rsid w:val="19436634"/>
    <w:rsid w:val="194B7DB6"/>
    <w:rsid w:val="195B47F3"/>
    <w:rsid w:val="1962673B"/>
    <w:rsid w:val="1965026C"/>
    <w:rsid w:val="197A5ED3"/>
    <w:rsid w:val="197F6B45"/>
    <w:rsid w:val="198074A0"/>
    <w:rsid w:val="198577E5"/>
    <w:rsid w:val="19905538"/>
    <w:rsid w:val="199D13D3"/>
    <w:rsid w:val="19A07ACF"/>
    <w:rsid w:val="19A45097"/>
    <w:rsid w:val="19A501DB"/>
    <w:rsid w:val="19AA5684"/>
    <w:rsid w:val="19B4308D"/>
    <w:rsid w:val="19BE3EE6"/>
    <w:rsid w:val="19C54BF5"/>
    <w:rsid w:val="19D24004"/>
    <w:rsid w:val="19E33D0E"/>
    <w:rsid w:val="19F96F9D"/>
    <w:rsid w:val="1A046659"/>
    <w:rsid w:val="1A051C66"/>
    <w:rsid w:val="1A180A73"/>
    <w:rsid w:val="1A1D2B76"/>
    <w:rsid w:val="1A2A15A2"/>
    <w:rsid w:val="1A427805"/>
    <w:rsid w:val="1A5A1297"/>
    <w:rsid w:val="1A5F36E8"/>
    <w:rsid w:val="1A5F7029"/>
    <w:rsid w:val="1A756363"/>
    <w:rsid w:val="1A8D2A0D"/>
    <w:rsid w:val="1A8F4FED"/>
    <w:rsid w:val="1A9E27DB"/>
    <w:rsid w:val="1AA12298"/>
    <w:rsid w:val="1AA639E5"/>
    <w:rsid w:val="1AAE5D2F"/>
    <w:rsid w:val="1AB95006"/>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45BCD"/>
    <w:rsid w:val="1B8A117B"/>
    <w:rsid w:val="1B8B310B"/>
    <w:rsid w:val="1B913D41"/>
    <w:rsid w:val="1B9432D0"/>
    <w:rsid w:val="1B9C027D"/>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6568C1"/>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060E"/>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A6014"/>
    <w:rsid w:val="1E2C4879"/>
    <w:rsid w:val="1E334EC9"/>
    <w:rsid w:val="1E3C3C1D"/>
    <w:rsid w:val="1E3E6E38"/>
    <w:rsid w:val="1E4B43E4"/>
    <w:rsid w:val="1E62297B"/>
    <w:rsid w:val="1E671BF4"/>
    <w:rsid w:val="1E6A7A51"/>
    <w:rsid w:val="1E6B7BC7"/>
    <w:rsid w:val="1E6F4A76"/>
    <w:rsid w:val="1E8B3C81"/>
    <w:rsid w:val="1E8D78A3"/>
    <w:rsid w:val="1EA525D9"/>
    <w:rsid w:val="1EAC52DB"/>
    <w:rsid w:val="1EB16498"/>
    <w:rsid w:val="1EB77170"/>
    <w:rsid w:val="1EBC10DA"/>
    <w:rsid w:val="1EBE2441"/>
    <w:rsid w:val="1EC33DEB"/>
    <w:rsid w:val="1EE8001F"/>
    <w:rsid w:val="1EE94B20"/>
    <w:rsid w:val="1EEC28C5"/>
    <w:rsid w:val="1EEE618C"/>
    <w:rsid w:val="1EFF28B3"/>
    <w:rsid w:val="1EFF4DAB"/>
    <w:rsid w:val="1F014B44"/>
    <w:rsid w:val="1F080C5A"/>
    <w:rsid w:val="1F147EBB"/>
    <w:rsid w:val="1F1E0719"/>
    <w:rsid w:val="1F2124E8"/>
    <w:rsid w:val="1F215CE3"/>
    <w:rsid w:val="1F242840"/>
    <w:rsid w:val="1F270E73"/>
    <w:rsid w:val="1F354A45"/>
    <w:rsid w:val="1F501286"/>
    <w:rsid w:val="1F625C45"/>
    <w:rsid w:val="1F676B9C"/>
    <w:rsid w:val="1F6B68E4"/>
    <w:rsid w:val="1F6F19A0"/>
    <w:rsid w:val="1F716B41"/>
    <w:rsid w:val="1F730C47"/>
    <w:rsid w:val="1F7419F5"/>
    <w:rsid w:val="1F7A6CA4"/>
    <w:rsid w:val="1F7C32F4"/>
    <w:rsid w:val="1F805C29"/>
    <w:rsid w:val="1F866BD2"/>
    <w:rsid w:val="1F9A32F0"/>
    <w:rsid w:val="1F9D718F"/>
    <w:rsid w:val="1FAB6601"/>
    <w:rsid w:val="1FAC2BB5"/>
    <w:rsid w:val="1FB65DB1"/>
    <w:rsid w:val="1FCA4A32"/>
    <w:rsid w:val="1FCD5229"/>
    <w:rsid w:val="1FD7378C"/>
    <w:rsid w:val="1FE56A9D"/>
    <w:rsid w:val="1FE873B0"/>
    <w:rsid w:val="1FEC0F0A"/>
    <w:rsid w:val="20013DDE"/>
    <w:rsid w:val="20073368"/>
    <w:rsid w:val="200A32CE"/>
    <w:rsid w:val="202B7601"/>
    <w:rsid w:val="203647FC"/>
    <w:rsid w:val="20433479"/>
    <w:rsid w:val="20502BF4"/>
    <w:rsid w:val="205B23A7"/>
    <w:rsid w:val="20693603"/>
    <w:rsid w:val="206A7EE1"/>
    <w:rsid w:val="2070168C"/>
    <w:rsid w:val="207C2503"/>
    <w:rsid w:val="2090637B"/>
    <w:rsid w:val="209543E9"/>
    <w:rsid w:val="20A219FE"/>
    <w:rsid w:val="20A953F7"/>
    <w:rsid w:val="20BA24FC"/>
    <w:rsid w:val="20BC09A7"/>
    <w:rsid w:val="20C00F1E"/>
    <w:rsid w:val="20C24147"/>
    <w:rsid w:val="20D34741"/>
    <w:rsid w:val="20D52267"/>
    <w:rsid w:val="20DD0308"/>
    <w:rsid w:val="20DF2CE0"/>
    <w:rsid w:val="20F955D7"/>
    <w:rsid w:val="21003DE6"/>
    <w:rsid w:val="21033BB3"/>
    <w:rsid w:val="2111724F"/>
    <w:rsid w:val="2124151C"/>
    <w:rsid w:val="21263C0D"/>
    <w:rsid w:val="21414CFF"/>
    <w:rsid w:val="214304A4"/>
    <w:rsid w:val="214473ED"/>
    <w:rsid w:val="215276E7"/>
    <w:rsid w:val="21647BD9"/>
    <w:rsid w:val="216E194D"/>
    <w:rsid w:val="21777CAC"/>
    <w:rsid w:val="219E6B52"/>
    <w:rsid w:val="21A60813"/>
    <w:rsid w:val="21AA0451"/>
    <w:rsid w:val="21BA1394"/>
    <w:rsid w:val="21C4741C"/>
    <w:rsid w:val="21CA4BE7"/>
    <w:rsid w:val="21D1569C"/>
    <w:rsid w:val="21D204C4"/>
    <w:rsid w:val="21D2185B"/>
    <w:rsid w:val="21D96411"/>
    <w:rsid w:val="21E5560D"/>
    <w:rsid w:val="21E5663D"/>
    <w:rsid w:val="21F26E49"/>
    <w:rsid w:val="220B2D50"/>
    <w:rsid w:val="22103189"/>
    <w:rsid w:val="221503B5"/>
    <w:rsid w:val="222062EB"/>
    <w:rsid w:val="22295ACC"/>
    <w:rsid w:val="223360CA"/>
    <w:rsid w:val="223850AF"/>
    <w:rsid w:val="223905D4"/>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DB168B"/>
    <w:rsid w:val="22E32F26"/>
    <w:rsid w:val="22E63AF9"/>
    <w:rsid w:val="22EC6B79"/>
    <w:rsid w:val="22EC6D47"/>
    <w:rsid w:val="22EF4D12"/>
    <w:rsid w:val="23014CD3"/>
    <w:rsid w:val="230F709A"/>
    <w:rsid w:val="2328532E"/>
    <w:rsid w:val="232D0054"/>
    <w:rsid w:val="23336107"/>
    <w:rsid w:val="23355E99"/>
    <w:rsid w:val="233F1944"/>
    <w:rsid w:val="23403BE4"/>
    <w:rsid w:val="234D1DF6"/>
    <w:rsid w:val="23551785"/>
    <w:rsid w:val="235B07D7"/>
    <w:rsid w:val="23726DB6"/>
    <w:rsid w:val="23740A83"/>
    <w:rsid w:val="23783DEA"/>
    <w:rsid w:val="23902AA3"/>
    <w:rsid w:val="23972D3E"/>
    <w:rsid w:val="23BE7017"/>
    <w:rsid w:val="23CC2DD2"/>
    <w:rsid w:val="23D6508F"/>
    <w:rsid w:val="23DF51AB"/>
    <w:rsid w:val="23ED708D"/>
    <w:rsid w:val="23FA7126"/>
    <w:rsid w:val="23FE3AA9"/>
    <w:rsid w:val="2423605F"/>
    <w:rsid w:val="24264B88"/>
    <w:rsid w:val="243A3EC3"/>
    <w:rsid w:val="244C7AF3"/>
    <w:rsid w:val="244E1514"/>
    <w:rsid w:val="24521DBA"/>
    <w:rsid w:val="245D246E"/>
    <w:rsid w:val="24653332"/>
    <w:rsid w:val="246C2037"/>
    <w:rsid w:val="24921F49"/>
    <w:rsid w:val="249C29B9"/>
    <w:rsid w:val="249D43A1"/>
    <w:rsid w:val="249E145B"/>
    <w:rsid w:val="24AA7567"/>
    <w:rsid w:val="24AE07D5"/>
    <w:rsid w:val="24B63A59"/>
    <w:rsid w:val="24C06D8A"/>
    <w:rsid w:val="24C23280"/>
    <w:rsid w:val="24DA505C"/>
    <w:rsid w:val="24DF022C"/>
    <w:rsid w:val="24E47B18"/>
    <w:rsid w:val="24E81FFE"/>
    <w:rsid w:val="24EC27D9"/>
    <w:rsid w:val="24F65EA2"/>
    <w:rsid w:val="24FB6014"/>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2B0B7B"/>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3E4544"/>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52B4D"/>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36B23"/>
    <w:rsid w:val="28BC6D08"/>
    <w:rsid w:val="28C11323"/>
    <w:rsid w:val="28D248A1"/>
    <w:rsid w:val="28ED35CB"/>
    <w:rsid w:val="28F768D1"/>
    <w:rsid w:val="28FF7C7C"/>
    <w:rsid w:val="29036A0E"/>
    <w:rsid w:val="2908236B"/>
    <w:rsid w:val="290C31BE"/>
    <w:rsid w:val="2916166F"/>
    <w:rsid w:val="291C4C43"/>
    <w:rsid w:val="2920482D"/>
    <w:rsid w:val="29253CA5"/>
    <w:rsid w:val="292A5AAA"/>
    <w:rsid w:val="292F6B65"/>
    <w:rsid w:val="293746B7"/>
    <w:rsid w:val="29406A61"/>
    <w:rsid w:val="29420933"/>
    <w:rsid w:val="295C6CC4"/>
    <w:rsid w:val="295F242D"/>
    <w:rsid w:val="29613692"/>
    <w:rsid w:val="29617F01"/>
    <w:rsid w:val="2968352F"/>
    <w:rsid w:val="2969073F"/>
    <w:rsid w:val="29736AC1"/>
    <w:rsid w:val="298453A4"/>
    <w:rsid w:val="29996EAF"/>
    <w:rsid w:val="29A47AC3"/>
    <w:rsid w:val="29AE2F27"/>
    <w:rsid w:val="29B43327"/>
    <w:rsid w:val="29B82726"/>
    <w:rsid w:val="29BC233D"/>
    <w:rsid w:val="29BC65F3"/>
    <w:rsid w:val="29E05D0D"/>
    <w:rsid w:val="29E53A28"/>
    <w:rsid w:val="29E93BEE"/>
    <w:rsid w:val="29ED6EF6"/>
    <w:rsid w:val="29F13EE7"/>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228D5"/>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87631A"/>
    <w:rsid w:val="2BA617A3"/>
    <w:rsid w:val="2BAC20BD"/>
    <w:rsid w:val="2BAE5591"/>
    <w:rsid w:val="2BB778D0"/>
    <w:rsid w:val="2BBC2A47"/>
    <w:rsid w:val="2BC12B09"/>
    <w:rsid w:val="2BC81D75"/>
    <w:rsid w:val="2BD517BE"/>
    <w:rsid w:val="2BD56AFA"/>
    <w:rsid w:val="2BE34A10"/>
    <w:rsid w:val="2BE57224"/>
    <w:rsid w:val="2BE9306B"/>
    <w:rsid w:val="2BEC1FDB"/>
    <w:rsid w:val="2BED6207"/>
    <w:rsid w:val="2BEE3B85"/>
    <w:rsid w:val="2BF30DA1"/>
    <w:rsid w:val="2BFE3F53"/>
    <w:rsid w:val="2C023FE0"/>
    <w:rsid w:val="2C1E63CA"/>
    <w:rsid w:val="2C2B1669"/>
    <w:rsid w:val="2C4812A4"/>
    <w:rsid w:val="2C5901A9"/>
    <w:rsid w:val="2C5F50DB"/>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CEB696E"/>
    <w:rsid w:val="2D07193A"/>
    <w:rsid w:val="2D074A52"/>
    <w:rsid w:val="2D145EC5"/>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5E167A"/>
    <w:rsid w:val="2F6B486D"/>
    <w:rsid w:val="2F700964"/>
    <w:rsid w:val="2F71219B"/>
    <w:rsid w:val="2F74594A"/>
    <w:rsid w:val="2F763777"/>
    <w:rsid w:val="2F794705"/>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750E9"/>
    <w:rsid w:val="30796FFF"/>
    <w:rsid w:val="307E4196"/>
    <w:rsid w:val="30861486"/>
    <w:rsid w:val="3089778B"/>
    <w:rsid w:val="308A6323"/>
    <w:rsid w:val="309D795D"/>
    <w:rsid w:val="30A12F1B"/>
    <w:rsid w:val="30A14338"/>
    <w:rsid w:val="30A528B0"/>
    <w:rsid w:val="30AA2E9F"/>
    <w:rsid w:val="30B34753"/>
    <w:rsid w:val="30B70723"/>
    <w:rsid w:val="30B73E55"/>
    <w:rsid w:val="30B90EB6"/>
    <w:rsid w:val="30C33FD8"/>
    <w:rsid w:val="30CB2D3F"/>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7249C"/>
    <w:rsid w:val="320C6F86"/>
    <w:rsid w:val="32124351"/>
    <w:rsid w:val="321926BC"/>
    <w:rsid w:val="32391A53"/>
    <w:rsid w:val="323924A3"/>
    <w:rsid w:val="323C5FA1"/>
    <w:rsid w:val="323F5FDC"/>
    <w:rsid w:val="32432DA9"/>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263C3"/>
    <w:rsid w:val="32CE3F6B"/>
    <w:rsid w:val="32D31BE9"/>
    <w:rsid w:val="32DE5406"/>
    <w:rsid w:val="32E030C2"/>
    <w:rsid w:val="32E032D9"/>
    <w:rsid w:val="32E03C0A"/>
    <w:rsid w:val="32EB1D89"/>
    <w:rsid w:val="32F04929"/>
    <w:rsid w:val="330A6B94"/>
    <w:rsid w:val="33102D79"/>
    <w:rsid w:val="331A3A83"/>
    <w:rsid w:val="332740C2"/>
    <w:rsid w:val="33294BA8"/>
    <w:rsid w:val="332B1540"/>
    <w:rsid w:val="333B7BAD"/>
    <w:rsid w:val="33596E4F"/>
    <w:rsid w:val="335C5F55"/>
    <w:rsid w:val="336308C3"/>
    <w:rsid w:val="33635E53"/>
    <w:rsid w:val="33784F3D"/>
    <w:rsid w:val="33870AA5"/>
    <w:rsid w:val="338A782A"/>
    <w:rsid w:val="33936456"/>
    <w:rsid w:val="33996D4E"/>
    <w:rsid w:val="339A5225"/>
    <w:rsid w:val="339C68D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14636"/>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7258A"/>
    <w:rsid w:val="34CB6A9B"/>
    <w:rsid w:val="34CC4A69"/>
    <w:rsid w:val="34DD09D8"/>
    <w:rsid w:val="34E1623C"/>
    <w:rsid w:val="34E201AE"/>
    <w:rsid w:val="34E24AB8"/>
    <w:rsid w:val="34E45FFC"/>
    <w:rsid w:val="34EB510C"/>
    <w:rsid w:val="350713B5"/>
    <w:rsid w:val="351F3065"/>
    <w:rsid w:val="351F3CBF"/>
    <w:rsid w:val="35246EC1"/>
    <w:rsid w:val="352A1CA1"/>
    <w:rsid w:val="3532347D"/>
    <w:rsid w:val="353A7148"/>
    <w:rsid w:val="354B08BC"/>
    <w:rsid w:val="3554662E"/>
    <w:rsid w:val="35631758"/>
    <w:rsid w:val="35667BE8"/>
    <w:rsid w:val="356B02EA"/>
    <w:rsid w:val="356E2833"/>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7F6C7D"/>
    <w:rsid w:val="368125AA"/>
    <w:rsid w:val="36914034"/>
    <w:rsid w:val="36A05ED9"/>
    <w:rsid w:val="36AD4216"/>
    <w:rsid w:val="36B67FED"/>
    <w:rsid w:val="36D143C4"/>
    <w:rsid w:val="36EF0CB7"/>
    <w:rsid w:val="36F01DFA"/>
    <w:rsid w:val="37086968"/>
    <w:rsid w:val="370C054B"/>
    <w:rsid w:val="370E6D36"/>
    <w:rsid w:val="37156802"/>
    <w:rsid w:val="371B55D3"/>
    <w:rsid w:val="372057DC"/>
    <w:rsid w:val="37236AFD"/>
    <w:rsid w:val="37310412"/>
    <w:rsid w:val="37492C0F"/>
    <w:rsid w:val="37552058"/>
    <w:rsid w:val="37571D9D"/>
    <w:rsid w:val="375A2115"/>
    <w:rsid w:val="376967EF"/>
    <w:rsid w:val="376B13FD"/>
    <w:rsid w:val="377133DD"/>
    <w:rsid w:val="37796963"/>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630BC"/>
    <w:rsid w:val="381C4DCF"/>
    <w:rsid w:val="38240AF0"/>
    <w:rsid w:val="3824533B"/>
    <w:rsid w:val="38252C4A"/>
    <w:rsid w:val="38283801"/>
    <w:rsid w:val="382D4658"/>
    <w:rsid w:val="3838109F"/>
    <w:rsid w:val="384405A6"/>
    <w:rsid w:val="3848026A"/>
    <w:rsid w:val="384B4965"/>
    <w:rsid w:val="384C75A4"/>
    <w:rsid w:val="385077B3"/>
    <w:rsid w:val="3858778B"/>
    <w:rsid w:val="385950D4"/>
    <w:rsid w:val="38646BA7"/>
    <w:rsid w:val="38696689"/>
    <w:rsid w:val="387243E8"/>
    <w:rsid w:val="387737AC"/>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A1BA2"/>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2D6818"/>
    <w:rsid w:val="3A3511C9"/>
    <w:rsid w:val="3A393EFD"/>
    <w:rsid w:val="3A451DB4"/>
    <w:rsid w:val="3A5207BB"/>
    <w:rsid w:val="3A636F9B"/>
    <w:rsid w:val="3A6E3C5F"/>
    <w:rsid w:val="3A7334E5"/>
    <w:rsid w:val="3A792A45"/>
    <w:rsid w:val="3A893855"/>
    <w:rsid w:val="3A8A25B8"/>
    <w:rsid w:val="3A903012"/>
    <w:rsid w:val="3A9465DB"/>
    <w:rsid w:val="3A961BAF"/>
    <w:rsid w:val="3A983974"/>
    <w:rsid w:val="3AB944E3"/>
    <w:rsid w:val="3ABE7E78"/>
    <w:rsid w:val="3AC03EA4"/>
    <w:rsid w:val="3AECEE65"/>
    <w:rsid w:val="3AFA0757"/>
    <w:rsid w:val="3B0644B0"/>
    <w:rsid w:val="3B141B89"/>
    <w:rsid w:val="3B1948AC"/>
    <w:rsid w:val="3B194FEF"/>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4A1EF3"/>
    <w:rsid w:val="3C574608"/>
    <w:rsid w:val="3C577AA6"/>
    <w:rsid w:val="3C735022"/>
    <w:rsid w:val="3C786D9B"/>
    <w:rsid w:val="3C852F6D"/>
    <w:rsid w:val="3CA3477C"/>
    <w:rsid w:val="3CAC21E1"/>
    <w:rsid w:val="3CB4493F"/>
    <w:rsid w:val="3CB50B2F"/>
    <w:rsid w:val="3CCE78E2"/>
    <w:rsid w:val="3CD45671"/>
    <w:rsid w:val="3CDD25F5"/>
    <w:rsid w:val="3CE105BB"/>
    <w:rsid w:val="3CE173CD"/>
    <w:rsid w:val="3CE91EE0"/>
    <w:rsid w:val="3CEE3058"/>
    <w:rsid w:val="3CEF2510"/>
    <w:rsid w:val="3D001AC2"/>
    <w:rsid w:val="3D06015B"/>
    <w:rsid w:val="3D086010"/>
    <w:rsid w:val="3D0E5C24"/>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63608"/>
    <w:rsid w:val="3E0F1FEC"/>
    <w:rsid w:val="3E0F43D2"/>
    <w:rsid w:val="3E234A2C"/>
    <w:rsid w:val="3E3F2FC8"/>
    <w:rsid w:val="3E461C99"/>
    <w:rsid w:val="3E4B3E68"/>
    <w:rsid w:val="3E594080"/>
    <w:rsid w:val="3E5C1648"/>
    <w:rsid w:val="3E6108A1"/>
    <w:rsid w:val="3E642A25"/>
    <w:rsid w:val="3E672BF5"/>
    <w:rsid w:val="3E73764B"/>
    <w:rsid w:val="3E777A24"/>
    <w:rsid w:val="3E840323"/>
    <w:rsid w:val="3E8F29F5"/>
    <w:rsid w:val="3E97431B"/>
    <w:rsid w:val="3EA75959"/>
    <w:rsid w:val="3EB04F24"/>
    <w:rsid w:val="3EB07A18"/>
    <w:rsid w:val="3EB160AA"/>
    <w:rsid w:val="3EBB0C28"/>
    <w:rsid w:val="3EC11C25"/>
    <w:rsid w:val="3EC41A77"/>
    <w:rsid w:val="3ED9722A"/>
    <w:rsid w:val="3EDB69D2"/>
    <w:rsid w:val="3EEB383A"/>
    <w:rsid w:val="3EEC3429"/>
    <w:rsid w:val="3EF60293"/>
    <w:rsid w:val="3EF83469"/>
    <w:rsid w:val="3EFC6603"/>
    <w:rsid w:val="3EFC74BC"/>
    <w:rsid w:val="3F11495A"/>
    <w:rsid w:val="3F1B0ED5"/>
    <w:rsid w:val="3F1B4C51"/>
    <w:rsid w:val="3F1C5A03"/>
    <w:rsid w:val="3F3B4315"/>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32436"/>
    <w:rsid w:val="4056028C"/>
    <w:rsid w:val="4056770A"/>
    <w:rsid w:val="40677638"/>
    <w:rsid w:val="406F4247"/>
    <w:rsid w:val="406F4B9D"/>
    <w:rsid w:val="40717060"/>
    <w:rsid w:val="40737C37"/>
    <w:rsid w:val="40794629"/>
    <w:rsid w:val="407D6C89"/>
    <w:rsid w:val="408526DE"/>
    <w:rsid w:val="408805BC"/>
    <w:rsid w:val="408A2ACC"/>
    <w:rsid w:val="40942B83"/>
    <w:rsid w:val="409E3E0F"/>
    <w:rsid w:val="40A21EA7"/>
    <w:rsid w:val="40A83D67"/>
    <w:rsid w:val="40B732E0"/>
    <w:rsid w:val="40BF17A9"/>
    <w:rsid w:val="40C017D2"/>
    <w:rsid w:val="40CB0B06"/>
    <w:rsid w:val="40D73F93"/>
    <w:rsid w:val="40EB34BB"/>
    <w:rsid w:val="40F2675B"/>
    <w:rsid w:val="40F65DA2"/>
    <w:rsid w:val="40F81866"/>
    <w:rsid w:val="40FB13CC"/>
    <w:rsid w:val="410530BB"/>
    <w:rsid w:val="41065A27"/>
    <w:rsid w:val="410C65D0"/>
    <w:rsid w:val="4124435E"/>
    <w:rsid w:val="412E5419"/>
    <w:rsid w:val="4139123C"/>
    <w:rsid w:val="413E5E67"/>
    <w:rsid w:val="41431664"/>
    <w:rsid w:val="414346AF"/>
    <w:rsid w:val="41484F72"/>
    <w:rsid w:val="4151103E"/>
    <w:rsid w:val="41712D7E"/>
    <w:rsid w:val="418918F9"/>
    <w:rsid w:val="418E3331"/>
    <w:rsid w:val="419E6573"/>
    <w:rsid w:val="41A03830"/>
    <w:rsid w:val="41A762A5"/>
    <w:rsid w:val="41AB5861"/>
    <w:rsid w:val="41AF1514"/>
    <w:rsid w:val="41B172A4"/>
    <w:rsid w:val="41BB6E00"/>
    <w:rsid w:val="41C45368"/>
    <w:rsid w:val="41D43A1D"/>
    <w:rsid w:val="41D67FA2"/>
    <w:rsid w:val="41DA5245"/>
    <w:rsid w:val="41E6516E"/>
    <w:rsid w:val="41E74463"/>
    <w:rsid w:val="41FD2E19"/>
    <w:rsid w:val="42012922"/>
    <w:rsid w:val="42056314"/>
    <w:rsid w:val="4227339F"/>
    <w:rsid w:val="42296EF7"/>
    <w:rsid w:val="422B6B43"/>
    <w:rsid w:val="4245421C"/>
    <w:rsid w:val="42544F95"/>
    <w:rsid w:val="42574BBB"/>
    <w:rsid w:val="4268169F"/>
    <w:rsid w:val="426C648E"/>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51F12"/>
    <w:rsid w:val="43EF52B4"/>
    <w:rsid w:val="43F24EEE"/>
    <w:rsid w:val="43F56317"/>
    <w:rsid w:val="43F80533"/>
    <w:rsid w:val="44014111"/>
    <w:rsid w:val="44066B9A"/>
    <w:rsid w:val="440A0CDA"/>
    <w:rsid w:val="4416031D"/>
    <w:rsid w:val="441B49B9"/>
    <w:rsid w:val="4425690D"/>
    <w:rsid w:val="44330ECF"/>
    <w:rsid w:val="4438427A"/>
    <w:rsid w:val="443F2299"/>
    <w:rsid w:val="444455FE"/>
    <w:rsid w:val="44476729"/>
    <w:rsid w:val="444A3C9E"/>
    <w:rsid w:val="44511E1C"/>
    <w:rsid w:val="445D64F2"/>
    <w:rsid w:val="446C2347"/>
    <w:rsid w:val="446E3CE2"/>
    <w:rsid w:val="446F741C"/>
    <w:rsid w:val="44725462"/>
    <w:rsid w:val="447C3B22"/>
    <w:rsid w:val="447C5CE5"/>
    <w:rsid w:val="447E1F71"/>
    <w:rsid w:val="44835032"/>
    <w:rsid w:val="44842120"/>
    <w:rsid w:val="44A26055"/>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3C674F"/>
    <w:rsid w:val="45410233"/>
    <w:rsid w:val="45427DAA"/>
    <w:rsid w:val="45551ACA"/>
    <w:rsid w:val="457160E2"/>
    <w:rsid w:val="457C2402"/>
    <w:rsid w:val="457D531C"/>
    <w:rsid w:val="45916CE4"/>
    <w:rsid w:val="45943E01"/>
    <w:rsid w:val="45AB0468"/>
    <w:rsid w:val="45BB52B1"/>
    <w:rsid w:val="45C00026"/>
    <w:rsid w:val="45C000F8"/>
    <w:rsid w:val="45CE2095"/>
    <w:rsid w:val="45CF6016"/>
    <w:rsid w:val="45D24718"/>
    <w:rsid w:val="45F9322D"/>
    <w:rsid w:val="45FE0B94"/>
    <w:rsid w:val="46085B4A"/>
    <w:rsid w:val="460A7E5D"/>
    <w:rsid w:val="460B0587"/>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65745"/>
    <w:rsid w:val="469A214A"/>
    <w:rsid w:val="469B48E9"/>
    <w:rsid w:val="46A149A5"/>
    <w:rsid w:val="46AE6F33"/>
    <w:rsid w:val="46BA7BF4"/>
    <w:rsid w:val="46BB482C"/>
    <w:rsid w:val="46C2260C"/>
    <w:rsid w:val="46C80CC8"/>
    <w:rsid w:val="46F02B6A"/>
    <w:rsid w:val="46F31884"/>
    <w:rsid w:val="46F52B55"/>
    <w:rsid w:val="47055346"/>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AC2395"/>
    <w:rsid w:val="47AF6ABF"/>
    <w:rsid w:val="47BB36B5"/>
    <w:rsid w:val="47E503DD"/>
    <w:rsid w:val="47F75F3F"/>
    <w:rsid w:val="480B09B7"/>
    <w:rsid w:val="480F674A"/>
    <w:rsid w:val="48180142"/>
    <w:rsid w:val="481914C2"/>
    <w:rsid w:val="481D07DB"/>
    <w:rsid w:val="481D20F4"/>
    <w:rsid w:val="48257511"/>
    <w:rsid w:val="48331773"/>
    <w:rsid w:val="48344799"/>
    <w:rsid w:val="483A2703"/>
    <w:rsid w:val="484635C8"/>
    <w:rsid w:val="484C44B2"/>
    <w:rsid w:val="485F0F52"/>
    <w:rsid w:val="486555D7"/>
    <w:rsid w:val="487A5F1C"/>
    <w:rsid w:val="487B4809"/>
    <w:rsid w:val="48836013"/>
    <w:rsid w:val="489D4459"/>
    <w:rsid w:val="48B06F92"/>
    <w:rsid w:val="48BA37DD"/>
    <w:rsid w:val="48C16FB3"/>
    <w:rsid w:val="48D900A8"/>
    <w:rsid w:val="48DF7619"/>
    <w:rsid w:val="48E10EC7"/>
    <w:rsid w:val="48F936E3"/>
    <w:rsid w:val="49041800"/>
    <w:rsid w:val="49107C2F"/>
    <w:rsid w:val="49172B6D"/>
    <w:rsid w:val="49197E8C"/>
    <w:rsid w:val="49215CD0"/>
    <w:rsid w:val="4925465E"/>
    <w:rsid w:val="49304D37"/>
    <w:rsid w:val="49314D2C"/>
    <w:rsid w:val="49336209"/>
    <w:rsid w:val="494E2307"/>
    <w:rsid w:val="49522E33"/>
    <w:rsid w:val="49595810"/>
    <w:rsid w:val="495E079C"/>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9FB55BC"/>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D47314"/>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831FB"/>
    <w:rsid w:val="4B9F1745"/>
    <w:rsid w:val="4BA521C1"/>
    <w:rsid w:val="4BB471F9"/>
    <w:rsid w:val="4BB548C0"/>
    <w:rsid w:val="4BC0573E"/>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042D7"/>
    <w:rsid w:val="4C75395B"/>
    <w:rsid w:val="4C7C1733"/>
    <w:rsid w:val="4C7E401A"/>
    <w:rsid w:val="4C896F38"/>
    <w:rsid w:val="4C8B626D"/>
    <w:rsid w:val="4C8E6703"/>
    <w:rsid w:val="4CB44B77"/>
    <w:rsid w:val="4CB577CD"/>
    <w:rsid w:val="4CB608EF"/>
    <w:rsid w:val="4CC74B97"/>
    <w:rsid w:val="4CF84A64"/>
    <w:rsid w:val="4D0346E6"/>
    <w:rsid w:val="4D121061"/>
    <w:rsid w:val="4D152F3B"/>
    <w:rsid w:val="4D1A577D"/>
    <w:rsid w:val="4D3D00CF"/>
    <w:rsid w:val="4D3F1721"/>
    <w:rsid w:val="4D421ADA"/>
    <w:rsid w:val="4D497317"/>
    <w:rsid w:val="4D7A6BAF"/>
    <w:rsid w:val="4D88073A"/>
    <w:rsid w:val="4DA002FF"/>
    <w:rsid w:val="4DB56DF9"/>
    <w:rsid w:val="4DBB6CE0"/>
    <w:rsid w:val="4DBE070F"/>
    <w:rsid w:val="4DC14FBC"/>
    <w:rsid w:val="4DD01FC4"/>
    <w:rsid w:val="4DDF5B14"/>
    <w:rsid w:val="4DE127B4"/>
    <w:rsid w:val="4DE179F3"/>
    <w:rsid w:val="4DE91D1C"/>
    <w:rsid w:val="4DEB6401"/>
    <w:rsid w:val="4DEC1B8E"/>
    <w:rsid w:val="4E014268"/>
    <w:rsid w:val="4E047618"/>
    <w:rsid w:val="4E1522F0"/>
    <w:rsid w:val="4E170364"/>
    <w:rsid w:val="4E2F0959"/>
    <w:rsid w:val="4E3658D6"/>
    <w:rsid w:val="4E426E49"/>
    <w:rsid w:val="4E53517D"/>
    <w:rsid w:val="4E6D4314"/>
    <w:rsid w:val="4E747373"/>
    <w:rsid w:val="4E7800B6"/>
    <w:rsid w:val="4E793CE5"/>
    <w:rsid w:val="4E7A4A0F"/>
    <w:rsid w:val="4E895803"/>
    <w:rsid w:val="4EA11F11"/>
    <w:rsid w:val="4EAF55F6"/>
    <w:rsid w:val="4EC3666C"/>
    <w:rsid w:val="4EC453C4"/>
    <w:rsid w:val="4ECE26DD"/>
    <w:rsid w:val="4ED07A02"/>
    <w:rsid w:val="4F0F77B1"/>
    <w:rsid w:val="4F140AC3"/>
    <w:rsid w:val="4F1500D7"/>
    <w:rsid w:val="4F190A0E"/>
    <w:rsid w:val="4F224D49"/>
    <w:rsid w:val="4F266265"/>
    <w:rsid w:val="4F2B1661"/>
    <w:rsid w:val="4F346BCB"/>
    <w:rsid w:val="4F377108"/>
    <w:rsid w:val="4F3C1733"/>
    <w:rsid w:val="4F3D70A6"/>
    <w:rsid w:val="4F3E06F5"/>
    <w:rsid w:val="4F4502D5"/>
    <w:rsid w:val="4F4641AC"/>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09D"/>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A076B"/>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A365A"/>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BF0246"/>
    <w:rsid w:val="51D952C2"/>
    <w:rsid w:val="51DE167A"/>
    <w:rsid w:val="51DE4874"/>
    <w:rsid w:val="51E57494"/>
    <w:rsid w:val="51E72CB3"/>
    <w:rsid w:val="51EB4AEC"/>
    <w:rsid w:val="51F93319"/>
    <w:rsid w:val="51FA1F4B"/>
    <w:rsid w:val="51FD0C43"/>
    <w:rsid w:val="5208399B"/>
    <w:rsid w:val="520A2D8B"/>
    <w:rsid w:val="520E4D2A"/>
    <w:rsid w:val="52143C31"/>
    <w:rsid w:val="52221516"/>
    <w:rsid w:val="522F68D2"/>
    <w:rsid w:val="52370BC5"/>
    <w:rsid w:val="523D0981"/>
    <w:rsid w:val="523E73BD"/>
    <w:rsid w:val="52456B90"/>
    <w:rsid w:val="52464FEA"/>
    <w:rsid w:val="52475ECE"/>
    <w:rsid w:val="525A3444"/>
    <w:rsid w:val="525C3CE7"/>
    <w:rsid w:val="526236DD"/>
    <w:rsid w:val="526314D6"/>
    <w:rsid w:val="5263422D"/>
    <w:rsid w:val="526351A5"/>
    <w:rsid w:val="52660692"/>
    <w:rsid w:val="52686602"/>
    <w:rsid w:val="529A229C"/>
    <w:rsid w:val="52A375CF"/>
    <w:rsid w:val="52A41656"/>
    <w:rsid w:val="52BD65CF"/>
    <w:rsid w:val="52C84A6B"/>
    <w:rsid w:val="52D17F37"/>
    <w:rsid w:val="52DC6A75"/>
    <w:rsid w:val="52EF55C6"/>
    <w:rsid w:val="530F12E3"/>
    <w:rsid w:val="53176B7B"/>
    <w:rsid w:val="531B76FE"/>
    <w:rsid w:val="5320259B"/>
    <w:rsid w:val="53204279"/>
    <w:rsid w:val="532A6254"/>
    <w:rsid w:val="532A6A15"/>
    <w:rsid w:val="53347BB5"/>
    <w:rsid w:val="53366CB2"/>
    <w:rsid w:val="53382CC5"/>
    <w:rsid w:val="533B1B4E"/>
    <w:rsid w:val="534224B3"/>
    <w:rsid w:val="5342284C"/>
    <w:rsid w:val="534C2787"/>
    <w:rsid w:val="53642BD9"/>
    <w:rsid w:val="537065D3"/>
    <w:rsid w:val="537E6F4E"/>
    <w:rsid w:val="538347BF"/>
    <w:rsid w:val="53943ED6"/>
    <w:rsid w:val="53A93F8C"/>
    <w:rsid w:val="53B4545D"/>
    <w:rsid w:val="53BA7E60"/>
    <w:rsid w:val="53DE6A0E"/>
    <w:rsid w:val="53E213F0"/>
    <w:rsid w:val="53E7785B"/>
    <w:rsid w:val="540826AB"/>
    <w:rsid w:val="541379AC"/>
    <w:rsid w:val="54312B0F"/>
    <w:rsid w:val="543F46C9"/>
    <w:rsid w:val="544762D1"/>
    <w:rsid w:val="545545DE"/>
    <w:rsid w:val="54554B24"/>
    <w:rsid w:val="546163B0"/>
    <w:rsid w:val="54651DD5"/>
    <w:rsid w:val="54710709"/>
    <w:rsid w:val="54780F20"/>
    <w:rsid w:val="5478123C"/>
    <w:rsid w:val="54785C59"/>
    <w:rsid w:val="547C41CC"/>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735DDC"/>
    <w:rsid w:val="558847A4"/>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7333AD"/>
    <w:rsid w:val="567535C9"/>
    <w:rsid w:val="56A709E0"/>
    <w:rsid w:val="56AC31D8"/>
    <w:rsid w:val="56B714EC"/>
    <w:rsid w:val="56B96F6D"/>
    <w:rsid w:val="56D80361"/>
    <w:rsid w:val="56DC10AB"/>
    <w:rsid w:val="56E51E92"/>
    <w:rsid w:val="56E61118"/>
    <w:rsid w:val="56F42749"/>
    <w:rsid w:val="56F75D8C"/>
    <w:rsid w:val="56F97D56"/>
    <w:rsid w:val="570159AB"/>
    <w:rsid w:val="57081D47"/>
    <w:rsid w:val="570B1DD6"/>
    <w:rsid w:val="571B6442"/>
    <w:rsid w:val="571E72D4"/>
    <w:rsid w:val="571F428C"/>
    <w:rsid w:val="572A4408"/>
    <w:rsid w:val="5736174E"/>
    <w:rsid w:val="573A40DD"/>
    <w:rsid w:val="57432EB6"/>
    <w:rsid w:val="57536E92"/>
    <w:rsid w:val="576152FF"/>
    <w:rsid w:val="57655E84"/>
    <w:rsid w:val="57884C36"/>
    <w:rsid w:val="579050BB"/>
    <w:rsid w:val="579F5A39"/>
    <w:rsid w:val="57B36574"/>
    <w:rsid w:val="57BA3547"/>
    <w:rsid w:val="57C44DA0"/>
    <w:rsid w:val="57C462C3"/>
    <w:rsid w:val="57D1482F"/>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BE7DF8"/>
    <w:rsid w:val="58C4701A"/>
    <w:rsid w:val="58C50CC2"/>
    <w:rsid w:val="58CD760B"/>
    <w:rsid w:val="58DF2F7C"/>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50E4B"/>
    <w:rsid w:val="59853B23"/>
    <w:rsid w:val="598C2884"/>
    <w:rsid w:val="5995120D"/>
    <w:rsid w:val="599F41E3"/>
    <w:rsid w:val="59A45712"/>
    <w:rsid w:val="59B43BDE"/>
    <w:rsid w:val="59BB1D3D"/>
    <w:rsid w:val="59C873D6"/>
    <w:rsid w:val="59CF2287"/>
    <w:rsid w:val="59D26D18"/>
    <w:rsid w:val="59D43C68"/>
    <w:rsid w:val="59D75C26"/>
    <w:rsid w:val="59D9051D"/>
    <w:rsid w:val="59DE7F7E"/>
    <w:rsid w:val="59FE08A1"/>
    <w:rsid w:val="5A0313FD"/>
    <w:rsid w:val="5A131FCF"/>
    <w:rsid w:val="5A171509"/>
    <w:rsid w:val="5A2928F9"/>
    <w:rsid w:val="5A29694A"/>
    <w:rsid w:val="5A380B96"/>
    <w:rsid w:val="5A3904CD"/>
    <w:rsid w:val="5A3A2C2D"/>
    <w:rsid w:val="5A3E51FE"/>
    <w:rsid w:val="5A3E6B5F"/>
    <w:rsid w:val="5A457E4F"/>
    <w:rsid w:val="5A5955C5"/>
    <w:rsid w:val="5A5E6A4F"/>
    <w:rsid w:val="5A672C25"/>
    <w:rsid w:val="5A742B23"/>
    <w:rsid w:val="5A7C4757"/>
    <w:rsid w:val="5A8475A2"/>
    <w:rsid w:val="5A895E68"/>
    <w:rsid w:val="5A8A2FF1"/>
    <w:rsid w:val="5A9477FD"/>
    <w:rsid w:val="5AB512EE"/>
    <w:rsid w:val="5AB6306C"/>
    <w:rsid w:val="5AB72631"/>
    <w:rsid w:val="5AB9454C"/>
    <w:rsid w:val="5AC266B1"/>
    <w:rsid w:val="5AC35661"/>
    <w:rsid w:val="5AC9000E"/>
    <w:rsid w:val="5AE623A0"/>
    <w:rsid w:val="5AE73F2F"/>
    <w:rsid w:val="5AF05B96"/>
    <w:rsid w:val="5AF656AC"/>
    <w:rsid w:val="5AFD30AA"/>
    <w:rsid w:val="5B013AD3"/>
    <w:rsid w:val="5B0422CA"/>
    <w:rsid w:val="5B0603C8"/>
    <w:rsid w:val="5B0A5417"/>
    <w:rsid w:val="5B0B1720"/>
    <w:rsid w:val="5B0F5A6E"/>
    <w:rsid w:val="5B1073E3"/>
    <w:rsid w:val="5B171980"/>
    <w:rsid w:val="5B2E2E8A"/>
    <w:rsid w:val="5B326E32"/>
    <w:rsid w:val="5B36405E"/>
    <w:rsid w:val="5B394885"/>
    <w:rsid w:val="5B3A093D"/>
    <w:rsid w:val="5B3F40C4"/>
    <w:rsid w:val="5B454B70"/>
    <w:rsid w:val="5B6D6329"/>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9F4EFC"/>
    <w:rsid w:val="5CA333FB"/>
    <w:rsid w:val="5CA95FD0"/>
    <w:rsid w:val="5CAB7DBE"/>
    <w:rsid w:val="5CB05EB4"/>
    <w:rsid w:val="5CB762E9"/>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346F"/>
    <w:rsid w:val="5F174B23"/>
    <w:rsid w:val="5F195D02"/>
    <w:rsid w:val="5F28567D"/>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114D3D"/>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50CA9"/>
    <w:rsid w:val="60CB183E"/>
    <w:rsid w:val="60CD295D"/>
    <w:rsid w:val="60D01FF0"/>
    <w:rsid w:val="60D4086F"/>
    <w:rsid w:val="60E11940"/>
    <w:rsid w:val="60E70871"/>
    <w:rsid w:val="60EC2482"/>
    <w:rsid w:val="60F131B9"/>
    <w:rsid w:val="61127446"/>
    <w:rsid w:val="61202643"/>
    <w:rsid w:val="612C573D"/>
    <w:rsid w:val="613B2E45"/>
    <w:rsid w:val="614B38A4"/>
    <w:rsid w:val="61537CF3"/>
    <w:rsid w:val="61591EC7"/>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764BC"/>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1F7C13"/>
    <w:rsid w:val="63260125"/>
    <w:rsid w:val="63341046"/>
    <w:rsid w:val="63460EB6"/>
    <w:rsid w:val="634B1E5A"/>
    <w:rsid w:val="634C3E48"/>
    <w:rsid w:val="635672DB"/>
    <w:rsid w:val="635F7193"/>
    <w:rsid w:val="63695F6D"/>
    <w:rsid w:val="636F1CCF"/>
    <w:rsid w:val="636F48ED"/>
    <w:rsid w:val="63731312"/>
    <w:rsid w:val="63755051"/>
    <w:rsid w:val="637B0985"/>
    <w:rsid w:val="63875F87"/>
    <w:rsid w:val="639953C1"/>
    <w:rsid w:val="639F1A46"/>
    <w:rsid w:val="63A51409"/>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64F1F"/>
    <w:rsid w:val="64AD266E"/>
    <w:rsid w:val="64CD2478"/>
    <w:rsid w:val="64CD64CE"/>
    <w:rsid w:val="64EB1913"/>
    <w:rsid w:val="64EF72E7"/>
    <w:rsid w:val="64F407C9"/>
    <w:rsid w:val="64FF3168"/>
    <w:rsid w:val="651641C9"/>
    <w:rsid w:val="65193AFA"/>
    <w:rsid w:val="65222432"/>
    <w:rsid w:val="65222D76"/>
    <w:rsid w:val="652C6F83"/>
    <w:rsid w:val="652C7549"/>
    <w:rsid w:val="65314145"/>
    <w:rsid w:val="65406185"/>
    <w:rsid w:val="65513585"/>
    <w:rsid w:val="656124B5"/>
    <w:rsid w:val="65663BFD"/>
    <w:rsid w:val="656A0931"/>
    <w:rsid w:val="6582360D"/>
    <w:rsid w:val="658722D4"/>
    <w:rsid w:val="65877A56"/>
    <w:rsid w:val="658B0329"/>
    <w:rsid w:val="65913B14"/>
    <w:rsid w:val="65962352"/>
    <w:rsid w:val="65963165"/>
    <w:rsid w:val="65A5045A"/>
    <w:rsid w:val="65AC2DCC"/>
    <w:rsid w:val="65AF49DC"/>
    <w:rsid w:val="65CF0788"/>
    <w:rsid w:val="65DA7E88"/>
    <w:rsid w:val="65DF00BB"/>
    <w:rsid w:val="65E14645"/>
    <w:rsid w:val="65F5312E"/>
    <w:rsid w:val="65FF5F40"/>
    <w:rsid w:val="66116988"/>
    <w:rsid w:val="66180DB2"/>
    <w:rsid w:val="661A287B"/>
    <w:rsid w:val="661D1848"/>
    <w:rsid w:val="661E50E3"/>
    <w:rsid w:val="661E6390"/>
    <w:rsid w:val="66265BE2"/>
    <w:rsid w:val="662E0264"/>
    <w:rsid w:val="663743F7"/>
    <w:rsid w:val="664773D3"/>
    <w:rsid w:val="66586187"/>
    <w:rsid w:val="665933BA"/>
    <w:rsid w:val="665A7824"/>
    <w:rsid w:val="665D5547"/>
    <w:rsid w:val="665E3732"/>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60797E"/>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0C68DF"/>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4D7EA1"/>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C4030"/>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E4749B"/>
    <w:rsid w:val="6AF15D5E"/>
    <w:rsid w:val="6AF70171"/>
    <w:rsid w:val="6AF81BEF"/>
    <w:rsid w:val="6AF97F0D"/>
    <w:rsid w:val="6B0F149F"/>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3F5DB4"/>
    <w:rsid w:val="6C43646D"/>
    <w:rsid w:val="6C4E1380"/>
    <w:rsid w:val="6C507112"/>
    <w:rsid w:val="6C6B321B"/>
    <w:rsid w:val="6C700E6B"/>
    <w:rsid w:val="6C745746"/>
    <w:rsid w:val="6C750612"/>
    <w:rsid w:val="6C773103"/>
    <w:rsid w:val="6C7B49A3"/>
    <w:rsid w:val="6C9C22F5"/>
    <w:rsid w:val="6CA85D64"/>
    <w:rsid w:val="6CAD7023"/>
    <w:rsid w:val="6CAF272C"/>
    <w:rsid w:val="6CAF6FE6"/>
    <w:rsid w:val="6CB315D5"/>
    <w:rsid w:val="6CC577BE"/>
    <w:rsid w:val="6CC9747D"/>
    <w:rsid w:val="6CE256EE"/>
    <w:rsid w:val="6CE72DCA"/>
    <w:rsid w:val="6CE81281"/>
    <w:rsid w:val="6CEF6E01"/>
    <w:rsid w:val="6D025744"/>
    <w:rsid w:val="6D0F39D8"/>
    <w:rsid w:val="6D1B05CF"/>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DFB76C0"/>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27E52"/>
    <w:rsid w:val="6F376DCC"/>
    <w:rsid w:val="6F435A38"/>
    <w:rsid w:val="6F596C48"/>
    <w:rsid w:val="6F5A1CBD"/>
    <w:rsid w:val="6F6951D8"/>
    <w:rsid w:val="6F7915DC"/>
    <w:rsid w:val="6F7E3C37"/>
    <w:rsid w:val="6F7F02FD"/>
    <w:rsid w:val="6F817CA1"/>
    <w:rsid w:val="6F8C53E3"/>
    <w:rsid w:val="6FB7042B"/>
    <w:rsid w:val="6FC07784"/>
    <w:rsid w:val="6FCB6828"/>
    <w:rsid w:val="6FDD7A49"/>
    <w:rsid w:val="6FDE3B35"/>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730722"/>
    <w:rsid w:val="70806007"/>
    <w:rsid w:val="708345C8"/>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85DAD"/>
    <w:rsid w:val="716C3C35"/>
    <w:rsid w:val="71737D61"/>
    <w:rsid w:val="71885ACF"/>
    <w:rsid w:val="71891AE2"/>
    <w:rsid w:val="718D4B3D"/>
    <w:rsid w:val="71991B59"/>
    <w:rsid w:val="71A1365D"/>
    <w:rsid w:val="71B03EFE"/>
    <w:rsid w:val="71B748DF"/>
    <w:rsid w:val="71CB29CF"/>
    <w:rsid w:val="71D7564E"/>
    <w:rsid w:val="71E52F5C"/>
    <w:rsid w:val="71EA4A14"/>
    <w:rsid w:val="71F444AE"/>
    <w:rsid w:val="720322B7"/>
    <w:rsid w:val="720C7F55"/>
    <w:rsid w:val="721B338F"/>
    <w:rsid w:val="721E58E3"/>
    <w:rsid w:val="7221497B"/>
    <w:rsid w:val="72223660"/>
    <w:rsid w:val="722F68B9"/>
    <w:rsid w:val="723030FD"/>
    <w:rsid w:val="72406A88"/>
    <w:rsid w:val="72524541"/>
    <w:rsid w:val="72524642"/>
    <w:rsid w:val="72534367"/>
    <w:rsid w:val="725C2B2E"/>
    <w:rsid w:val="727476A1"/>
    <w:rsid w:val="72A91BA0"/>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5D0C69"/>
    <w:rsid w:val="73717A0E"/>
    <w:rsid w:val="737705AB"/>
    <w:rsid w:val="737877B9"/>
    <w:rsid w:val="73B9423B"/>
    <w:rsid w:val="73C741AC"/>
    <w:rsid w:val="73D9058E"/>
    <w:rsid w:val="73D94D40"/>
    <w:rsid w:val="73DB0AB8"/>
    <w:rsid w:val="73DF0E2F"/>
    <w:rsid w:val="73FF3D0F"/>
    <w:rsid w:val="74031553"/>
    <w:rsid w:val="740A314B"/>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474F8"/>
    <w:rsid w:val="74EA7F48"/>
    <w:rsid w:val="74F86DE1"/>
    <w:rsid w:val="74FA26FA"/>
    <w:rsid w:val="74FB48D8"/>
    <w:rsid w:val="74FF3711"/>
    <w:rsid w:val="75002663"/>
    <w:rsid w:val="750618D1"/>
    <w:rsid w:val="75351B6F"/>
    <w:rsid w:val="754B57C9"/>
    <w:rsid w:val="754E5EB9"/>
    <w:rsid w:val="7553774A"/>
    <w:rsid w:val="755B7A7A"/>
    <w:rsid w:val="756160EE"/>
    <w:rsid w:val="756A62B3"/>
    <w:rsid w:val="7571717B"/>
    <w:rsid w:val="75756626"/>
    <w:rsid w:val="757A5F13"/>
    <w:rsid w:val="757B230D"/>
    <w:rsid w:val="7582045C"/>
    <w:rsid w:val="75917919"/>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6FD2AF3"/>
    <w:rsid w:val="77045F73"/>
    <w:rsid w:val="77054504"/>
    <w:rsid w:val="770D4353"/>
    <w:rsid w:val="7719777C"/>
    <w:rsid w:val="77225CCC"/>
    <w:rsid w:val="77236826"/>
    <w:rsid w:val="772700B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E07113"/>
    <w:rsid w:val="77F248DC"/>
    <w:rsid w:val="77FF54E3"/>
    <w:rsid w:val="780B0485"/>
    <w:rsid w:val="780D3DE9"/>
    <w:rsid w:val="780F0D30"/>
    <w:rsid w:val="782A7648"/>
    <w:rsid w:val="782F65BA"/>
    <w:rsid w:val="783231B3"/>
    <w:rsid w:val="784B5D12"/>
    <w:rsid w:val="78534459"/>
    <w:rsid w:val="78592F9B"/>
    <w:rsid w:val="785E1CB7"/>
    <w:rsid w:val="78673E04"/>
    <w:rsid w:val="78674C38"/>
    <w:rsid w:val="7869537B"/>
    <w:rsid w:val="786A7FE9"/>
    <w:rsid w:val="78706B24"/>
    <w:rsid w:val="78771F81"/>
    <w:rsid w:val="78786FA2"/>
    <w:rsid w:val="787937CE"/>
    <w:rsid w:val="787A6911"/>
    <w:rsid w:val="788A485A"/>
    <w:rsid w:val="788C2E58"/>
    <w:rsid w:val="78C16E6D"/>
    <w:rsid w:val="78C338C8"/>
    <w:rsid w:val="78C44B64"/>
    <w:rsid w:val="78D0242E"/>
    <w:rsid w:val="78D22055"/>
    <w:rsid w:val="78D91AC3"/>
    <w:rsid w:val="78DE5093"/>
    <w:rsid w:val="78E0297C"/>
    <w:rsid w:val="78FE02CF"/>
    <w:rsid w:val="79085584"/>
    <w:rsid w:val="790877B0"/>
    <w:rsid w:val="791A781C"/>
    <w:rsid w:val="79236948"/>
    <w:rsid w:val="79314CD6"/>
    <w:rsid w:val="795A0647"/>
    <w:rsid w:val="79776397"/>
    <w:rsid w:val="79786AEC"/>
    <w:rsid w:val="7987176F"/>
    <w:rsid w:val="79946EE9"/>
    <w:rsid w:val="79B071E9"/>
    <w:rsid w:val="79B945B1"/>
    <w:rsid w:val="79BD7CBE"/>
    <w:rsid w:val="79C16393"/>
    <w:rsid w:val="79C65861"/>
    <w:rsid w:val="79EE553C"/>
    <w:rsid w:val="79F23216"/>
    <w:rsid w:val="7A0C6EB0"/>
    <w:rsid w:val="7A0D2C54"/>
    <w:rsid w:val="7A1A2452"/>
    <w:rsid w:val="7A1E525A"/>
    <w:rsid w:val="7A2029E2"/>
    <w:rsid w:val="7A265DA4"/>
    <w:rsid w:val="7A294D98"/>
    <w:rsid w:val="7A2E2C40"/>
    <w:rsid w:val="7A344A7E"/>
    <w:rsid w:val="7A3D03CC"/>
    <w:rsid w:val="7A4C11AA"/>
    <w:rsid w:val="7A592591"/>
    <w:rsid w:val="7A5979AE"/>
    <w:rsid w:val="7A5C3743"/>
    <w:rsid w:val="7A636EBE"/>
    <w:rsid w:val="7A7C6425"/>
    <w:rsid w:val="7A7C7ED7"/>
    <w:rsid w:val="7A944E18"/>
    <w:rsid w:val="7A9754F8"/>
    <w:rsid w:val="7AA3436C"/>
    <w:rsid w:val="7AA70C1C"/>
    <w:rsid w:val="7AD5249A"/>
    <w:rsid w:val="7ADF31B4"/>
    <w:rsid w:val="7AE31F6B"/>
    <w:rsid w:val="7AE33C4E"/>
    <w:rsid w:val="7AE538E5"/>
    <w:rsid w:val="7AE62BE7"/>
    <w:rsid w:val="7AED662E"/>
    <w:rsid w:val="7AF34939"/>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8E5A40"/>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84414"/>
    <w:rsid w:val="7C09331B"/>
    <w:rsid w:val="7C106B64"/>
    <w:rsid w:val="7C125E72"/>
    <w:rsid w:val="7C2933EA"/>
    <w:rsid w:val="7C2F7BF3"/>
    <w:rsid w:val="7C322A82"/>
    <w:rsid w:val="7C355BB8"/>
    <w:rsid w:val="7C3C783D"/>
    <w:rsid w:val="7C3F1531"/>
    <w:rsid w:val="7C551425"/>
    <w:rsid w:val="7C5576BE"/>
    <w:rsid w:val="7C5B6177"/>
    <w:rsid w:val="7C6323B2"/>
    <w:rsid w:val="7C72362C"/>
    <w:rsid w:val="7C736EBE"/>
    <w:rsid w:val="7C9A0DE4"/>
    <w:rsid w:val="7C9F0E49"/>
    <w:rsid w:val="7CAD0AAC"/>
    <w:rsid w:val="7CB80A34"/>
    <w:rsid w:val="7CCE1226"/>
    <w:rsid w:val="7CE97DCD"/>
    <w:rsid w:val="7CED0C9D"/>
    <w:rsid w:val="7CFF67CF"/>
    <w:rsid w:val="7D02469A"/>
    <w:rsid w:val="7D125134"/>
    <w:rsid w:val="7D1C27CE"/>
    <w:rsid w:val="7D303BB6"/>
    <w:rsid w:val="7D342A30"/>
    <w:rsid w:val="7D3E5776"/>
    <w:rsid w:val="7D4C5DBA"/>
    <w:rsid w:val="7D5F3F83"/>
    <w:rsid w:val="7D6B2EAC"/>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2E671B"/>
    <w:rsid w:val="7E310098"/>
    <w:rsid w:val="7E3C6F1D"/>
    <w:rsid w:val="7E484505"/>
    <w:rsid w:val="7E4B508B"/>
    <w:rsid w:val="7E4E1E86"/>
    <w:rsid w:val="7E5A0B6D"/>
    <w:rsid w:val="7E5D08CC"/>
    <w:rsid w:val="7E6070DB"/>
    <w:rsid w:val="7E6B0A89"/>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314C43"/>
    <w:rsid w:val="7F424EFC"/>
    <w:rsid w:val="7F43074E"/>
    <w:rsid w:val="7F445D1E"/>
    <w:rsid w:val="7F4A38BB"/>
    <w:rsid w:val="7F4D5E90"/>
    <w:rsid w:val="7F5009AF"/>
    <w:rsid w:val="7F5B3F5D"/>
    <w:rsid w:val="7F5D4552"/>
    <w:rsid w:val="7F61389D"/>
    <w:rsid w:val="7F64188B"/>
    <w:rsid w:val="7F6859A1"/>
    <w:rsid w:val="7F6A18A4"/>
    <w:rsid w:val="7F745D6F"/>
    <w:rsid w:val="7F7F41E8"/>
    <w:rsid w:val="7F8005B3"/>
    <w:rsid w:val="7FAE2F34"/>
    <w:rsid w:val="7FBFB60E"/>
    <w:rsid w:val="7FC66B87"/>
    <w:rsid w:val="7FCE26DA"/>
    <w:rsid w:val="7FCF5260"/>
    <w:rsid w:val="7FD3B704"/>
    <w:rsid w:val="7FD40C00"/>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machen\Desktop\&#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全球主要股指涨跌幅（</a:t>
            </a:r>
            <a:r>
              <a:rPr lang="en-US" altLang="zh-CN"/>
              <a:t>%</a:t>
            </a:r>
            <a:r>
              <a:rPr altLang="en-US"/>
              <a:t>）</a:t>
            </a:r>
            <a:endParaRPr altLang="en-US"/>
          </a:p>
        </c:rich>
      </c:tx>
      <c:layout>
        <c:manualLayout>
          <c:xMode val="edge"/>
          <c:yMode val="edge"/>
          <c:x val="0.380768710244959"/>
          <c:y val="0.0473412913727618"/>
        </c:manualLayout>
      </c:layout>
      <c:overlay val="0"/>
      <c:spPr>
        <a:noFill/>
        <a:ln>
          <a:noFill/>
        </a:ln>
        <a:effectLst/>
      </c:spPr>
    </c:title>
    <c:autoTitleDeleted val="0"/>
    <c:plotArea>
      <c:layout>
        <c:manualLayout>
          <c:layoutTarget val="inner"/>
          <c:xMode val="edge"/>
          <c:yMode val="edge"/>
          <c:x val="0.0798259608411893"/>
          <c:y val="0.139317045257818"/>
          <c:w val="0.834502923976608"/>
          <c:h val="0.707541079812207"/>
        </c:manualLayout>
      </c:layout>
      <c:barChart>
        <c:barDir val="col"/>
        <c:grouping val="clustered"/>
        <c:varyColors val="0"/>
        <c:ser>
          <c:idx val="0"/>
          <c:order val="0"/>
          <c:tx>
            <c:strRef>
              <c:f>'[全球股指日收盘涨跌幅(1).xlsx]主要股指涨跌幅'!$S$410</c:f>
              <c:strCache>
                <c:ptCount val="1"/>
                <c:pt idx="0">
                  <c:v>2024-03-14</c:v>
                </c:pt>
              </c:strCache>
            </c:strRef>
          </c:tx>
          <c:spPr>
            <a:solidFill>
              <a:schemeClr val="accent1"/>
            </a:solidFill>
            <a:ln>
              <a:noFill/>
            </a:ln>
            <a:effectLst/>
          </c:spPr>
          <c:invertIfNegative val="0"/>
          <c:dPt>
            <c:idx val="0"/>
            <c:invertIfNegative val="0"/>
            <c:bubble3D val="0"/>
            <c:spPr>
              <a:solidFill>
                <a:srgbClr val="92D050"/>
              </a:solidFill>
              <a:ln>
                <a:noFill/>
              </a:ln>
              <a:effectLst/>
            </c:spPr>
          </c:dPt>
          <c:dPt>
            <c:idx val="1"/>
            <c:invertIfNegative val="0"/>
            <c:bubble3D val="0"/>
            <c:spPr>
              <a:solidFill>
                <a:srgbClr val="92D050"/>
              </a:solidFill>
              <a:ln>
                <a:noFill/>
              </a:ln>
              <a:effectLst/>
            </c:spPr>
          </c:dPt>
          <c:dPt>
            <c:idx val="2"/>
            <c:invertIfNegative val="0"/>
            <c:bubble3D val="0"/>
            <c:spPr>
              <a:solidFill>
                <a:srgbClr val="92D050"/>
              </a:solidFill>
              <a:ln>
                <a:noFill/>
              </a:ln>
              <a:effectLst/>
            </c:spPr>
          </c:dPt>
          <c:dPt>
            <c:idx val="3"/>
            <c:invertIfNegative val="0"/>
            <c:bubble3D val="0"/>
            <c:spPr>
              <a:solidFill>
                <a:srgbClr val="92D050"/>
              </a:solidFill>
              <a:ln>
                <a:noFill/>
              </a:ln>
              <a:effectLst/>
            </c:spPr>
          </c:dPt>
          <c:dPt>
            <c:idx val="4"/>
            <c:invertIfNegative val="0"/>
            <c:bubble3D val="0"/>
            <c:spPr>
              <a:solidFill>
                <a:srgbClr val="92D050"/>
              </a:solidFill>
              <a:ln>
                <a:noFill/>
              </a:ln>
              <a:effectLst/>
            </c:spPr>
          </c:dPt>
          <c:dPt>
            <c:idx val="5"/>
            <c:invertIfNegative val="0"/>
            <c:bubble3D val="0"/>
            <c:spPr>
              <a:solidFill>
                <a:srgbClr val="92D050"/>
              </a:solidFill>
              <a:ln>
                <a:noFill/>
              </a:ln>
              <a:effectLst/>
            </c:spPr>
          </c:dPt>
          <c:dPt>
            <c:idx val="6"/>
            <c:invertIfNegative val="0"/>
            <c:bubble3D val="0"/>
            <c:spPr>
              <a:solidFill>
                <a:srgbClr val="92D050"/>
              </a:solidFill>
              <a:ln>
                <a:noFill/>
              </a:ln>
              <a:effectLst/>
            </c:spPr>
          </c:dPt>
          <c:dPt>
            <c:idx val="7"/>
            <c:invertIfNegative val="0"/>
            <c:bubble3D val="0"/>
            <c:spPr>
              <a:solidFill>
                <a:srgbClr val="92D050"/>
              </a:solidFill>
              <a:ln>
                <a:noFill/>
              </a:ln>
              <a:effectLst/>
            </c:spPr>
          </c:dPt>
          <c:dPt>
            <c:idx val="8"/>
            <c:invertIfNegative val="0"/>
            <c:bubble3D val="0"/>
            <c:spPr>
              <a:solidFill>
                <a:srgbClr val="92D050"/>
              </a:solidFill>
              <a:ln>
                <a:noFill/>
              </a:ln>
              <a:effectLst/>
            </c:spPr>
          </c:dPt>
          <c:dPt>
            <c:idx val="9"/>
            <c:invertIfNegative val="0"/>
            <c:bubble3D val="0"/>
            <c:spPr>
              <a:solidFill>
                <a:srgbClr val="92D050"/>
              </a:solidFill>
              <a:ln>
                <a:noFill/>
              </a:ln>
              <a:effectLst/>
            </c:spPr>
          </c:dPt>
          <c:dPt>
            <c:idx val="10"/>
            <c:invertIfNegative val="0"/>
            <c:bubble3D val="0"/>
            <c:spPr>
              <a:solidFill>
                <a:srgbClr val="92D050"/>
              </a:solidFill>
              <a:ln>
                <a:noFill/>
              </a:ln>
              <a:effectLst/>
            </c:spPr>
          </c:dPt>
          <c:dPt>
            <c:idx val="11"/>
            <c:invertIfNegative val="0"/>
            <c:bubble3D val="0"/>
            <c:spPr>
              <a:solidFill>
                <a:srgbClr val="92D050"/>
              </a:solidFill>
              <a:ln>
                <a:noFill/>
              </a:ln>
              <a:effectLst/>
            </c:spPr>
          </c:dPt>
          <c:dPt>
            <c:idx val="12"/>
            <c:invertIfNegative val="0"/>
            <c:bubble3D val="0"/>
            <c:spPr>
              <a:solidFill>
                <a:srgbClr val="FF0000"/>
              </a:solidFill>
              <a:ln>
                <a:noFill/>
              </a:ln>
              <a:effectLst/>
            </c:spPr>
          </c:dPt>
          <c:dPt>
            <c:idx val="13"/>
            <c:invertIfNegative val="0"/>
            <c:bubble3D val="0"/>
            <c:spPr>
              <a:solidFill>
                <a:srgbClr val="FF0000"/>
              </a:solidFill>
              <a:ln>
                <a:noFill/>
              </a:ln>
              <a:effectLst/>
            </c:spPr>
          </c:dPt>
          <c:dPt>
            <c:idx val="14"/>
            <c:invertIfNegative val="0"/>
            <c:bubble3D val="0"/>
            <c:spPr>
              <a:solidFill>
                <a:srgbClr val="FF0000"/>
              </a:solidFill>
              <a:ln>
                <a:noFill/>
              </a:ln>
              <a:effectLst/>
            </c:spPr>
          </c:dPt>
          <c:dLbls>
            <c:delete val="1"/>
          </c:dLbls>
          <c:cat>
            <c:strRef>
              <c:f>'[全球股指日收盘涨跌幅(1).xlsx]主要股指涨跌幅'!$R$411:$R$425</c:f>
              <c:strCache>
                <c:ptCount val="15"/>
                <c:pt idx="0">
                  <c:v>中小100</c:v>
                </c:pt>
                <c:pt idx="1">
                  <c:v>恒生指数</c:v>
                </c:pt>
                <c:pt idx="2">
                  <c:v>沪深300</c:v>
                </c:pt>
                <c:pt idx="3">
                  <c:v>创业板指</c:v>
                </c:pt>
                <c:pt idx="4">
                  <c:v>深证成指</c:v>
                </c:pt>
                <c:pt idx="5">
                  <c:v>英国富时100</c:v>
                </c:pt>
                <c:pt idx="6">
                  <c:v>道琼斯工业指数</c:v>
                </c:pt>
                <c:pt idx="7">
                  <c:v>纳斯达克指数</c:v>
                </c:pt>
                <c:pt idx="8">
                  <c:v>标普500</c:v>
                </c:pt>
                <c:pt idx="9">
                  <c:v>日经225</c:v>
                </c:pt>
                <c:pt idx="10">
                  <c:v>上证指数</c:v>
                </c:pt>
                <c:pt idx="11">
                  <c:v>德国DAX</c:v>
                </c:pt>
                <c:pt idx="12">
                  <c:v>法国CAC40</c:v>
                </c:pt>
                <c:pt idx="13">
                  <c:v>意大利指数</c:v>
                </c:pt>
                <c:pt idx="14">
                  <c:v>富时新加坡海峡指数</c:v>
                </c:pt>
              </c:strCache>
            </c:strRef>
          </c:cat>
          <c:val>
            <c:numRef>
              <c:f>'[全球股指日收盘涨跌幅(1).xlsx]主要股指涨跌幅'!$S$411:$S$425</c:f>
              <c:numCache>
                <c:formatCode>0.00_ </c:formatCode>
                <c:ptCount val="15"/>
                <c:pt idx="0">
                  <c:v>-0.86</c:v>
                </c:pt>
                <c:pt idx="1">
                  <c:v>-0.71</c:v>
                </c:pt>
                <c:pt idx="2">
                  <c:v>-0.64</c:v>
                </c:pt>
                <c:pt idx="3">
                  <c:v>-0.64</c:v>
                </c:pt>
                <c:pt idx="4">
                  <c:v>-0.52</c:v>
                </c:pt>
                <c:pt idx="5">
                  <c:v>-0.37</c:v>
                </c:pt>
                <c:pt idx="6">
                  <c:v>-0.35</c:v>
                </c:pt>
                <c:pt idx="7">
                  <c:v>-0.3</c:v>
                </c:pt>
                <c:pt idx="8">
                  <c:v>-0.29</c:v>
                </c:pt>
                <c:pt idx="9">
                  <c:v>-0.21</c:v>
                </c:pt>
                <c:pt idx="10">
                  <c:v>-0.18</c:v>
                </c:pt>
                <c:pt idx="11">
                  <c:v>-0.11</c:v>
                </c:pt>
                <c:pt idx="12">
                  <c:v>0.29</c:v>
                </c:pt>
                <c:pt idx="13">
                  <c:v>0.39</c:v>
                </c:pt>
                <c:pt idx="14">
                  <c:v>0.81</c:v>
                </c:pt>
              </c:numCache>
            </c:numRef>
          </c:val>
        </c:ser>
        <c:dLbls>
          <c:showLegendKey val="0"/>
          <c:showVal val="0"/>
          <c:showCatName val="0"/>
          <c:showSerName val="0"/>
          <c:showPercent val="0"/>
          <c:showBubbleSize val="0"/>
        </c:dLbls>
        <c:gapWidth val="150"/>
        <c:overlap val="0"/>
        <c:axId val="975762854"/>
        <c:axId val="98127667"/>
      </c:barChart>
      <c:catAx>
        <c:axId val="975762854"/>
        <c:scaling>
          <c:orientation val="minMax"/>
        </c:scaling>
        <c:delete val="0"/>
        <c:axPos val="b"/>
        <c:majorTickMark val="none"/>
        <c:minorTickMark val="none"/>
        <c:tickLblPos val="nextTo"/>
        <c:spPr>
          <a:solidFill>
            <a:srgbClr val="92D050"/>
          </a:solid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27667"/>
        <c:crosses val="autoZero"/>
        <c:auto val="1"/>
        <c:lblAlgn val="ctr"/>
        <c:lblOffset val="100"/>
        <c:noMultiLvlLbl val="0"/>
      </c:catAx>
      <c:valAx>
        <c:axId val="98127667"/>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762854"/>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仿宋" panose="02010609060101010101" pitchFamily="3" charset="-122"/>
                <a:cs typeface="+mn-cs"/>
              </a:defRPr>
            </a:pPr>
          </a:p>
        </c:txPr>
      </c:dTable>
      <c:spPr>
        <a:noFill/>
        <a:ln w="3175">
          <a:solidFill>
            <a:schemeClr val="tx1"/>
          </a:solid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WPS_1180513195</cp:lastModifiedBy>
  <cp:lastPrinted>2022-07-22T01:54:00Z</cp:lastPrinted>
  <dcterms:modified xsi:type="dcterms:W3CDTF">2024-03-15T01:07:15Z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99D4AC38B698495EAAE7AFD2A3AEC27F_13</vt:lpwstr>
  </property>
</Properties>
</file>