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10"/>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2024年3月</w:t>
      </w:r>
      <w:r>
        <w:rPr>
          <w:rFonts w:hint="eastAsia" w:ascii="微软雅黑" w:hAnsi="微软雅黑" w:eastAsia="微软雅黑" w:cs="微软雅黑"/>
          <w:b/>
          <w:bCs/>
          <w:color w:val="005D97"/>
          <w:spacing w:val="-22"/>
          <w:sz w:val="48"/>
          <w:szCs w:val="48"/>
          <w:lang w:val="en-US" w:eastAsia="zh-CN"/>
        </w:rPr>
        <w:t>20</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footerReference r:id="rId6"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pStyle w:val="2"/>
        <w:spacing w:line="253" w:lineRule="auto"/>
      </w:pPr>
    </w:p>
    <w:p>
      <w:pPr>
        <w:spacing w:before="103" w:line="256" w:lineRule="auto"/>
        <w:ind w:right="584"/>
        <w:jc w:val="both"/>
        <w:rPr>
          <w:rFonts w:hint="eastAsia" w:ascii="微软雅黑" w:hAnsi="微软雅黑" w:eastAsia="微软雅黑" w:cs="微软雅黑"/>
          <w:spacing w:val="12"/>
          <w:sz w:val="24"/>
          <w:szCs w:val="24"/>
        </w:rPr>
      </w:pPr>
      <w:r>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t xml:space="preserve">   </w:t>
      </w:r>
      <w:r>
        <w:rPr>
          <w:rFonts w:ascii="微软雅黑" w:hAnsi="微软雅黑" w:eastAsia="微软雅黑" w:cs="微软雅黑"/>
          <w:spacing w:val="4"/>
          <w:sz w:val="24"/>
          <w:szCs w:val="24"/>
        </w:rPr>
        <w:t>截至3月</w:t>
      </w:r>
      <w:r>
        <w:rPr>
          <w:rFonts w:hint="eastAsia" w:ascii="微软雅黑" w:hAnsi="微软雅黑" w:eastAsia="微软雅黑" w:cs="微软雅黑"/>
          <w:spacing w:val="4"/>
          <w:sz w:val="24"/>
          <w:szCs w:val="24"/>
          <w:lang w:val="en-US" w:eastAsia="zh-CN"/>
        </w:rPr>
        <w:t>20</w:t>
      </w:r>
      <w:r>
        <w:rPr>
          <w:rFonts w:ascii="微软雅黑" w:hAnsi="微软雅黑" w:eastAsia="微软雅黑" w:cs="微软雅黑"/>
          <w:spacing w:val="4"/>
          <w:sz w:val="24"/>
          <w:szCs w:val="24"/>
        </w:rPr>
        <w:t>日，美国三大股指全线收涨，道指</w:t>
      </w:r>
      <w:r>
        <w:rPr>
          <w:rFonts w:hint="eastAsia" w:ascii="微软雅黑" w:hAnsi="微软雅黑" w:eastAsia="微软雅黑" w:cs="微软雅黑"/>
          <w:spacing w:val="4"/>
          <w:sz w:val="24"/>
          <w:szCs w:val="24"/>
        </w:rPr>
        <w:t>涨0.2%</w:t>
      </w:r>
      <w:r>
        <w:rPr>
          <w:rFonts w:hint="eastAsia" w:ascii="微软雅黑" w:hAnsi="微软雅黑" w:eastAsia="微软雅黑" w:cs="微软雅黑"/>
          <w:spacing w:val="4"/>
          <w:sz w:val="24"/>
          <w:szCs w:val="24"/>
          <w:lang w:eastAsia="zh-CN"/>
        </w:rPr>
        <w:t>，</w:t>
      </w:r>
      <w:r>
        <w:rPr>
          <w:rFonts w:ascii="微软雅黑" w:hAnsi="微软雅黑" w:eastAsia="微软雅黑" w:cs="微软雅黑"/>
          <w:spacing w:val="4"/>
          <w:sz w:val="24"/>
          <w:szCs w:val="24"/>
        </w:rPr>
        <w:t>标普500指数</w:t>
      </w:r>
      <w:r>
        <w:rPr>
          <w:rFonts w:hint="eastAsia" w:ascii="微软雅黑" w:hAnsi="微软雅黑" w:eastAsia="微软雅黑" w:cs="微软雅黑"/>
          <w:spacing w:val="4"/>
          <w:sz w:val="24"/>
          <w:szCs w:val="24"/>
        </w:rPr>
        <w:t>涨0.63%，</w:t>
      </w:r>
      <w:r>
        <w:rPr>
          <w:rFonts w:ascii="微软雅黑" w:hAnsi="微软雅黑" w:eastAsia="微软雅黑" w:cs="微软雅黑"/>
          <w:spacing w:val="4"/>
          <w:sz w:val="24"/>
          <w:szCs w:val="24"/>
        </w:rPr>
        <w:t>纳指</w:t>
      </w:r>
      <w:r>
        <w:rPr>
          <w:rFonts w:hint="eastAsia" w:ascii="微软雅黑" w:hAnsi="微软雅黑" w:eastAsia="微软雅黑" w:cs="微软雅黑"/>
          <w:spacing w:val="4"/>
          <w:sz w:val="24"/>
          <w:szCs w:val="24"/>
        </w:rPr>
        <w:t>涨0.82%</w:t>
      </w:r>
      <w:r>
        <w:rPr>
          <w:rFonts w:hint="eastAsia" w:ascii="微软雅黑" w:hAnsi="微软雅黑" w:eastAsia="微软雅黑" w:cs="微软雅黑"/>
          <w:spacing w:val="4"/>
          <w:sz w:val="24"/>
          <w:szCs w:val="24"/>
          <w:lang w:eastAsia="zh-CN"/>
        </w:rPr>
        <w:t>，</w:t>
      </w:r>
      <w:r>
        <w:rPr>
          <w:rFonts w:ascii="微软雅黑" w:hAnsi="微软雅黑" w:eastAsia="微软雅黑" w:cs="微软雅黑"/>
          <w:spacing w:val="4"/>
          <w:sz w:val="24"/>
          <w:szCs w:val="24"/>
        </w:rPr>
        <w:t>富时中国A50</w:t>
      </w:r>
      <w:r>
        <w:rPr>
          <w:rFonts w:hint="eastAsia" w:ascii="微软雅黑" w:hAnsi="微软雅黑" w:eastAsia="微软雅黑" w:cs="微软雅黑"/>
          <w:spacing w:val="4"/>
          <w:sz w:val="24"/>
          <w:szCs w:val="24"/>
          <w:lang w:val="en-US" w:eastAsia="zh-CN"/>
        </w:rPr>
        <w:t>跌0.35</w:t>
      </w:r>
      <w:r>
        <w:rPr>
          <w:rFonts w:ascii="微软雅黑" w:hAnsi="微软雅黑" w:eastAsia="微软雅黑" w:cs="微软雅黑"/>
          <w:spacing w:val="4"/>
          <w:sz w:val="24"/>
          <w:szCs w:val="24"/>
        </w:rPr>
        <w:t>%</w:t>
      </w:r>
      <w:r>
        <w:rPr>
          <w:rFonts w:hint="eastAsia" w:ascii="微软雅黑" w:hAnsi="微软雅黑" w:eastAsia="微软雅黑" w:cs="微软雅黑"/>
          <w:spacing w:val="4"/>
          <w:sz w:val="24"/>
          <w:szCs w:val="24"/>
          <w:lang w:eastAsia="zh-CN"/>
        </w:rPr>
        <w:t>。美元指数涨0.13%报103.5873，非美货币多数下跌，离岸人民币兑美元跌3个基点报7.2061。</w:t>
      </w:r>
      <w:r>
        <w:rPr>
          <w:rFonts w:ascii="微软雅黑" w:hAnsi="微软雅黑" w:eastAsia="微软雅黑" w:cs="微软雅黑"/>
          <w:sz w:val="24"/>
          <w:szCs w:val="24"/>
        </w:rPr>
        <w:t>LME</w:t>
      </w:r>
      <w:r>
        <w:rPr>
          <w:rFonts w:ascii="微软雅黑" w:hAnsi="微软雅黑" w:eastAsia="微软雅黑" w:cs="微软雅黑"/>
          <w:spacing w:val="4"/>
          <w:sz w:val="24"/>
          <w:szCs w:val="24"/>
        </w:rPr>
        <w:t>期铜涨0.33%报9102美元/吨</w:t>
      </w:r>
      <w:r>
        <w:rPr>
          <w:rFonts w:hint="eastAsia" w:ascii="微软雅黑" w:hAnsi="微软雅黑" w:eastAsia="微软雅黑" w:cs="微软雅黑"/>
          <w:spacing w:val="4"/>
          <w:sz w:val="24"/>
          <w:szCs w:val="24"/>
          <w:lang w:eastAsia="zh-CN"/>
        </w:rPr>
        <w:t>，</w:t>
      </w:r>
      <w:r>
        <w:rPr>
          <w:rFonts w:ascii="微软雅黑" w:hAnsi="微软雅黑" w:eastAsia="微软雅黑" w:cs="微软雅黑"/>
          <w:sz w:val="24"/>
          <w:szCs w:val="24"/>
        </w:rPr>
        <w:t>COMEX</w:t>
      </w:r>
      <w:r>
        <w:rPr>
          <w:rFonts w:ascii="微软雅黑" w:hAnsi="微软雅黑" w:eastAsia="微软雅黑" w:cs="微软雅黑"/>
          <w:spacing w:val="2"/>
          <w:sz w:val="24"/>
          <w:szCs w:val="24"/>
        </w:rPr>
        <w:t>黄金期货涨0.11%报2163.9美元/盎司，</w:t>
      </w:r>
      <w:r>
        <w:rPr>
          <w:rFonts w:ascii="微软雅黑" w:hAnsi="微软雅黑" w:eastAsia="微软雅黑" w:cs="微软雅黑"/>
          <w:sz w:val="24"/>
          <w:szCs w:val="24"/>
        </w:rPr>
        <w:t>COMEX</w:t>
      </w:r>
      <w:r>
        <w:rPr>
          <w:rFonts w:ascii="微软雅黑" w:hAnsi="微软雅黑" w:eastAsia="微软雅黑" w:cs="微软雅黑"/>
          <w:spacing w:val="2"/>
          <w:sz w:val="24"/>
          <w:szCs w:val="24"/>
        </w:rPr>
        <w:t>白银期货跌0.56%报25.24美元/盎司</w:t>
      </w:r>
      <w:r>
        <w:rPr>
          <w:rFonts w:ascii="微软雅黑" w:hAnsi="微软雅黑" w:eastAsia="微软雅黑" w:cs="微软雅黑"/>
          <w:spacing w:val="12"/>
          <w:sz w:val="24"/>
          <w:szCs w:val="24"/>
        </w:rPr>
        <w:t>。</w:t>
      </w:r>
      <w:r>
        <w:rPr>
          <w:rFonts w:ascii="微软雅黑" w:hAnsi="微软雅黑" w:eastAsia="微软雅黑" w:cs="微软雅黑"/>
          <w:sz w:val="24"/>
          <w:szCs w:val="24"/>
        </w:rPr>
        <w:t>ICE</w:t>
      </w:r>
      <w:r>
        <w:rPr>
          <w:rFonts w:ascii="微软雅黑" w:hAnsi="微软雅黑" w:eastAsia="微软雅黑" w:cs="微软雅黑"/>
          <w:spacing w:val="12"/>
          <w:sz w:val="24"/>
          <w:szCs w:val="24"/>
        </w:rPr>
        <w:t>原糖期货合约</w:t>
      </w:r>
      <w:r>
        <w:rPr>
          <w:rFonts w:hint="eastAsia" w:ascii="微软雅黑" w:hAnsi="微软雅黑" w:eastAsia="微软雅黑" w:cs="微软雅黑"/>
          <w:spacing w:val="12"/>
          <w:sz w:val="24"/>
          <w:szCs w:val="24"/>
        </w:rPr>
        <w:t>收跌2.30%</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结算价报21.64</w:t>
      </w:r>
      <w:r>
        <w:rPr>
          <w:rFonts w:ascii="微软雅黑" w:hAnsi="微软雅黑" w:eastAsia="微软雅黑" w:cs="微软雅黑"/>
          <w:spacing w:val="12"/>
          <w:sz w:val="24"/>
          <w:szCs w:val="24"/>
        </w:rPr>
        <w:t>美分/磅。</w:t>
      </w:r>
      <w:r>
        <w:rPr>
          <w:rFonts w:ascii="微软雅黑" w:hAnsi="微软雅黑" w:eastAsia="微软雅黑" w:cs="微软雅黑"/>
          <w:sz w:val="24"/>
          <w:szCs w:val="24"/>
        </w:rPr>
        <w:t>ICE</w:t>
      </w:r>
      <w:r>
        <w:rPr>
          <w:rFonts w:ascii="微软雅黑" w:hAnsi="微软雅黑" w:eastAsia="微软雅黑" w:cs="微软雅黑"/>
          <w:spacing w:val="12"/>
          <w:sz w:val="24"/>
          <w:szCs w:val="24"/>
        </w:rPr>
        <w:t>棉</w:t>
      </w:r>
      <w:r>
        <w:rPr>
          <w:rFonts w:hint="eastAsia" w:ascii="微软雅黑" w:hAnsi="微软雅黑" w:eastAsia="微软雅黑" w:cs="微软雅黑"/>
          <w:spacing w:val="12"/>
          <w:sz w:val="24"/>
          <w:szCs w:val="24"/>
        </w:rPr>
        <w:t>收跌1.30%，结算价报93.34美分/磅。</w:t>
      </w:r>
    </w:p>
    <w:p>
      <w:pPr>
        <w:spacing w:before="103" w:line="256" w:lineRule="auto"/>
        <w:ind w:right="584"/>
        <w:jc w:val="center"/>
        <w:rPr>
          <w:rFonts w:hint="eastAsia" w:ascii="微软雅黑" w:hAnsi="微软雅黑" w:eastAsia="微软雅黑" w:cs="微软雅黑"/>
          <w:spacing w:val="12"/>
          <w:sz w:val="24"/>
          <w:szCs w:val="24"/>
        </w:rPr>
      </w:pPr>
      <w:r>
        <w:drawing>
          <wp:inline distT="0" distB="0" distL="114300" distR="114300">
            <wp:extent cx="5711190" cy="2740660"/>
            <wp:effectExtent l="0" t="0" r="3810" b="254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3"/>
                    <a:stretch>
                      <a:fillRect/>
                    </a:stretch>
                  </pic:blipFill>
                  <pic:spPr>
                    <a:xfrm>
                      <a:off x="0" y="0"/>
                      <a:ext cx="5711190" cy="2740660"/>
                    </a:xfrm>
                    <a:prstGeom prst="rect">
                      <a:avLst/>
                    </a:prstGeom>
                    <a:noFill/>
                    <a:ln>
                      <a:noFill/>
                    </a:ln>
                  </pic:spPr>
                </pic:pic>
              </a:graphicData>
            </a:graphic>
          </wp:inline>
        </w:drawing>
      </w:r>
    </w:p>
    <w:p>
      <w:pPr>
        <w:spacing w:before="235" w:line="176" w:lineRule="auto"/>
        <w:ind w:firstLine="448" w:firstLineChars="200"/>
        <w:jc w:val="both"/>
        <w:rPr>
          <w:rFonts w:ascii="微软雅黑" w:hAnsi="微软雅黑" w:eastAsia="微软雅黑" w:cs="微软雅黑"/>
          <w:spacing w:val="7"/>
          <w:sz w:val="21"/>
          <w:szCs w:val="21"/>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p>
    <w:p>
      <w:pPr>
        <w:pStyle w:val="2"/>
        <w:spacing w:line="282" w:lineRule="auto"/>
      </w:pPr>
    </w:p>
    <w:p>
      <w:pPr>
        <w:spacing w:before="120" w:line="190" w:lineRule="auto"/>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pStyle w:val="2"/>
        <w:spacing w:line="333" w:lineRule="auto"/>
      </w:pPr>
    </w:p>
    <w:p>
      <w:pPr>
        <w:spacing w:before="102" w:line="256" w:lineRule="auto"/>
        <w:ind w:left="285" w:right="648" w:firstLine="538"/>
        <w:jc w:val="both"/>
        <w:rPr>
          <w:rFonts w:ascii="微软雅黑" w:hAnsi="微软雅黑" w:eastAsia="微软雅黑" w:cs="微软雅黑"/>
          <w:spacing w:val="-6"/>
          <w:sz w:val="24"/>
          <w:szCs w:val="24"/>
        </w:rPr>
      </w:pPr>
      <w:r>
        <w:rPr>
          <w:rFonts w:ascii="微软雅黑" w:hAnsi="微软雅黑" w:eastAsia="微软雅黑" w:cs="微软雅黑"/>
          <w:spacing w:val="4"/>
          <w:sz w:val="24"/>
          <w:szCs w:val="24"/>
        </w:rPr>
        <w:t>【美国2月新屋开工总数年化152.1万户，预期142.5万户，前值133.1万户；营建许可总数151.8万户，预期149.5万户，前值148.9万户</w:t>
      </w:r>
      <w:r>
        <w:rPr>
          <w:rFonts w:ascii="微软雅黑" w:hAnsi="微软雅黑" w:eastAsia="微软雅黑" w:cs="微软雅黑"/>
          <w:spacing w:val="-6"/>
          <w:sz w:val="24"/>
          <w:szCs w:val="24"/>
        </w:rPr>
        <w:t>。】</w:t>
      </w:r>
    </w:p>
    <w:p>
      <w:pPr>
        <w:spacing w:before="102" w:line="256" w:lineRule="auto"/>
        <w:ind w:left="285" w:right="648" w:firstLine="538"/>
        <w:jc w:val="both"/>
        <w:rPr>
          <w:rFonts w:ascii="微软雅黑" w:hAnsi="微软雅黑" w:eastAsia="微软雅黑" w:cs="微软雅黑"/>
          <w:spacing w:val="-6"/>
          <w:sz w:val="24"/>
          <w:szCs w:val="24"/>
        </w:rPr>
      </w:pPr>
      <w:r>
        <w:rPr>
          <w:rFonts w:ascii="微软雅黑" w:hAnsi="微软雅黑" w:eastAsia="微软雅黑" w:cs="微软雅黑"/>
          <w:spacing w:val="-6"/>
          <w:sz w:val="24"/>
          <w:szCs w:val="24"/>
        </w:rPr>
        <w:t>【</w:t>
      </w:r>
      <w:r>
        <w:rPr>
          <w:rFonts w:hint="eastAsia" w:ascii="微软雅黑" w:hAnsi="微软雅黑" w:eastAsia="微软雅黑" w:cs="微软雅黑"/>
          <w:spacing w:val="-6"/>
          <w:sz w:val="24"/>
          <w:szCs w:val="24"/>
          <w:lang w:eastAsia="zh-CN"/>
        </w:rPr>
        <w:t>日本央行退出持续8年之久的负利率政策，</w:t>
      </w:r>
      <w:r>
        <w:rPr>
          <w:rFonts w:ascii="微软雅黑" w:hAnsi="微软雅黑" w:eastAsia="微软雅黑" w:cs="微软雅黑"/>
          <w:spacing w:val="-6"/>
          <w:sz w:val="24"/>
          <w:szCs w:val="24"/>
        </w:rPr>
        <w:t>将短期利率由此前的-0.1%—0%调整为0%—0.1%</w:t>
      </w:r>
      <w:r>
        <w:rPr>
          <w:rFonts w:hint="eastAsia" w:ascii="微软雅黑" w:hAnsi="微软雅黑" w:eastAsia="微软雅黑" w:cs="微软雅黑"/>
          <w:spacing w:val="-6"/>
          <w:sz w:val="24"/>
          <w:szCs w:val="24"/>
          <w:lang w:eastAsia="zh-CN"/>
        </w:rPr>
        <w:t>，并放弃收益率曲线控制（YCC）和ETF购买计划，取消购买REITs，一年后将停止购买商业票据及公司债。</w:t>
      </w:r>
      <w:r>
        <w:rPr>
          <w:rFonts w:ascii="微软雅黑" w:hAnsi="微软雅黑" w:eastAsia="微软雅黑" w:cs="微软雅黑"/>
          <w:spacing w:val="-6"/>
          <w:sz w:val="24"/>
          <w:szCs w:val="24"/>
        </w:rPr>
        <w:t>】</w:t>
      </w:r>
    </w:p>
    <w:p>
      <w:pPr>
        <w:spacing w:before="102" w:line="256" w:lineRule="auto"/>
        <w:ind w:left="285" w:right="648" w:firstLine="538"/>
        <w:jc w:val="both"/>
        <w:rPr>
          <w:rFonts w:ascii="微软雅黑" w:hAnsi="微软雅黑" w:eastAsia="微软雅黑" w:cs="微软雅黑"/>
          <w:spacing w:val="-4"/>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日本央行退出持续8年之久的负利率政策，</w:t>
      </w:r>
      <w:r>
        <w:rPr>
          <w:rFonts w:ascii="微软雅黑" w:hAnsi="微软雅黑" w:eastAsia="微软雅黑" w:cs="微软雅黑"/>
          <w:spacing w:val="13"/>
          <w:sz w:val="24"/>
          <w:szCs w:val="24"/>
        </w:rPr>
        <w:t>将短期利率由此前的-0.1%—0%调整为0%—0.1%</w:t>
      </w:r>
      <w:r>
        <w:rPr>
          <w:rFonts w:hint="eastAsia" w:ascii="微软雅黑" w:hAnsi="微软雅黑" w:eastAsia="微软雅黑" w:cs="微软雅黑"/>
          <w:spacing w:val="13"/>
          <w:sz w:val="24"/>
          <w:szCs w:val="24"/>
          <w:lang w:eastAsia="zh-CN"/>
        </w:rPr>
        <w:t>，并放弃收益率曲线控制（YCC）和ETF购买计划，取消购买REITs，一年后将停止购买商业票据及公司债。</w:t>
      </w:r>
      <w:r>
        <w:rPr>
          <w:rFonts w:ascii="微软雅黑" w:hAnsi="微软雅黑" w:eastAsia="微软雅黑" w:cs="微软雅黑"/>
          <w:spacing w:val="-4"/>
          <w:sz w:val="24"/>
          <w:szCs w:val="24"/>
        </w:rPr>
        <w:t>】</w:t>
      </w:r>
    </w:p>
    <w:p>
      <w:pPr>
        <w:spacing w:before="102" w:line="256" w:lineRule="auto"/>
        <w:ind w:left="285" w:right="648" w:firstLine="538"/>
        <w:jc w:val="both"/>
        <w:rPr>
          <w:rFonts w:ascii="微软雅黑" w:hAnsi="微软雅黑" w:eastAsia="微软雅黑" w:cs="微软雅黑"/>
          <w:spacing w:val="-8"/>
          <w:sz w:val="24"/>
          <w:szCs w:val="24"/>
        </w:rPr>
      </w:pPr>
      <w:r>
        <w:rPr>
          <w:rFonts w:ascii="微软雅黑" w:hAnsi="微软雅黑" w:eastAsia="微软雅黑" w:cs="微软雅黑"/>
          <w:spacing w:val="12"/>
          <w:sz w:val="24"/>
          <w:szCs w:val="24"/>
        </w:rPr>
        <w:t>【澳洲联储维持利率在4.35%不变，符合市场预期</w:t>
      </w:r>
      <w:r>
        <w:rPr>
          <w:rFonts w:hint="eastAsia" w:ascii="微软雅黑" w:hAnsi="微软雅黑" w:eastAsia="微软雅黑" w:cs="微软雅黑"/>
          <w:spacing w:val="12"/>
          <w:sz w:val="24"/>
          <w:szCs w:val="24"/>
          <w:lang w:eastAsia="zh-CN"/>
        </w:rPr>
        <w:t>。</w:t>
      </w:r>
      <w:r>
        <w:rPr>
          <w:rFonts w:ascii="微软雅黑" w:hAnsi="微软雅黑" w:eastAsia="微软雅黑" w:cs="微软雅黑"/>
          <w:spacing w:val="-8"/>
          <w:sz w:val="24"/>
          <w:szCs w:val="24"/>
        </w:rPr>
        <w:t>】</w:t>
      </w:r>
    </w:p>
    <w:p>
      <w:pPr>
        <w:spacing w:before="102" w:line="256" w:lineRule="auto"/>
        <w:ind w:left="285" w:right="648" w:firstLine="538"/>
        <w:jc w:val="both"/>
        <w:rPr>
          <w:rFonts w:ascii="微软雅黑" w:hAnsi="微软雅黑" w:eastAsia="微软雅黑" w:cs="微软雅黑"/>
          <w:spacing w:val="-8"/>
          <w:sz w:val="24"/>
          <w:szCs w:val="24"/>
        </w:rPr>
      </w:pPr>
    </w:p>
    <w:p>
      <w:pPr>
        <w:spacing w:before="120" w:line="190" w:lineRule="auto"/>
        <w:ind w:left="6"/>
        <w:rPr>
          <w:rFonts w:ascii="微软雅黑" w:hAnsi="微软雅黑" w:eastAsia="微软雅黑" w:cs="微软雅黑"/>
          <w:color w:val="036EB8"/>
          <w:position w:val="-4"/>
          <w:sz w:val="28"/>
          <w:szCs w:val="28"/>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9"/>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8"/>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8"/>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8"/>
              <w:spacing w:before="228"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20</w:t>
            </w:r>
          </w:p>
        </w:tc>
        <w:tc>
          <w:tcPr>
            <w:tcW w:w="1143" w:type="dxa"/>
            <w:vAlign w:val="top"/>
          </w:tcPr>
          <w:p>
            <w:pPr>
              <w:pStyle w:val="8"/>
              <w:spacing w:before="243" w:line="172" w:lineRule="auto"/>
              <w:ind w:left="94"/>
              <w:rPr>
                <w:sz w:val="19"/>
                <w:szCs w:val="19"/>
              </w:rPr>
            </w:pPr>
            <w:r>
              <w:rPr>
                <w:rFonts w:hint="eastAsia"/>
                <w:b/>
                <w:bCs/>
                <w:spacing w:val="6"/>
                <w:sz w:val="19"/>
                <w:szCs w:val="19"/>
                <w:lang w:val="en-US" w:eastAsia="zh-CN"/>
              </w:rPr>
              <w:t>15</w:t>
            </w:r>
            <w:r>
              <w:rPr>
                <w:b/>
                <w:bCs/>
                <w:spacing w:val="6"/>
                <w:sz w:val="19"/>
                <w:szCs w:val="19"/>
              </w:rPr>
              <w:t>:</w:t>
            </w:r>
            <w:r>
              <w:rPr>
                <w:rFonts w:hint="eastAsia"/>
                <w:b/>
                <w:bCs/>
                <w:spacing w:val="6"/>
                <w:sz w:val="19"/>
                <w:szCs w:val="19"/>
                <w:lang w:val="en-US" w:eastAsia="zh-CN"/>
              </w:rPr>
              <w:t>0</w:t>
            </w:r>
            <w:r>
              <w:rPr>
                <w:b/>
                <w:bCs/>
                <w:spacing w:val="6"/>
                <w:sz w:val="19"/>
                <w:szCs w:val="19"/>
              </w:rPr>
              <w:t>0</w:t>
            </w:r>
          </w:p>
        </w:tc>
        <w:tc>
          <w:tcPr>
            <w:tcW w:w="6679" w:type="dxa"/>
            <w:vAlign w:val="top"/>
          </w:tcPr>
          <w:p>
            <w:pPr>
              <w:pStyle w:val="8"/>
              <w:spacing w:before="221" w:line="180" w:lineRule="auto"/>
              <w:jc w:val="center"/>
              <w:rPr>
                <w:rFonts w:hint="default" w:eastAsia="微软雅黑"/>
                <w:sz w:val="19"/>
                <w:szCs w:val="19"/>
                <w:lang w:val="en-US" w:eastAsia="zh-CN"/>
              </w:rPr>
            </w:pPr>
            <w:r>
              <w:rPr>
                <w:rFonts w:hint="eastAsia"/>
                <w:spacing w:val="25"/>
                <w:sz w:val="19"/>
                <w:szCs w:val="19"/>
                <w:lang w:val="en-US" w:eastAsia="zh-CN"/>
              </w:rPr>
              <w:t>德国2月PPI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0"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20</w:t>
            </w:r>
          </w:p>
        </w:tc>
        <w:tc>
          <w:tcPr>
            <w:tcW w:w="1143" w:type="dxa"/>
            <w:shd w:val="clear" w:color="auto" w:fill="D3EAFF"/>
            <w:vAlign w:val="top"/>
          </w:tcPr>
          <w:p>
            <w:pPr>
              <w:pStyle w:val="8"/>
              <w:spacing w:before="245" w:line="172" w:lineRule="auto"/>
              <w:ind w:left="101"/>
              <w:rPr>
                <w:sz w:val="19"/>
                <w:szCs w:val="19"/>
              </w:rPr>
            </w:pPr>
            <w:r>
              <w:rPr>
                <w:b/>
                <w:bCs/>
                <w:spacing w:val="5"/>
                <w:sz w:val="19"/>
                <w:szCs w:val="19"/>
              </w:rPr>
              <w:t>15:00</w:t>
            </w:r>
          </w:p>
        </w:tc>
        <w:tc>
          <w:tcPr>
            <w:tcW w:w="6679" w:type="dxa"/>
            <w:shd w:val="clear" w:color="auto" w:fill="D3EAFF"/>
            <w:vAlign w:val="top"/>
          </w:tcPr>
          <w:p>
            <w:pPr>
              <w:pStyle w:val="8"/>
              <w:spacing w:before="224" w:line="179" w:lineRule="auto"/>
              <w:jc w:val="center"/>
              <w:rPr>
                <w:rFonts w:hint="default" w:eastAsia="微软雅黑"/>
                <w:sz w:val="19"/>
                <w:szCs w:val="19"/>
                <w:lang w:val="en-US" w:eastAsia="zh-CN"/>
              </w:rPr>
            </w:pPr>
            <w:r>
              <w:rPr>
                <w:rFonts w:hint="eastAsia"/>
                <w:spacing w:val="32"/>
                <w:sz w:val="19"/>
                <w:szCs w:val="19"/>
                <w:lang w:val="en-US" w:eastAsia="zh-CN"/>
              </w:rPr>
              <w:t>英</w:t>
            </w:r>
            <w:r>
              <w:rPr>
                <w:spacing w:val="32"/>
                <w:sz w:val="19"/>
                <w:szCs w:val="19"/>
              </w:rPr>
              <w:t>国2月</w:t>
            </w:r>
            <w:r>
              <w:rPr>
                <w:sz w:val="19"/>
                <w:szCs w:val="19"/>
              </w:rPr>
              <w:t>CPI</w:t>
            </w:r>
            <w:r>
              <w:rPr>
                <w:rFonts w:hint="eastAsia"/>
                <w:sz w:val="19"/>
                <w:szCs w:val="19"/>
                <w:lang w:eastAsia="zh-CN"/>
              </w:rPr>
              <w:t>、</w:t>
            </w:r>
            <w:r>
              <w:rPr>
                <w:rFonts w:hint="eastAsia"/>
                <w:sz w:val="19"/>
                <w:szCs w:val="19"/>
                <w:lang w:val="en-US" w:eastAsia="zh-CN"/>
              </w:rPr>
              <w:t>2月零售物价指数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8"/>
              <w:spacing w:before="231"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20</w:t>
            </w:r>
          </w:p>
        </w:tc>
        <w:tc>
          <w:tcPr>
            <w:tcW w:w="1143" w:type="dxa"/>
            <w:vAlign w:val="top"/>
          </w:tcPr>
          <w:p>
            <w:pPr>
              <w:pStyle w:val="8"/>
              <w:spacing w:before="245" w:line="172" w:lineRule="auto"/>
              <w:ind w:left="101"/>
              <w:rPr>
                <w:sz w:val="19"/>
                <w:szCs w:val="19"/>
              </w:rPr>
            </w:pPr>
            <w:r>
              <w:rPr>
                <w:b/>
                <w:bCs/>
                <w:spacing w:val="5"/>
                <w:sz w:val="19"/>
                <w:szCs w:val="19"/>
              </w:rPr>
              <w:t>1</w:t>
            </w:r>
            <w:r>
              <w:rPr>
                <w:rFonts w:hint="eastAsia"/>
                <w:b/>
                <w:bCs/>
                <w:spacing w:val="5"/>
                <w:sz w:val="19"/>
                <w:szCs w:val="19"/>
                <w:lang w:val="en-US" w:eastAsia="zh-CN"/>
              </w:rPr>
              <w:t>7</w:t>
            </w:r>
            <w:r>
              <w:rPr>
                <w:b/>
                <w:bCs/>
                <w:spacing w:val="5"/>
                <w:sz w:val="19"/>
                <w:szCs w:val="19"/>
              </w:rPr>
              <w:t>:00</w:t>
            </w:r>
          </w:p>
        </w:tc>
        <w:tc>
          <w:tcPr>
            <w:tcW w:w="6679" w:type="dxa"/>
            <w:vAlign w:val="top"/>
          </w:tcPr>
          <w:p>
            <w:pPr>
              <w:pStyle w:val="8"/>
              <w:spacing w:before="224" w:line="180" w:lineRule="auto"/>
              <w:jc w:val="center"/>
              <w:rPr>
                <w:rFonts w:hint="default" w:eastAsia="微软雅黑"/>
                <w:sz w:val="19"/>
                <w:szCs w:val="19"/>
                <w:lang w:val="en-US" w:eastAsia="zh-CN"/>
              </w:rPr>
            </w:pPr>
            <w:r>
              <w:rPr>
                <w:rFonts w:hint="eastAsia"/>
                <w:sz w:val="19"/>
                <w:szCs w:val="19"/>
                <w:lang w:val="en-US" w:eastAsia="zh-CN"/>
              </w:rPr>
              <w:t>意大利</w:t>
            </w:r>
            <w:r>
              <w:rPr>
                <w:sz w:val="19"/>
                <w:szCs w:val="19"/>
              </w:rPr>
              <w:t>1月</w:t>
            </w:r>
            <w:r>
              <w:rPr>
                <w:rFonts w:hint="eastAsia"/>
                <w:sz w:val="19"/>
                <w:szCs w:val="19"/>
                <w:lang w:val="en-US" w:eastAsia="zh-CN"/>
              </w:rPr>
              <w:t>季调后工业产出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2"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20</w:t>
            </w:r>
          </w:p>
        </w:tc>
        <w:tc>
          <w:tcPr>
            <w:tcW w:w="1143" w:type="dxa"/>
            <w:shd w:val="clear" w:color="auto" w:fill="D3EAFF"/>
            <w:vAlign w:val="top"/>
          </w:tcPr>
          <w:p>
            <w:pPr>
              <w:pStyle w:val="8"/>
              <w:spacing w:before="246" w:line="172" w:lineRule="auto"/>
              <w:ind w:left="101"/>
              <w:rPr>
                <w:sz w:val="19"/>
                <w:szCs w:val="19"/>
              </w:rPr>
            </w:pPr>
            <w:r>
              <w:rPr>
                <w:rFonts w:hint="eastAsia"/>
                <w:b/>
                <w:bCs/>
                <w:spacing w:val="5"/>
                <w:sz w:val="19"/>
                <w:szCs w:val="19"/>
                <w:lang w:val="en-US" w:eastAsia="zh-CN"/>
              </w:rPr>
              <w:t>17</w:t>
            </w:r>
            <w:r>
              <w:rPr>
                <w:b/>
                <w:bCs/>
                <w:spacing w:val="5"/>
                <w:sz w:val="19"/>
                <w:szCs w:val="19"/>
              </w:rPr>
              <w:t>:</w:t>
            </w:r>
            <w:r>
              <w:rPr>
                <w:rFonts w:hint="eastAsia"/>
                <w:b/>
                <w:bCs/>
                <w:spacing w:val="5"/>
                <w:sz w:val="19"/>
                <w:szCs w:val="19"/>
                <w:lang w:val="en-US" w:eastAsia="zh-CN"/>
              </w:rPr>
              <w:t>3</w:t>
            </w:r>
            <w:r>
              <w:rPr>
                <w:b/>
                <w:bCs/>
                <w:spacing w:val="5"/>
                <w:sz w:val="19"/>
                <w:szCs w:val="19"/>
              </w:rPr>
              <w:t>0</w:t>
            </w:r>
          </w:p>
        </w:tc>
        <w:tc>
          <w:tcPr>
            <w:tcW w:w="6679" w:type="dxa"/>
            <w:shd w:val="clear" w:color="auto" w:fill="D3EAFF"/>
            <w:vAlign w:val="top"/>
          </w:tcPr>
          <w:p>
            <w:pPr>
              <w:pStyle w:val="8"/>
              <w:spacing w:before="224" w:line="180" w:lineRule="auto"/>
              <w:jc w:val="center"/>
              <w:rPr>
                <w:sz w:val="19"/>
                <w:szCs w:val="19"/>
              </w:rPr>
            </w:pPr>
            <w:r>
              <w:rPr>
                <w:rFonts w:hint="eastAsia"/>
                <w:sz w:val="19"/>
                <w:szCs w:val="19"/>
                <w:lang w:val="en-US" w:eastAsia="zh-CN"/>
              </w:rPr>
              <w:t>英国1月DCLG房价指数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8"/>
              <w:spacing w:before="232"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20</w:t>
            </w:r>
          </w:p>
        </w:tc>
        <w:tc>
          <w:tcPr>
            <w:tcW w:w="1143" w:type="dxa"/>
            <w:vAlign w:val="top"/>
          </w:tcPr>
          <w:p>
            <w:pPr>
              <w:pStyle w:val="8"/>
              <w:spacing w:before="246" w:line="172" w:lineRule="auto"/>
              <w:ind w:left="94"/>
              <w:rPr>
                <w:sz w:val="19"/>
                <w:szCs w:val="19"/>
              </w:rPr>
            </w:pPr>
            <w:r>
              <w:rPr>
                <w:rFonts w:hint="eastAsia"/>
                <w:b/>
                <w:bCs/>
                <w:spacing w:val="6"/>
                <w:sz w:val="19"/>
                <w:szCs w:val="19"/>
                <w:lang w:val="en-US" w:eastAsia="zh-CN"/>
              </w:rPr>
              <w:t>18</w:t>
            </w:r>
            <w:r>
              <w:rPr>
                <w:b/>
                <w:bCs/>
                <w:spacing w:val="6"/>
                <w:sz w:val="19"/>
                <w:szCs w:val="19"/>
              </w:rPr>
              <w:t>:00</w:t>
            </w:r>
          </w:p>
        </w:tc>
        <w:tc>
          <w:tcPr>
            <w:tcW w:w="6679" w:type="dxa"/>
            <w:vAlign w:val="top"/>
          </w:tcPr>
          <w:p>
            <w:pPr>
              <w:pStyle w:val="8"/>
              <w:spacing w:before="225" w:line="179" w:lineRule="auto"/>
              <w:jc w:val="center"/>
              <w:rPr>
                <w:sz w:val="19"/>
                <w:szCs w:val="19"/>
              </w:rPr>
            </w:pPr>
            <w:r>
              <w:rPr>
                <w:sz w:val="19"/>
                <w:szCs w:val="19"/>
              </w:rPr>
              <w:t>欧元区1月建筑业产出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4"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20</w:t>
            </w:r>
          </w:p>
        </w:tc>
        <w:tc>
          <w:tcPr>
            <w:tcW w:w="1143" w:type="dxa"/>
            <w:shd w:val="clear" w:color="auto" w:fill="D3EAFF"/>
            <w:vAlign w:val="top"/>
          </w:tcPr>
          <w:p>
            <w:pPr>
              <w:pStyle w:val="8"/>
              <w:spacing w:before="248" w:line="172" w:lineRule="auto"/>
              <w:ind w:left="101"/>
              <w:rPr>
                <w:sz w:val="19"/>
                <w:szCs w:val="19"/>
              </w:rPr>
            </w:pPr>
            <w:r>
              <w:rPr>
                <w:b/>
                <w:bCs/>
                <w:spacing w:val="5"/>
                <w:sz w:val="19"/>
                <w:szCs w:val="19"/>
              </w:rPr>
              <w:t>1</w:t>
            </w:r>
            <w:r>
              <w:rPr>
                <w:rFonts w:hint="eastAsia"/>
                <w:b/>
                <w:bCs/>
                <w:spacing w:val="5"/>
                <w:sz w:val="19"/>
                <w:szCs w:val="19"/>
                <w:lang w:val="en-US" w:eastAsia="zh-CN"/>
              </w:rPr>
              <w:t>9</w:t>
            </w:r>
            <w:r>
              <w:rPr>
                <w:b/>
                <w:bCs/>
                <w:spacing w:val="5"/>
                <w:sz w:val="19"/>
                <w:szCs w:val="19"/>
              </w:rPr>
              <w:t>:00</w:t>
            </w:r>
          </w:p>
        </w:tc>
        <w:tc>
          <w:tcPr>
            <w:tcW w:w="6679" w:type="dxa"/>
            <w:shd w:val="clear" w:color="auto" w:fill="D3EAFF"/>
            <w:vAlign w:val="top"/>
          </w:tcPr>
          <w:p>
            <w:pPr>
              <w:pStyle w:val="8"/>
              <w:spacing w:before="228" w:line="179" w:lineRule="auto"/>
              <w:jc w:val="center"/>
              <w:rPr>
                <w:rFonts w:hint="default" w:eastAsia="微软雅黑"/>
                <w:sz w:val="19"/>
                <w:szCs w:val="19"/>
                <w:lang w:val="en-US" w:eastAsia="zh-CN"/>
              </w:rPr>
            </w:pPr>
            <w:r>
              <w:rPr>
                <w:rFonts w:hint="eastAsia"/>
                <w:sz w:val="19"/>
                <w:szCs w:val="19"/>
                <w:lang w:val="en-US" w:eastAsia="zh-CN"/>
              </w:rPr>
              <w:t>美国上周MBA30年期固定抵押贷款利率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8"/>
              <w:spacing w:before="234"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20</w:t>
            </w:r>
          </w:p>
        </w:tc>
        <w:tc>
          <w:tcPr>
            <w:tcW w:w="1143" w:type="dxa"/>
            <w:vAlign w:val="top"/>
          </w:tcPr>
          <w:p>
            <w:pPr>
              <w:pStyle w:val="8"/>
              <w:spacing w:before="248" w:line="172" w:lineRule="auto"/>
              <w:ind w:left="92"/>
              <w:rPr>
                <w:sz w:val="19"/>
                <w:szCs w:val="19"/>
              </w:rPr>
            </w:pPr>
            <w:r>
              <w:rPr>
                <w:b/>
                <w:bCs/>
                <w:spacing w:val="6"/>
                <w:sz w:val="19"/>
                <w:szCs w:val="19"/>
              </w:rPr>
              <w:t>2</w:t>
            </w:r>
            <w:r>
              <w:rPr>
                <w:rFonts w:hint="eastAsia"/>
                <w:b/>
                <w:bCs/>
                <w:spacing w:val="6"/>
                <w:sz w:val="19"/>
                <w:szCs w:val="19"/>
                <w:lang w:val="en-US" w:eastAsia="zh-CN"/>
              </w:rPr>
              <w:t>2</w:t>
            </w:r>
            <w:r>
              <w:rPr>
                <w:b/>
                <w:bCs/>
                <w:spacing w:val="6"/>
                <w:sz w:val="19"/>
                <w:szCs w:val="19"/>
              </w:rPr>
              <w:t>:30</w:t>
            </w:r>
          </w:p>
        </w:tc>
        <w:tc>
          <w:tcPr>
            <w:tcW w:w="6679" w:type="dxa"/>
            <w:vAlign w:val="top"/>
          </w:tcPr>
          <w:p>
            <w:pPr>
              <w:pStyle w:val="8"/>
              <w:spacing w:before="227" w:line="185" w:lineRule="auto"/>
              <w:jc w:val="center"/>
              <w:rPr>
                <w:rFonts w:hint="default" w:eastAsia="微软雅黑"/>
                <w:sz w:val="19"/>
                <w:szCs w:val="19"/>
                <w:lang w:val="en-US" w:eastAsia="zh-CN"/>
              </w:rPr>
            </w:pPr>
            <w:r>
              <w:rPr>
                <w:spacing w:val="21"/>
                <w:sz w:val="19"/>
                <w:szCs w:val="19"/>
              </w:rPr>
              <w:t>美国</w:t>
            </w:r>
            <w:r>
              <w:rPr>
                <w:rFonts w:hint="eastAsia"/>
                <w:spacing w:val="21"/>
                <w:sz w:val="19"/>
                <w:szCs w:val="19"/>
                <w:lang w:val="en-US" w:eastAsia="zh-CN"/>
              </w:rPr>
              <w:t>上周EIA原油库存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20</w:t>
            </w:r>
          </w:p>
        </w:tc>
        <w:tc>
          <w:tcPr>
            <w:tcW w:w="1143" w:type="dxa"/>
            <w:shd w:val="clear" w:color="auto" w:fill="D3EAFF"/>
            <w:vAlign w:val="top"/>
          </w:tcPr>
          <w:p>
            <w:pPr>
              <w:pStyle w:val="8"/>
              <w:spacing w:before="252" w:line="170" w:lineRule="auto"/>
              <w:ind w:left="101"/>
              <w:rPr>
                <w:rFonts w:hint="default" w:eastAsia="微软雅黑"/>
                <w:sz w:val="19"/>
                <w:szCs w:val="19"/>
                <w:lang w:val="en-US" w:eastAsia="zh-CN"/>
              </w:rPr>
            </w:pPr>
            <w:r>
              <w:rPr>
                <w:rFonts w:hint="eastAsia"/>
                <w:b/>
                <w:bCs/>
                <w:spacing w:val="5"/>
                <w:sz w:val="19"/>
                <w:szCs w:val="19"/>
                <w:lang w:val="en-US" w:eastAsia="zh-CN"/>
              </w:rPr>
              <w:t>23</w:t>
            </w:r>
            <w:r>
              <w:rPr>
                <w:b/>
                <w:bCs/>
                <w:spacing w:val="5"/>
                <w:sz w:val="19"/>
                <w:szCs w:val="19"/>
              </w:rPr>
              <w:t>:</w:t>
            </w:r>
            <w:r>
              <w:rPr>
                <w:rFonts w:hint="eastAsia"/>
                <w:b/>
                <w:bCs/>
                <w:spacing w:val="5"/>
                <w:sz w:val="19"/>
                <w:szCs w:val="19"/>
                <w:lang w:val="en-US" w:eastAsia="zh-CN"/>
              </w:rPr>
              <w:t>00</w:t>
            </w:r>
          </w:p>
        </w:tc>
        <w:tc>
          <w:tcPr>
            <w:tcW w:w="6679" w:type="dxa"/>
            <w:shd w:val="clear" w:color="auto" w:fill="D3EAFF"/>
            <w:vAlign w:val="top"/>
          </w:tcPr>
          <w:p>
            <w:pPr>
              <w:pStyle w:val="8"/>
              <w:spacing w:before="229" w:line="179" w:lineRule="auto"/>
              <w:jc w:val="center"/>
              <w:rPr>
                <w:rFonts w:hint="default" w:eastAsia="微软雅黑"/>
                <w:sz w:val="19"/>
                <w:szCs w:val="19"/>
                <w:lang w:val="en-US" w:eastAsia="zh-CN"/>
              </w:rPr>
            </w:pPr>
            <w:r>
              <w:rPr>
                <w:rFonts w:hint="eastAsia"/>
                <w:spacing w:val="32"/>
                <w:sz w:val="19"/>
                <w:szCs w:val="19"/>
                <w:lang w:val="en-US" w:eastAsia="zh-CN"/>
              </w:rPr>
              <w:t>欧元区3月消费者信心指数初值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2024/3/</w:t>
            </w:r>
            <w:r>
              <w:rPr>
                <w:rFonts w:hint="eastAsia"/>
                <w:b/>
                <w:bCs/>
                <w:spacing w:val="3"/>
                <w:sz w:val="19"/>
                <w:szCs w:val="19"/>
                <w:lang w:val="en-US" w:eastAsia="zh-CN"/>
              </w:rPr>
              <w:t>20</w:t>
            </w:r>
          </w:p>
        </w:tc>
        <w:tc>
          <w:tcPr>
            <w:tcW w:w="1143" w:type="dxa"/>
            <w:shd w:val="clear" w:color="auto" w:fill="D3EAFF"/>
            <w:vAlign w:val="top"/>
          </w:tcPr>
          <w:p>
            <w:pPr>
              <w:pStyle w:val="8"/>
              <w:spacing w:before="252" w:line="170" w:lineRule="auto"/>
              <w:ind w:left="101" w:leftChars="0"/>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23</w:t>
            </w:r>
            <w:r>
              <w:rPr>
                <w:b/>
                <w:bCs/>
                <w:spacing w:val="5"/>
                <w:sz w:val="19"/>
                <w:szCs w:val="19"/>
              </w:rPr>
              <w:t>:</w:t>
            </w:r>
            <w:r>
              <w:rPr>
                <w:rFonts w:hint="eastAsia"/>
                <w:b/>
                <w:bCs/>
                <w:spacing w:val="5"/>
                <w:sz w:val="19"/>
                <w:szCs w:val="19"/>
                <w:lang w:val="en-US" w:eastAsia="zh-CN"/>
              </w:rPr>
              <w:t>30</w:t>
            </w:r>
          </w:p>
        </w:tc>
        <w:tc>
          <w:tcPr>
            <w:tcW w:w="6679" w:type="dxa"/>
            <w:shd w:val="clear" w:color="auto" w:fill="D3EAFF"/>
            <w:vAlign w:val="top"/>
          </w:tcPr>
          <w:p>
            <w:pPr>
              <w:pStyle w:val="8"/>
              <w:spacing w:before="229" w:line="179" w:lineRule="auto"/>
              <w:jc w:val="center"/>
              <w:rPr>
                <w:rFonts w:hint="default"/>
                <w:spacing w:val="32"/>
                <w:sz w:val="19"/>
                <w:szCs w:val="19"/>
                <w:lang w:val="en-US" w:eastAsia="zh-CN"/>
              </w:rPr>
            </w:pPr>
            <w:r>
              <w:rPr>
                <w:rFonts w:hint="eastAsia"/>
                <w:spacing w:val="32"/>
                <w:sz w:val="19"/>
                <w:szCs w:val="19"/>
                <w:lang w:val="en-US" w:eastAsia="zh-CN"/>
              </w:rPr>
              <w:t>美国4个月国债竞拍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jc w:val="center"/>
              <w:rPr>
                <w:rFonts w:hint="eastAsia" w:eastAsia="微软雅黑"/>
                <w:b/>
                <w:bCs/>
                <w:spacing w:val="3"/>
                <w:sz w:val="19"/>
                <w:szCs w:val="19"/>
                <w:lang w:val="en-US" w:eastAsia="zh-CN"/>
              </w:rPr>
            </w:pPr>
            <w:r>
              <w:rPr>
                <w:rFonts w:hint="eastAsia"/>
                <w:b/>
                <w:bCs/>
                <w:spacing w:val="3"/>
                <w:sz w:val="19"/>
                <w:szCs w:val="19"/>
                <w:lang w:val="en-US" w:eastAsia="zh-CN"/>
              </w:rPr>
              <w:t>次日</w:t>
            </w:r>
          </w:p>
        </w:tc>
        <w:tc>
          <w:tcPr>
            <w:tcW w:w="1143" w:type="dxa"/>
            <w:shd w:val="clear" w:color="auto" w:fill="D3EAFF"/>
            <w:vAlign w:val="top"/>
          </w:tcPr>
          <w:p>
            <w:pPr>
              <w:pStyle w:val="8"/>
              <w:spacing w:before="252" w:line="170" w:lineRule="auto"/>
              <w:ind w:left="101" w:leftChars="0"/>
              <w:rPr>
                <w:rFonts w:hint="default"/>
                <w:b/>
                <w:bCs/>
                <w:spacing w:val="5"/>
                <w:sz w:val="19"/>
                <w:szCs w:val="19"/>
                <w:lang w:val="en-US" w:eastAsia="zh-CN"/>
              </w:rPr>
            </w:pPr>
            <w:r>
              <w:rPr>
                <w:rFonts w:hint="eastAsia"/>
                <w:b/>
                <w:bCs/>
                <w:spacing w:val="5"/>
                <w:sz w:val="19"/>
                <w:szCs w:val="19"/>
                <w:lang w:val="en-US" w:eastAsia="zh-CN"/>
              </w:rPr>
              <w:t>5：45</w:t>
            </w:r>
          </w:p>
        </w:tc>
        <w:tc>
          <w:tcPr>
            <w:tcW w:w="6679" w:type="dxa"/>
            <w:shd w:val="clear" w:color="auto" w:fill="D3EAFF"/>
            <w:vAlign w:val="top"/>
          </w:tcPr>
          <w:p>
            <w:pPr>
              <w:pStyle w:val="8"/>
              <w:spacing w:before="229" w:line="179" w:lineRule="auto"/>
              <w:jc w:val="center"/>
              <w:rPr>
                <w:rFonts w:hint="default"/>
                <w:spacing w:val="32"/>
                <w:sz w:val="19"/>
                <w:szCs w:val="19"/>
                <w:lang w:val="en-US" w:eastAsia="zh-CN"/>
              </w:rPr>
            </w:pPr>
            <w:r>
              <w:rPr>
                <w:rFonts w:hint="eastAsia"/>
                <w:spacing w:val="32"/>
                <w:sz w:val="19"/>
                <w:szCs w:val="19"/>
                <w:lang w:val="en-US" w:eastAsia="zh-CN"/>
              </w:rPr>
              <w:t>新西兰2023年第四季度GDP</w:t>
            </w:r>
          </w:p>
        </w:tc>
      </w:tr>
    </w:tbl>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20" w:line="190" w:lineRule="auto"/>
        <w:rPr>
          <w:rFonts w:hint="eastAsia" w:ascii="微软雅黑" w:hAnsi="微软雅黑" w:eastAsia="微软雅黑" w:cs="微软雅黑"/>
          <w:b/>
          <w:bCs/>
          <w:spacing w:val="12"/>
          <w:sz w:val="24"/>
          <w:szCs w:val="24"/>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周三美元指数涨0.22%报103.8142，非美货币全线下跌，欧元兑美元跌0.06%报1.0866，英镑兑美元跌0.11%报1.272，澳元兑美元跌0.42%报0.6532，美元兑日元涨1.14%报150.8595。美国2月新屋开工总数年化152.1万户，预期142.5万户，前值133.1万户；环比上升10.7%，预期升8.2%，前值降14.8%，整体地产产业经济活跃度超预期走强，或不利后继经济放缓。欧元区3月ZEW经济景气指数升至33.5，创2022年2月以来新高，同时四季度劳动力成本同比上升3.40%，前值5.3%，欧元区薪资增幅或进一步给予核心通胀一定支撑，欧洲央行或不得不延长高利率水平的维持周期长度。往后看，短期内美国经济数据维持韧性，美国与非美国家利差或维持于高位，美元指数或仍将得到一定支撑。</w:t>
      </w:r>
    </w:p>
    <w:p>
      <w:pPr>
        <w:spacing w:before="103" w:line="256" w:lineRule="auto"/>
        <w:ind w:right="743"/>
        <w:jc w:val="center"/>
        <w:rPr>
          <w:rFonts w:hint="eastAsia" w:ascii="微软雅黑" w:hAnsi="微软雅黑" w:eastAsia="微软雅黑" w:cs="微软雅黑"/>
          <w:spacing w:val="12"/>
          <w:sz w:val="24"/>
          <w:szCs w:val="24"/>
        </w:rPr>
      </w:pPr>
      <w:r>
        <w:drawing>
          <wp:inline distT="0" distB="0" distL="114300" distR="114300">
            <wp:extent cx="5760085" cy="2160270"/>
            <wp:effectExtent l="0" t="0" r="1206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760085" cy="2160270"/>
                    </a:xfrm>
                    <a:prstGeom prst="rect">
                      <a:avLst/>
                    </a:prstGeom>
                    <a:noFill/>
                    <a:ln>
                      <a:noFill/>
                    </a:ln>
                  </pic:spPr>
                </pic:pic>
              </a:graphicData>
            </a:graphic>
          </wp:inline>
        </w:drawing>
      </w:r>
    </w:p>
    <w:p>
      <w:pPr>
        <w:spacing w:before="235" w:line="176" w:lineRule="auto"/>
        <w:ind w:firstLine="224" w:firstLineChars="1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欧元兑美元主力合约走势图</w:t>
      </w:r>
    </w:p>
    <w:p>
      <w:pPr>
        <w:spacing w:before="235" w:line="176" w:lineRule="auto"/>
        <w:ind w:firstLine="224" w:firstLineChars="100"/>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pPr>
      <w:r>
        <w:rPr>
          <w:rFonts w:hint="eastAsia" w:ascii="微软雅黑" w:hAnsi="微软雅黑" w:eastAsia="微软雅黑" w:cs="微软雅黑"/>
          <w:spacing w:val="12"/>
          <w:sz w:val="24"/>
          <w:szCs w:val="24"/>
        </w:rPr>
        <w:t>截至3月20日，标普500指数收涨0.56%至5178.51点；迷你标普500主力合约收涨0.48%至5239.5点。美股周二收高，标普500指数创收盘历史新高。美联储正在召开为期两天的货币政策会议，周三公布结果。市场普遍预计美联储将按兵不动。日本央行结束了长期实行的负利率政策，时隔17年首次加息。策略上，逢低试多。详细支撑阻力位请见图表</w:t>
      </w:r>
      <w:r>
        <w:rPr>
          <w:rFonts w:hint="eastAsia" w:ascii="微软雅黑" w:hAnsi="微软雅黑" w:eastAsia="微软雅黑" w:cs="微软雅黑"/>
          <w:spacing w:val="12"/>
          <w:sz w:val="24"/>
          <w:szCs w:val="24"/>
          <w:lang w:val="en-US" w:eastAsia="zh-CN"/>
        </w:rPr>
        <w:t>3</w:t>
      </w:r>
      <w:r>
        <w:rPr>
          <w:rFonts w:hint="eastAsia" w:ascii="微软雅黑" w:hAnsi="微软雅黑" w:eastAsia="微软雅黑" w:cs="微软雅黑"/>
          <w:spacing w:val="12"/>
          <w:sz w:val="24"/>
          <w:szCs w:val="24"/>
        </w:rPr>
        <w:t>。</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5860415" cy="1974850"/>
            <wp:effectExtent l="0" t="0" r="698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860415" cy="1974850"/>
                    </a:xfrm>
                    <a:prstGeom prst="rect">
                      <a:avLst/>
                    </a:prstGeom>
                  </pic:spPr>
                </pic:pic>
              </a:graphicData>
            </a:graphic>
          </wp:inline>
        </w:drawing>
      </w:r>
    </w:p>
    <w:p>
      <w:pPr>
        <w:spacing w:before="235" w:line="176"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3月19日，富时中国A50指数收跌0.35%至12147.10点；新交所富时A50期指主力合约收跌0.34%至12153点。短期市场聚焦的重点可能转向经济基本面改善情况。本周海外信息面影响性放大，在美通胀超预期情况下预计本周美联储议息会议中维持鹰派的概率较高，市场交易降息预期降温的可能性较高，风险资产波动幅度可能性加大，因此要关注到本周外围对A股影响幅度会加大。策略上，短线观望为</w:t>
      </w:r>
      <w:r>
        <w:rPr>
          <w:rFonts w:hint="eastAsia" w:ascii="微软雅黑" w:hAnsi="微软雅黑" w:eastAsia="微软雅黑" w:cs="微软雅黑"/>
          <w:spacing w:val="12"/>
          <w:sz w:val="24"/>
          <w:szCs w:val="24"/>
          <w:lang w:val="en-US" w:eastAsia="zh-CN"/>
        </w:rPr>
        <w:t>主。</w:t>
      </w:r>
      <w:r>
        <w:rPr>
          <w:rFonts w:hint="eastAsia" w:ascii="微软雅黑" w:hAnsi="微软雅黑" w:eastAsia="微软雅黑" w:cs="微软雅黑"/>
          <w:spacing w:val="12"/>
          <w:sz w:val="24"/>
          <w:szCs w:val="24"/>
        </w:rPr>
        <w:t>详细支撑阻力位请见图表4。</w:t>
      </w:r>
    </w:p>
    <w:p>
      <w:pPr>
        <w:spacing w:before="103" w:line="256" w:lineRule="auto"/>
        <w:ind w:right="743"/>
        <w:jc w:val="center"/>
        <w:rPr>
          <w:rFonts w:ascii="新宋体" w:hAnsi="新宋体" w:eastAsia="新宋体"/>
        </w:rPr>
      </w:pPr>
      <w:r>
        <w:rPr>
          <w:rFonts w:ascii="新宋体" w:hAnsi="新宋体" w:eastAsia="新宋体"/>
        </w:rPr>
        <w:drawing>
          <wp:inline distT="0" distB="0" distL="0" distR="0">
            <wp:extent cx="5843270" cy="1969770"/>
            <wp:effectExtent l="0" t="0" r="508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843270" cy="1969770"/>
                    </a:xfrm>
                    <a:prstGeom prst="rect">
                      <a:avLst/>
                    </a:prstGeom>
                  </pic:spPr>
                </pic:pic>
              </a:graphicData>
            </a:graphic>
          </wp:inline>
        </w:drawing>
      </w:r>
    </w:p>
    <w:p>
      <w:pPr>
        <w:spacing w:before="235" w:line="176" w:lineRule="auto"/>
        <w:ind w:firstLine="224" w:firstLineChars="1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：富时中国A50指数</w:t>
      </w:r>
      <w:r>
        <w:rPr>
          <w:rFonts w:hint="eastAsia" w:ascii="微软雅黑" w:hAnsi="微软雅黑" w:eastAsia="微软雅黑" w:cs="微软雅黑"/>
          <w:spacing w:val="7"/>
          <w:sz w:val="21"/>
          <w:szCs w:val="21"/>
          <w:lang w:val="en-US" w:eastAsia="zh-CN"/>
        </w:rPr>
        <w:t>走势图</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隔夜美元指数震荡偏强，交投于103.81。基准10年期美债收益率收报4.2910</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对美联储政策利率最敏感的2年期美债收益率收报4.6970%。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库存方面：截至3月19日，LME铜库存为106700吨，环比-125吨。3月15日当周，上海期货交易所阴极铜库存为286395吨，周环比+ 47150吨。</w:t>
      </w:r>
    </w:p>
    <w:p>
      <w:pPr>
        <w:spacing w:before="103" w:line="256" w:lineRule="auto"/>
        <w:ind w:left="3" w:right="743" w:firstLine="535"/>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rPr>
        <w:t>外盘持仓方面：根据CFTC公布的最新数据显示，截止至3月5日当周，非商业多头持仓87439手，空头为82012手，净空持仓为5427手，较上周净多增加10754手</w:t>
      </w:r>
      <w:r>
        <w:rPr>
          <w:rFonts w:hint="eastAsia" w:ascii="微软雅黑" w:hAnsi="微软雅黑" w:eastAsia="微软雅黑" w:cs="微软雅黑"/>
          <w:spacing w:val="12"/>
          <w:sz w:val="24"/>
          <w:szCs w:val="24"/>
          <w:lang w:eastAsia="zh-CN"/>
        </w:rPr>
        <w:t>。</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隔夜COMEX铜震荡偏弱，其中2405合约报收4.069美元/磅，涨跌幅-1.48%。国际方面，“美联储传声筒”放风：美联储正在等待降息，官员们本周不会把衰退风险放在首位。这种风险可能会推动其在今年剩余时间选择降息。美国经济数据表明通胀粘性顽固，降息预期受打压。国内方面，国家统计局：我国经济的基本面持续向好，推动经济回升向好的积极因素在累积增强，加上宏观政策的持续发力显效</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实现5%左右的经济增长预期目标是有条件有支撑的，也是经过努力可以实现的。铜矿端供应偏紧在TC/RC费用持续走软的带动下表现更为明显，需求方面，4月即将迎来今年国内的第一波冶炼厂集中检修期，冶炼厂有提前备库需求。现货供给端减产预期提升，需求预期转好。操作上，建议COMEX铜2405合约轻仓逢低短多交易</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注意交易节奏及风险控制。</w:t>
      </w:r>
    </w:p>
    <w:p>
      <w:pPr>
        <w:spacing w:before="103" w:line="256" w:lineRule="auto"/>
        <w:ind w:right="743"/>
        <w:jc w:val="center"/>
      </w:pPr>
      <w:r>
        <w:drawing>
          <wp:inline distT="0" distB="0" distL="0" distR="0">
            <wp:extent cx="5622290" cy="1786890"/>
            <wp:effectExtent l="0" t="0" r="1651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622290" cy="1786890"/>
                    </a:xfrm>
                    <a:prstGeom prst="rect">
                      <a:avLst/>
                    </a:prstGeom>
                  </pic:spPr>
                </pic:pic>
              </a:graphicData>
            </a:graphic>
          </wp:inline>
        </w:drawing>
      </w:r>
    </w:p>
    <w:p>
      <w:pPr>
        <w:spacing w:before="235" w:line="176" w:lineRule="auto"/>
        <w:ind w:firstLine="224" w:firstLineChars="1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COMEX铜日线走势图</w:t>
      </w: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消息面：美国2月新屋开工总数年化152.1万户，预期142.5万户，前值133.1万户；环比上升10.7%，预期升8.2%，前值降14.8%，整体地产产业经济活跃度超预期走强，或不利后继经济放缓。欧元区3月ZEW经济景气指数升至33.5，创2022年2月以来新高，同时四季度劳动力成本同比上升3.40%，前值5.3%，欧元区薪资增幅或进一步给予核心通胀一定支撑，欧洲央行或不得不延长高利率水平的维持周期长。</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外盘持仓方面：截至</w:t>
      </w:r>
      <w:r>
        <w:rPr>
          <w:rFonts w:hint="eastAsia" w:ascii="微软雅黑" w:hAnsi="微软雅黑" w:eastAsia="微软雅黑" w:cs="微软雅黑"/>
          <w:spacing w:val="12"/>
          <w:sz w:val="24"/>
          <w:szCs w:val="24"/>
          <w:lang w:val="en-US" w:eastAsia="zh-CN"/>
        </w:rPr>
        <w:t>3</w:t>
      </w:r>
      <w:r>
        <w:rPr>
          <w:rFonts w:hint="eastAsia" w:ascii="微软雅黑" w:hAnsi="微软雅黑" w:eastAsia="微软雅黑" w:cs="微软雅黑"/>
          <w:spacing w:val="12"/>
          <w:sz w:val="24"/>
          <w:szCs w:val="24"/>
        </w:rPr>
        <w:t>月</w:t>
      </w:r>
      <w:r>
        <w:rPr>
          <w:rFonts w:hint="eastAsia" w:ascii="微软雅黑" w:hAnsi="微软雅黑" w:eastAsia="微软雅黑" w:cs="微软雅黑"/>
          <w:spacing w:val="12"/>
          <w:sz w:val="24"/>
          <w:szCs w:val="24"/>
          <w:lang w:val="en-US" w:eastAsia="zh-CN"/>
        </w:rPr>
        <w:t>18</w:t>
      </w:r>
      <w:r>
        <w:rPr>
          <w:rFonts w:hint="eastAsia" w:ascii="微软雅黑" w:hAnsi="微软雅黑" w:eastAsia="微软雅黑" w:cs="微软雅黑"/>
          <w:spacing w:val="12"/>
          <w:sz w:val="24"/>
          <w:szCs w:val="24"/>
        </w:rPr>
        <w:t>日，SPDR Gold Trust黄金ETF持仓量为</w:t>
      </w:r>
      <w:r>
        <w:rPr>
          <w:rFonts w:hint="eastAsia" w:ascii="微软雅黑" w:hAnsi="微软雅黑" w:eastAsia="微软雅黑" w:cs="微软雅黑"/>
          <w:spacing w:val="12"/>
          <w:sz w:val="24"/>
          <w:szCs w:val="24"/>
          <w:lang w:val="en-US" w:eastAsia="zh-CN"/>
        </w:rPr>
        <w:t>837.35</w:t>
      </w:r>
      <w:r>
        <w:rPr>
          <w:rFonts w:hint="eastAsia" w:ascii="微软雅黑" w:hAnsi="微软雅黑" w:eastAsia="微软雅黑" w:cs="微软雅黑"/>
          <w:spacing w:val="12"/>
          <w:sz w:val="24"/>
          <w:szCs w:val="24"/>
        </w:rPr>
        <w:t>吨</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lang w:val="en-US" w:eastAsia="zh-CN"/>
        </w:rPr>
        <w:t>较</w:t>
      </w:r>
      <w:r>
        <w:rPr>
          <w:rFonts w:hint="eastAsia" w:ascii="微软雅黑" w:hAnsi="微软雅黑" w:eastAsia="微软雅黑" w:cs="微软雅黑"/>
          <w:spacing w:val="12"/>
          <w:sz w:val="24"/>
          <w:szCs w:val="24"/>
        </w:rPr>
        <w:t>上一交易</w:t>
      </w:r>
      <w:r>
        <w:rPr>
          <w:rFonts w:hint="eastAsia" w:ascii="微软雅黑" w:hAnsi="微软雅黑" w:eastAsia="微软雅黑" w:cs="微软雅黑"/>
          <w:spacing w:val="12"/>
          <w:sz w:val="24"/>
          <w:szCs w:val="24"/>
          <w:lang w:val="en-US" w:eastAsia="zh-CN"/>
        </w:rPr>
        <w:t>日上涨4.03吨</w:t>
      </w:r>
      <w:r>
        <w:rPr>
          <w:rFonts w:hint="eastAsia" w:ascii="微软雅黑" w:hAnsi="微软雅黑" w:eastAsia="微软雅黑" w:cs="微软雅黑"/>
          <w:spacing w:val="12"/>
          <w:sz w:val="24"/>
          <w:szCs w:val="24"/>
        </w:rPr>
        <w:t>。</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往后看，短期内市场在经济数据持续走强的情况下或提高美国利率预期，美国与非美国家利差保持较高水平或持续给予美元指数一定支撑，同时美国国债需求在缩表进程持续的状况下或难以在短期内显著增加，国债收益率或持续上修，贵金属价格或将相对承压。</w:t>
      </w:r>
    </w:p>
    <w:p>
      <w:pPr>
        <w:spacing w:before="103" w:line="256" w:lineRule="auto"/>
        <w:ind w:right="743"/>
        <w:jc w:val="center"/>
      </w:pPr>
      <w:r>
        <w:drawing>
          <wp:inline distT="0" distB="0" distL="114300" distR="114300">
            <wp:extent cx="5741670" cy="2224405"/>
            <wp:effectExtent l="0" t="0" r="1143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741670" cy="2224405"/>
                    </a:xfrm>
                    <a:prstGeom prst="rect">
                      <a:avLst/>
                    </a:prstGeom>
                    <a:noFill/>
                    <a:ln>
                      <a:noFill/>
                    </a:ln>
                  </pic:spPr>
                </pic:pic>
              </a:graphicData>
            </a:graphic>
          </wp:inline>
        </w:drawing>
      </w:r>
    </w:p>
    <w:p>
      <w:pPr>
        <w:spacing w:before="235" w:line="176" w:lineRule="auto"/>
        <w:ind w:firstLine="224" w:firstLineChars="1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7"/>
          <w:sz w:val="21"/>
          <w:szCs w:val="21"/>
          <w:lang w:val="en-US"/>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lang w:val="en-US" w:eastAsia="zh-CN"/>
        </w:rPr>
        <w:t>今</w:t>
      </w:r>
      <w:r>
        <w:rPr>
          <w:rFonts w:hint="eastAsia" w:ascii="微软雅黑" w:hAnsi="微软雅黑" w:eastAsia="微软雅黑" w:cs="微软雅黑"/>
          <w:spacing w:val="12"/>
          <w:sz w:val="24"/>
          <w:szCs w:val="24"/>
        </w:rPr>
        <w:t>年乌克兰加大了对俄罗斯原油基础设施的攻击力度，仅本月就有至少七家俄罗斯炼油厂成为无人机袭击目标。这可能导致俄罗斯炼油能力下降7%，即370,500桶/日。</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斯通艾克斯公司的分析师阿历克斯霍德斯表示，虽然炼油活动减少导致俄罗斯原油出口增加，但是由于储存空间方面的限制，也可能导致俄罗斯减少原油产量。他估计乌克兰对俄罗斯炼油厂的袭击可能导致全球原油供应量减少约35万桶/日，并因此推动美国原油价格上涨3美元/桶。</w:t>
      </w:r>
    </w:p>
    <w:p>
      <w:pPr>
        <w:spacing w:before="103" w:line="256" w:lineRule="auto"/>
        <w:ind w:right="743" w:firstLine="528" w:firstLineChars="200"/>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rPr>
        <w:t>瑞典北欧斯安银行（SEB）分析师比亚内?希尔德罗普周一表示，即使袭击不会导致俄罗斯原油供应直接受损，成品油利润飙升仍会对油价构成比价支持。</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沙特和伊拉克原油出口下降，而中国和美国需求强劲，也为油价提供了支撑。</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美国商务部报告称，二月份美国单户住宅建设大幅反弹。住宅建设可以促进经济增长，支撑石油需求。</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瑞银分析师表示，原油需求数据令人惊讶，加上欧佩克联盟自愿减产期限延长至6月底，均为油价上涨提供支撑。他估计原油价格将在6月底达到86美元</w:t>
      </w:r>
      <w:r>
        <w:rPr>
          <w:rFonts w:hint="eastAsia" w:ascii="微软雅黑" w:hAnsi="微软雅黑" w:eastAsia="微软雅黑" w:cs="微软雅黑"/>
          <w:spacing w:val="12"/>
          <w:sz w:val="24"/>
          <w:szCs w:val="24"/>
          <w:lang w:eastAsia="zh-CN"/>
        </w:rPr>
        <w:t>。</w:t>
      </w:r>
    </w:p>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纽约商品期货交易所（NYMEX）的西德克萨斯中质原油（WTI）5月合约较上一交易日上涨0.57美元或0.69%，报82.73美元/桶，短期呈现震荡上涨走势。支撑位：80；压力位：83.8。</w:t>
      </w:r>
    </w:p>
    <w:p>
      <w:pPr>
        <w:spacing w:before="103" w:line="256" w:lineRule="auto"/>
        <w:ind w:right="743"/>
        <w:jc w:val="center"/>
      </w:pPr>
      <w:r>
        <w:rPr>
          <w:rFonts w:hint="eastAsia" w:eastAsia="宋体"/>
          <w:lang w:val="en-US" w:eastAsia="zh-CN"/>
        </w:rPr>
        <w:t>6</w:t>
      </w:r>
      <w:bookmarkStart w:id="2" w:name="_GoBack"/>
      <w:r>
        <w:drawing>
          <wp:inline distT="0" distB="0" distL="0" distR="0">
            <wp:extent cx="5685155" cy="2688590"/>
            <wp:effectExtent l="0" t="0" r="10795"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685155" cy="2688590"/>
                    </a:xfrm>
                    <a:prstGeom prst="rect">
                      <a:avLst/>
                    </a:prstGeom>
                  </pic:spPr>
                </pic:pic>
              </a:graphicData>
            </a:graphic>
          </wp:inline>
        </w:drawing>
      </w:r>
      <w:bookmarkEnd w:id="2"/>
    </w:p>
    <w:p>
      <w:pPr>
        <w:spacing w:before="235" w:line="176" w:lineRule="auto"/>
        <w:ind w:firstLine="224" w:firstLineChars="100"/>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图7：原油（WTI）</w:t>
      </w:r>
    </w:p>
    <w:p>
      <w:pPr>
        <w:spacing w:before="103" w:line="256" w:lineRule="auto"/>
        <w:ind w:right="743" w:firstLine="420" w:firstLineChars="200"/>
        <w:jc w:val="both"/>
        <w:rPr>
          <w:rFonts w:hint="eastAsia"/>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bookmarkStart w:id="0" w:name="OLE_LINK3"/>
      <w:bookmarkStart w:id="1" w:name="OLE_LINK4"/>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洲际期货交易所（ICE）原糖期货周一收高，受巴西未来产量下降担忧支撑。交投最活跃的ICE 5月原糖期货合约收盘收涨0.04美分或0.20%，结算价每磅22.16美分</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操作上，建议5月 ICE 原糖短期暂且观望。</w:t>
      </w:r>
    </w:p>
    <w:p>
      <w:pPr>
        <w:spacing w:before="103" w:line="256" w:lineRule="auto"/>
        <w:ind w:right="743"/>
        <w:jc w:val="center"/>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lang w:eastAsia="zh-CN"/>
        </w:rPr>
        <w:drawing>
          <wp:inline distT="0" distB="0" distL="114300" distR="114300">
            <wp:extent cx="5796915" cy="2125345"/>
            <wp:effectExtent l="0" t="0" r="13335" b="8255"/>
            <wp:docPr id="17" name="图片 17" descr="889fceff422f6fa704972cb7c01b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89fceff422f6fa704972cb7c01b319"/>
                    <pic:cNvPicPr>
                      <a:picLocks noChangeAspect="1"/>
                    </pic:cNvPicPr>
                  </pic:nvPicPr>
                  <pic:blipFill>
                    <a:blip r:embed="rId20"/>
                    <a:stretch>
                      <a:fillRect/>
                    </a:stretch>
                  </pic:blipFill>
                  <pic:spPr>
                    <a:xfrm>
                      <a:off x="0" y="0"/>
                      <a:ext cx="5796915" cy="2125345"/>
                    </a:xfrm>
                    <a:prstGeom prst="rect">
                      <a:avLst/>
                    </a:prstGeom>
                  </pic:spPr>
                </pic:pic>
              </a:graphicData>
            </a:graphic>
          </wp:inline>
        </w:drawing>
      </w:r>
    </w:p>
    <w:p>
      <w:pPr>
        <w:spacing w:before="235" w:line="176" w:lineRule="auto"/>
        <w:ind w:firstLine="224" w:firstLineChars="1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w:t>
      </w:r>
      <w:r>
        <w:rPr>
          <w:rFonts w:hint="eastAsia" w:ascii="微软雅黑" w:hAnsi="微软雅黑" w:eastAsia="微软雅黑" w:cs="微软雅黑"/>
          <w:spacing w:val="7"/>
          <w:sz w:val="21"/>
          <w:szCs w:val="21"/>
          <w:lang w:val="zh-CN" w:eastAsia="zh-CN"/>
        </w:rPr>
        <w:t>原糖期货主力合约日走势图及支撑位、阻力位</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b/>
          <w:bCs/>
          <w:spacing w:val="12"/>
          <w:sz w:val="24"/>
          <w:szCs w:val="24"/>
          <w:lang w:val="en-US" w:eastAsia="zh-CN"/>
        </w:rPr>
        <w:t>ICE棉花</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洲际交易所(ICE)棉花期货周一上涨，受来自最大消费国中国强劲的工业生产和零售数据提振。交投最活跃的ICE 5月期棉收涨0.63美分或0.70%，结算价报94.57美分/磅。操作上，建议5月 ICE 期棉短期暂且观望为宜。</w:t>
      </w:r>
    </w:p>
    <w:p>
      <w:pPr>
        <w:spacing w:before="103" w:line="256" w:lineRule="auto"/>
        <w:ind w:right="743"/>
        <w:jc w:val="center"/>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drawing>
          <wp:inline distT="0" distB="0" distL="114300" distR="114300">
            <wp:extent cx="5859145" cy="1935480"/>
            <wp:effectExtent l="0" t="0" r="8255" b="7620"/>
            <wp:docPr id="18" name="图片 18" descr="cf417c9e58af58c5976abd806206f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f417c9e58af58c5976abd806206ffb"/>
                    <pic:cNvPicPr>
                      <a:picLocks noChangeAspect="1"/>
                    </pic:cNvPicPr>
                  </pic:nvPicPr>
                  <pic:blipFill>
                    <a:blip r:embed="rId21"/>
                    <a:stretch>
                      <a:fillRect/>
                    </a:stretch>
                  </pic:blipFill>
                  <pic:spPr>
                    <a:xfrm>
                      <a:off x="0" y="0"/>
                      <a:ext cx="5859145" cy="1935480"/>
                    </a:xfrm>
                    <a:prstGeom prst="rect">
                      <a:avLst/>
                    </a:prstGeom>
                  </pic:spPr>
                </pic:pic>
              </a:graphicData>
            </a:graphic>
          </wp:inline>
        </w:drawing>
      </w:r>
    </w:p>
    <w:p>
      <w:pPr>
        <w:spacing w:before="235" w:line="176" w:lineRule="auto"/>
        <w:ind w:firstLine="224" w:firstLineChars="100"/>
        <w:jc w:val="both"/>
      </w:pPr>
      <w:r>
        <w:rPr>
          <w:rFonts w:hint="eastAsia" w:ascii="微软雅黑" w:hAnsi="微软雅黑" w:eastAsia="微软雅黑" w:cs="微软雅黑"/>
          <w:spacing w:val="7"/>
          <w:sz w:val="21"/>
          <w:szCs w:val="21"/>
          <w:lang w:val="zh-CN" w:eastAsia="zh-CN"/>
        </w:rPr>
        <w:t>图9：ICE棉花期货主力合约日走势图及支撑位、阻力位</w:t>
      </w: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7" w:type="default"/>
          <w:footerReference r:id="rId8"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Bold">
    <w:altName w:val="黑体"/>
    <w:panose1 w:val="020B0800000000000000"/>
    <w:charset w:val="86"/>
    <w:family w:val="auto"/>
    <w:pitch w:val="default"/>
    <w:sig w:usb0="00000000" w:usb1="00000000" w:usb2="00000016" w:usb3="00000000" w:csb0="60060107"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11E3D92"/>
    <w:rsid w:val="018F67B1"/>
    <w:rsid w:val="02A97FD3"/>
    <w:rsid w:val="02BC7D06"/>
    <w:rsid w:val="033C0E47"/>
    <w:rsid w:val="04405814"/>
    <w:rsid w:val="04CD0E7B"/>
    <w:rsid w:val="04E43544"/>
    <w:rsid w:val="04E55250"/>
    <w:rsid w:val="056D52E8"/>
    <w:rsid w:val="06D860E7"/>
    <w:rsid w:val="07F5280A"/>
    <w:rsid w:val="09174F67"/>
    <w:rsid w:val="093E76C7"/>
    <w:rsid w:val="0A1470E4"/>
    <w:rsid w:val="0A533A62"/>
    <w:rsid w:val="0A7D5FCD"/>
    <w:rsid w:val="0A9B3267"/>
    <w:rsid w:val="0AA82AC5"/>
    <w:rsid w:val="0ABF0394"/>
    <w:rsid w:val="0B775713"/>
    <w:rsid w:val="0BA87886"/>
    <w:rsid w:val="0D766D04"/>
    <w:rsid w:val="0EC40C69"/>
    <w:rsid w:val="0F425337"/>
    <w:rsid w:val="104135F9"/>
    <w:rsid w:val="105A46BB"/>
    <w:rsid w:val="1126167A"/>
    <w:rsid w:val="12DD56D0"/>
    <w:rsid w:val="13E83022"/>
    <w:rsid w:val="146B1AFA"/>
    <w:rsid w:val="15357EA3"/>
    <w:rsid w:val="15FA0A52"/>
    <w:rsid w:val="163007A4"/>
    <w:rsid w:val="16323E9D"/>
    <w:rsid w:val="16526560"/>
    <w:rsid w:val="16E84EEA"/>
    <w:rsid w:val="16ED5F07"/>
    <w:rsid w:val="17231CAA"/>
    <w:rsid w:val="17A62F40"/>
    <w:rsid w:val="17C36FE9"/>
    <w:rsid w:val="181A30AD"/>
    <w:rsid w:val="188F46B1"/>
    <w:rsid w:val="193957B5"/>
    <w:rsid w:val="1BCC2910"/>
    <w:rsid w:val="1BE952E4"/>
    <w:rsid w:val="1C3C502D"/>
    <w:rsid w:val="1C56667E"/>
    <w:rsid w:val="1CDB7F58"/>
    <w:rsid w:val="1F047D4E"/>
    <w:rsid w:val="1FCF6E73"/>
    <w:rsid w:val="25324D05"/>
    <w:rsid w:val="27BA1634"/>
    <w:rsid w:val="28D450EA"/>
    <w:rsid w:val="28D5055F"/>
    <w:rsid w:val="28FC39E6"/>
    <w:rsid w:val="2BCA04EF"/>
    <w:rsid w:val="2C934D84"/>
    <w:rsid w:val="2D771923"/>
    <w:rsid w:val="2F391C13"/>
    <w:rsid w:val="2FF41FDE"/>
    <w:rsid w:val="2FFB511A"/>
    <w:rsid w:val="318A49A8"/>
    <w:rsid w:val="31D644AB"/>
    <w:rsid w:val="33526CEF"/>
    <w:rsid w:val="381474C6"/>
    <w:rsid w:val="38183E1B"/>
    <w:rsid w:val="38D37AC3"/>
    <w:rsid w:val="3A357A7E"/>
    <w:rsid w:val="3AEB650A"/>
    <w:rsid w:val="3B3460C0"/>
    <w:rsid w:val="3B755158"/>
    <w:rsid w:val="3C241E9D"/>
    <w:rsid w:val="3C485465"/>
    <w:rsid w:val="3C4E5B21"/>
    <w:rsid w:val="3D255ECD"/>
    <w:rsid w:val="3D932E36"/>
    <w:rsid w:val="3E7964D0"/>
    <w:rsid w:val="3EA52668"/>
    <w:rsid w:val="3EBD0EE2"/>
    <w:rsid w:val="40EE65D6"/>
    <w:rsid w:val="429D02B3"/>
    <w:rsid w:val="43004B7A"/>
    <w:rsid w:val="430F539D"/>
    <w:rsid w:val="43212C92"/>
    <w:rsid w:val="43972F54"/>
    <w:rsid w:val="443A0129"/>
    <w:rsid w:val="45401AF6"/>
    <w:rsid w:val="457804D5"/>
    <w:rsid w:val="45F20916"/>
    <w:rsid w:val="463236F2"/>
    <w:rsid w:val="4694464B"/>
    <w:rsid w:val="46954ED9"/>
    <w:rsid w:val="475A2C17"/>
    <w:rsid w:val="47A83982"/>
    <w:rsid w:val="47DE55F6"/>
    <w:rsid w:val="486C49B0"/>
    <w:rsid w:val="487565D5"/>
    <w:rsid w:val="4921579A"/>
    <w:rsid w:val="4A175E73"/>
    <w:rsid w:val="4A954A5F"/>
    <w:rsid w:val="4DF0398D"/>
    <w:rsid w:val="4DFE3442"/>
    <w:rsid w:val="51552C9C"/>
    <w:rsid w:val="52EB11E0"/>
    <w:rsid w:val="536C09D1"/>
    <w:rsid w:val="540C0A08"/>
    <w:rsid w:val="556829A3"/>
    <w:rsid w:val="561641AD"/>
    <w:rsid w:val="57B67C8D"/>
    <w:rsid w:val="589D1393"/>
    <w:rsid w:val="58E70221"/>
    <w:rsid w:val="59C10AB4"/>
    <w:rsid w:val="59DE62A0"/>
    <w:rsid w:val="5AE605F2"/>
    <w:rsid w:val="5B8A42EF"/>
    <w:rsid w:val="5BFB631F"/>
    <w:rsid w:val="5C003935"/>
    <w:rsid w:val="5CFF1E3E"/>
    <w:rsid w:val="5DDF5B1F"/>
    <w:rsid w:val="5E253BAB"/>
    <w:rsid w:val="5EDA6D5D"/>
    <w:rsid w:val="5F3538F6"/>
    <w:rsid w:val="5F381638"/>
    <w:rsid w:val="5FCF3D4A"/>
    <w:rsid w:val="60883EF9"/>
    <w:rsid w:val="60AF3879"/>
    <w:rsid w:val="61FD5295"/>
    <w:rsid w:val="62E83E16"/>
    <w:rsid w:val="636E5E0F"/>
    <w:rsid w:val="63F10999"/>
    <w:rsid w:val="65AD4482"/>
    <w:rsid w:val="67FA392E"/>
    <w:rsid w:val="68AF1D6D"/>
    <w:rsid w:val="68D93544"/>
    <w:rsid w:val="690C3CE7"/>
    <w:rsid w:val="694C3FC0"/>
    <w:rsid w:val="6A503CD9"/>
    <w:rsid w:val="6AD46A66"/>
    <w:rsid w:val="6B9023FF"/>
    <w:rsid w:val="6D194017"/>
    <w:rsid w:val="6D837F22"/>
    <w:rsid w:val="703235D5"/>
    <w:rsid w:val="70705949"/>
    <w:rsid w:val="70744007"/>
    <w:rsid w:val="724D08F0"/>
    <w:rsid w:val="73634A7D"/>
    <w:rsid w:val="73682094"/>
    <w:rsid w:val="762A27DA"/>
    <w:rsid w:val="7924080B"/>
    <w:rsid w:val="792D540E"/>
    <w:rsid w:val="798F3644"/>
    <w:rsid w:val="7A286917"/>
    <w:rsid w:val="7AF256B6"/>
    <w:rsid w:val="7B051225"/>
    <w:rsid w:val="7B914268"/>
    <w:rsid w:val="7C7C0DEA"/>
    <w:rsid w:val="7D3935CB"/>
    <w:rsid w:val="7EB20667"/>
    <w:rsid w:val="7FC962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9">
    <w:name w:val="Table Normal"/>
    <w:autoRedefine/>
    <w:semiHidden/>
    <w:unhideWhenUsed/>
    <w:qFormat/>
    <w:uiPriority w:val="0"/>
    <w:tblPr>
      <w:tblCellMar>
        <w:top w:w="0" w:type="dxa"/>
        <w:left w:w="0" w:type="dxa"/>
        <w:bottom w:w="0" w:type="dxa"/>
        <w:right w:w="0" w:type="dxa"/>
      </w:tblCellMar>
    </w:tblPr>
  </w:style>
  <w:style w:type="paragraph" w:customStyle="1" w:styleId="10">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2024-03-20T01:49:55Z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D23AE21371AD4B2A936F48373C5D0EDD_13</vt:lpwstr>
  </property>
</Properties>
</file>