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10"/>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21</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footerReference r:id="rId6"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spacing w:before="120" w:line="190" w:lineRule="auto"/>
        <w:rPr>
          <w:rFonts w:hint="eastAsia" w:ascii="微软雅黑" w:hAnsi="微软雅黑" w:eastAsia="微软雅黑" w:cs="微软雅黑"/>
          <w:b/>
          <w:bCs/>
          <w:color w:val="036EB8"/>
          <w:spacing w:val="15"/>
          <w:sz w:val="28"/>
          <w:szCs w:val="28"/>
          <w:lang w:val="en-US" w:eastAsia="zh-CN"/>
        </w:rPr>
      </w:pPr>
    </w:p>
    <w:p>
      <w:pPr>
        <w:spacing w:before="103" w:line="256" w:lineRule="auto"/>
        <w:ind w:right="584"/>
        <w:jc w:val="both"/>
        <w:rPr>
          <w:rFonts w:hint="eastAsia" w:ascii="微软雅黑" w:hAnsi="微软雅黑" w:eastAsia="微软雅黑" w:cs="微软雅黑"/>
          <w:spacing w:val="12"/>
          <w:sz w:val="24"/>
          <w:szCs w:val="24"/>
          <w:lang w:eastAsia="zh-CN"/>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r>
        <w:rPr>
          <w:rFonts w:ascii="微软雅黑" w:hAnsi="微软雅黑" w:eastAsia="微软雅黑" w:cs="微软雅黑"/>
          <w:spacing w:val="4"/>
          <w:sz w:val="24"/>
          <w:szCs w:val="24"/>
        </w:rPr>
        <w:t>截至3月</w:t>
      </w:r>
      <w:r>
        <w:rPr>
          <w:rFonts w:hint="eastAsia" w:ascii="微软雅黑" w:hAnsi="微软雅黑" w:eastAsia="微软雅黑" w:cs="微软雅黑"/>
          <w:spacing w:val="4"/>
          <w:sz w:val="24"/>
          <w:szCs w:val="24"/>
          <w:lang w:val="en-US" w:eastAsia="zh-CN"/>
        </w:rPr>
        <w:t>21</w:t>
      </w:r>
      <w:r>
        <w:rPr>
          <w:rFonts w:ascii="微软雅黑" w:hAnsi="微软雅黑" w:eastAsia="微软雅黑" w:cs="微软雅黑"/>
          <w:spacing w:val="4"/>
          <w:sz w:val="24"/>
          <w:szCs w:val="24"/>
        </w:rPr>
        <w:t>日，</w:t>
      </w:r>
      <w:r>
        <w:rPr>
          <w:rFonts w:hint="eastAsia" w:ascii="微软雅黑" w:hAnsi="微软雅黑" w:eastAsia="微软雅黑" w:cs="微软雅黑"/>
          <w:spacing w:val="4"/>
          <w:sz w:val="24"/>
          <w:szCs w:val="24"/>
        </w:rPr>
        <w:t>美国三大股指均创历史收盘新高</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道指</w:t>
      </w:r>
      <w:r>
        <w:rPr>
          <w:rFonts w:hint="eastAsia" w:ascii="微软雅黑" w:hAnsi="微软雅黑" w:eastAsia="微软雅黑" w:cs="微软雅黑"/>
          <w:spacing w:val="4"/>
          <w:sz w:val="24"/>
          <w:szCs w:val="24"/>
        </w:rPr>
        <w:t>涨1.03%，</w:t>
      </w:r>
      <w:r>
        <w:rPr>
          <w:rFonts w:ascii="微软雅黑" w:hAnsi="微软雅黑" w:eastAsia="微软雅黑" w:cs="微软雅黑"/>
          <w:spacing w:val="4"/>
          <w:sz w:val="24"/>
          <w:szCs w:val="24"/>
        </w:rPr>
        <w:t>标普500指数</w:t>
      </w:r>
      <w:r>
        <w:rPr>
          <w:rFonts w:hint="eastAsia" w:ascii="微软雅黑" w:hAnsi="微软雅黑" w:eastAsia="微软雅黑" w:cs="微软雅黑"/>
          <w:spacing w:val="4"/>
          <w:sz w:val="24"/>
          <w:szCs w:val="24"/>
        </w:rPr>
        <w:t>涨0.89%</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纳指</w:t>
      </w:r>
      <w:r>
        <w:rPr>
          <w:rFonts w:hint="eastAsia" w:ascii="微软雅黑" w:hAnsi="微软雅黑" w:eastAsia="微软雅黑" w:cs="微软雅黑"/>
          <w:spacing w:val="4"/>
          <w:sz w:val="24"/>
          <w:szCs w:val="24"/>
        </w:rPr>
        <w:t>涨1.25%</w:t>
      </w:r>
      <w:r>
        <w:rPr>
          <w:rFonts w:hint="eastAsia" w:ascii="微软雅黑" w:hAnsi="微软雅黑" w:eastAsia="微软雅黑" w:cs="微软雅黑"/>
          <w:spacing w:val="4"/>
          <w:sz w:val="24"/>
          <w:szCs w:val="24"/>
          <w:lang w:eastAsia="zh-CN"/>
        </w:rPr>
        <w:t>，中概股普遍上涨。美元指数跌0.39%报103.40，非美货币多数上涨，离岸人民币对美元涨6个基点报7.2112。国际油价全线下跌，国际贵金属期货普遍收涨，</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期铜涨0.15%报8990美元/吨</w:t>
      </w:r>
      <w:r>
        <w:rPr>
          <w:rFonts w:hint="eastAsia" w:ascii="微软雅黑" w:hAnsi="微软雅黑" w:eastAsia="微软雅黑" w:cs="微软雅黑"/>
          <w:spacing w:val="4"/>
          <w:sz w:val="24"/>
          <w:szCs w:val="24"/>
          <w:lang w:eastAsia="zh-CN"/>
        </w:rPr>
        <w:t>，</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黄金期货涨1.38%报2189.6美元/盎司，</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白银期货涨2.55%报25.775美元/盎司</w:t>
      </w:r>
      <w:r>
        <w:rPr>
          <w:rFonts w:hint="eastAsia" w:ascii="微软雅黑" w:hAnsi="微软雅黑" w:eastAsia="微软雅黑" w:cs="微软雅黑"/>
          <w:spacing w:val="2"/>
          <w:sz w:val="24"/>
          <w:szCs w:val="24"/>
          <w:lang w:eastAsia="zh-CN"/>
        </w:rPr>
        <w:t>。5月 ICE 原糖</w:t>
      </w:r>
      <w:r>
        <w:rPr>
          <w:rFonts w:hint="eastAsia" w:ascii="微软雅黑" w:hAnsi="微软雅黑" w:eastAsia="微软雅黑" w:cs="微软雅黑"/>
          <w:spacing w:val="2"/>
          <w:sz w:val="24"/>
          <w:szCs w:val="24"/>
          <w:lang w:val="en-US" w:eastAsia="zh-CN"/>
        </w:rPr>
        <w:t>期货合约</w:t>
      </w:r>
      <w:r>
        <w:rPr>
          <w:rFonts w:hint="eastAsia" w:ascii="微软雅黑" w:hAnsi="微软雅黑" w:eastAsia="微软雅黑" w:cs="微软雅黑"/>
          <w:spacing w:val="12"/>
          <w:sz w:val="24"/>
          <w:szCs w:val="24"/>
        </w:rPr>
        <w:t>收涨0.60%</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结算价报21.77</w:t>
      </w:r>
      <w:r>
        <w:rPr>
          <w:rFonts w:ascii="微软雅黑" w:hAnsi="微软雅黑" w:eastAsia="微软雅黑" w:cs="微软雅黑"/>
          <w:spacing w:val="12"/>
          <w:sz w:val="24"/>
          <w:szCs w:val="24"/>
        </w:rPr>
        <w:t>美分/磅</w:t>
      </w:r>
      <w:r>
        <w:rPr>
          <w:rFonts w:hint="eastAsia" w:ascii="微软雅黑" w:hAnsi="微软雅黑" w:eastAsia="微软雅黑" w:cs="微软雅黑"/>
          <w:spacing w:val="12"/>
          <w:sz w:val="24"/>
          <w:szCs w:val="24"/>
          <w:lang w:eastAsia="zh-CN"/>
        </w:rPr>
        <w:t>。ICE 5月期棉</w:t>
      </w:r>
      <w:r>
        <w:rPr>
          <w:rFonts w:hint="eastAsia" w:ascii="微软雅黑" w:hAnsi="微软雅黑" w:eastAsia="微软雅黑" w:cs="微软雅黑"/>
          <w:spacing w:val="12"/>
          <w:sz w:val="24"/>
          <w:szCs w:val="24"/>
          <w:lang w:val="en-US" w:eastAsia="zh-CN"/>
        </w:rPr>
        <w:t>期货合约</w:t>
      </w:r>
      <w:r>
        <w:rPr>
          <w:rFonts w:hint="eastAsia" w:ascii="微软雅黑" w:hAnsi="微软雅黑" w:eastAsia="微软雅黑" w:cs="微软雅黑"/>
          <w:spacing w:val="12"/>
          <w:sz w:val="24"/>
          <w:szCs w:val="24"/>
        </w:rPr>
        <w:t>收跌1.20%，结算价报92.18美分/磅</w:t>
      </w:r>
      <w:r>
        <w:rPr>
          <w:rFonts w:hint="eastAsia" w:ascii="微软雅黑" w:hAnsi="微软雅黑" w:eastAsia="微软雅黑" w:cs="微软雅黑"/>
          <w:spacing w:val="12"/>
          <w:sz w:val="24"/>
          <w:szCs w:val="24"/>
          <w:lang w:eastAsia="zh-CN"/>
        </w:rPr>
        <w:t>。</w:t>
      </w:r>
    </w:p>
    <w:p>
      <w:pPr>
        <w:spacing w:before="103" w:line="256" w:lineRule="auto"/>
        <w:ind w:right="584"/>
        <w:jc w:val="center"/>
        <w:rPr>
          <w:rFonts w:hint="eastAsia" w:ascii="微软雅黑" w:hAnsi="微软雅黑" w:eastAsia="微软雅黑" w:cs="微软雅黑"/>
          <w:spacing w:val="12"/>
          <w:sz w:val="24"/>
          <w:szCs w:val="24"/>
        </w:rPr>
      </w:pPr>
      <w:r>
        <w:drawing>
          <wp:inline distT="0" distB="0" distL="114300" distR="114300">
            <wp:extent cx="5985510" cy="3316605"/>
            <wp:effectExtent l="0" t="0" r="15240" b="1714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985510" cy="3316605"/>
                    </a:xfrm>
                    <a:prstGeom prst="rect">
                      <a:avLst/>
                    </a:prstGeom>
                    <a:noFill/>
                    <a:ln>
                      <a:noFill/>
                    </a:ln>
                  </pic:spPr>
                </pic:pic>
              </a:graphicData>
            </a:graphic>
          </wp:inline>
        </w:drawing>
      </w:r>
    </w:p>
    <w:p>
      <w:pPr>
        <w:spacing w:before="235" w:line="176" w:lineRule="auto"/>
        <w:ind w:firstLine="448" w:firstLineChars="200"/>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spacing w:before="120" w:line="190" w:lineRule="auto"/>
        <w:rPr>
          <w:rFonts w:hint="eastAsia" w:ascii="微软雅黑" w:hAnsi="微软雅黑" w:eastAsia="微软雅黑" w:cs="微软雅黑"/>
          <w:b/>
          <w:bCs/>
          <w:color w:val="036EB8"/>
          <w:spacing w:val="15"/>
          <w:sz w:val="28"/>
          <w:szCs w:val="28"/>
          <w:lang w:val="en-US" w:eastAsia="zh-CN"/>
        </w:rPr>
      </w:pPr>
    </w:p>
    <w:p>
      <w:pPr>
        <w:spacing w:before="102" w:line="256" w:lineRule="auto"/>
        <w:ind w:left="285" w:right="648" w:firstLine="538"/>
        <w:jc w:val="both"/>
        <w:rPr>
          <w:rFonts w:ascii="微软雅黑" w:hAnsi="微软雅黑" w:eastAsia="微软雅黑" w:cs="微软雅黑"/>
          <w:spacing w:val="-4"/>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美联储重申，将等到对通胀更有信心再降息，联邦基金利率维持在5.25%至5.5%之间不变。</w:t>
      </w:r>
      <w:r>
        <w:rPr>
          <w:rFonts w:ascii="微软雅黑" w:hAnsi="微软雅黑" w:eastAsia="微软雅黑" w:cs="微软雅黑"/>
          <w:spacing w:val="-4"/>
          <w:sz w:val="24"/>
          <w:szCs w:val="24"/>
        </w:rPr>
        <w:t>】</w:t>
      </w:r>
    </w:p>
    <w:p>
      <w:pPr>
        <w:spacing w:before="102" w:line="256" w:lineRule="auto"/>
        <w:ind w:left="285" w:right="648" w:firstLine="538"/>
        <w:jc w:val="both"/>
        <w:rPr>
          <w:rFonts w:hint="eastAsia" w:ascii="微软雅黑" w:hAnsi="微软雅黑" w:eastAsia="微软雅黑" w:cs="微软雅黑"/>
          <w:spacing w:val="-8"/>
          <w:sz w:val="24"/>
          <w:szCs w:val="24"/>
          <w:lang w:val="en-US" w:eastAsia="zh-CN"/>
        </w:rPr>
      </w:pPr>
      <w:r>
        <w:rPr>
          <w:rFonts w:ascii="微软雅黑" w:hAnsi="微软雅黑" w:eastAsia="微软雅黑" w:cs="微软雅黑"/>
          <w:spacing w:val="12"/>
          <w:sz w:val="24"/>
          <w:szCs w:val="24"/>
        </w:rPr>
        <w:t>【美债收益率多数收跌，2年期美债收益率</w:t>
      </w:r>
      <w:r>
        <w:rPr>
          <w:rFonts w:hint="eastAsia" w:ascii="微软雅黑" w:hAnsi="微软雅黑" w:eastAsia="微软雅黑" w:cs="微软雅黑"/>
          <w:spacing w:val="12"/>
          <w:sz w:val="24"/>
          <w:szCs w:val="24"/>
        </w:rPr>
        <w:t>跌8.7个基点报4.609%，</w:t>
      </w:r>
      <w:r>
        <w:rPr>
          <w:rFonts w:ascii="微软雅黑" w:hAnsi="微软雅黑" w:eastAsia="微软雅黑" w:cs="微软雅黑"/>
          <w:spacing w:val="12"/>
          <w:sz w:val="24"/>
          <w:szCs w:val="24"/>
        </w:rPr>
        <w:t>3年期美债收益率</w:t>
      </w:r>
      <w:r>
        <w:rPr>
          <w:rFonts w:hint="eastAsia" w:ascii="微软雅黑" w:hAnsi="微软雅黑" w:eastAsia="微软雅黑" w:cs="微软雅黑"/>
          <w:spacing w:val="12"/>
          <w:sz w:val="24"/>
          <w:szCs w:val="24"/>
        </w:rPr>
        <w:t>跌7.9个基点报4.398%，</w:t>
      </w:r>
      <w:r>
        <w:rPr>
          <w:rFonts w:ascii="微软雅黑" w:hAnsi="微软雅黑" w:eastAsia="微软雅黑" w:cs="微软雅黑"/>
          <w:spacing w:val="12"/>
          <w:sz w:val="24"/>
          <w:szCs w:val="24"/>
        </w:rPr>
        <w:t>5年期美债收益率</w:t>
      </w:r>
      <w:r>
        <w:rPr>
          <w:rFonts w:hint="eastAsia" w:ascii="微软雅黑" w:hAnsi="微软雅黑" w:eastAsia="微软雅黑" w:cs="微软雅黑"/>
          <w:spacing w:val="12"/>
          <w:sz w:val="24"/>
          <w:szCs w:val="24"/>
        </w:rPr>
        <w:t>跌5.6个基点报4.247%，</w:t>
      </w:r>
      <w:r>
        <w:rPr>
          <w:rFonts w:ascii="微软雅黑" w:hAnsi="微软雅黑" w:eastAsia="微软雅黑" w:cs="微软雅黑"/>
          <w:spacing w:val="12"/>
          <w:sz w:val="24"/>
          <w:szCs w:val="24"/>
        </w:rPr>
        <w:t>10年期美债收益率</w:t>
      </w:r>
      <w:r>
        <w:rPr>
          <w:rFonts w:hint="eastAsia" w:ascii="微软雅黑" w:hAnsi="微软雅黑" w:eastAsia="微软雅黑" w:cs="微软雅黑"/>
          <w:spacing w:val="12"/>
          <w:sz w:val="24"/>
          <w:szCs w:val="24"/>
        </w:rPr>
        <w:t>跌2.2个基点报4.274%，</w:t>
      </w:r>
      <w:r>
        <w:rPr>
          <w:rFonts w:ascii="微软雅黑" w:hAnsi="微软雅黑" w:eastAsia="微软雅黑" w:cs="微软雅黑"/>
          <w:spacing w:val="12"/>
          <w:sz w:val="24"/>
          <w:szCs w:val="24"/>
        </w:rPr>
        <w:t>30年期美债收益率</w:t>
      </w:r>
      <w:r>
        <w:rPr>
          <w:rFonts w:hint="eastAsia" w:ascii="微软雅黑" w:hAnsi="微软雅黑" w:eastAsia="微软雅黑" w:cs="微软雅黑"/>
          <w:spacing w:val="12"/>
          <w:sz w:val="24"/>
          <w:szCs w:val="24"/>
        </w:rPr>
        <w:t>涨1.2个基点报4.455%</w:t>
      </w:r>
      <w:r>
        <w:rPr>
          <w:rFonts w:hint="eastAsia" w:ascii="微软雅黑" w:hAnsi="微软雅黑" w:eastAsia="微软雅黑" w:cs="微软雅黑"/>
          <w:spacing w:val="12"/>
          <w:sz w:val="24"/>
          <w:szCs w:val="24"/>
          <w:lang w:eastAsia="zh-CN"/>
        </w:rPr>
        <w:t>。</w:t>
      </w:r>
      <w:r>
        <w:rPr>
          <w:rFonts w:ascii="微软雅黑" w:hAnsi="微软雅黑" w:eastAsia="微软雅黑" w:cs="微软雅黑"/>
          <w:spacing w:val="-8"/>
          <w:sz w:val="24"/>
          <w:szCs w:val="24"/>
        </w:rPr>
        <w:t>】</w:t>
      </w:r>
      <w:r>
        <w:rPr>
          <w:rFonts w:hint="eastAsia" w:ascii="微软雅黑" w:hAnsi="微软雅黑" w:eastAsia="微软雅黑" w:cs="微软雅黑"/>
          <w:spacing w:val="-8"/>
          <w:sz w:val="24"/>
          <w:szCs w:val="24"/>
          <w:lang w:val="en-US" w:eastAsia="zh-CN"/>
        </w:rPr>
        <w:t xml:space="preserve"> </w:t>
      </w:r>
    </w:p>
    <w:p>
      <w:pPr>
        <w:spacing w:before="102" w:line="256" w:lineRule="auto"/>
        <w:ind w:left="285" w:right="648" w:firstLine="538"/>
        <w:jc w:val="both"/>
        <w:rPr>
          <w:rFonts w:ascii="微软雅黑" w:hAnsi="微软雅黑" w:eastAsia="微软雅黑" w:cs="微软雅黑"/>
          <w:spacing w:val="4"/>
          <w:sz w:val="24"/>
          <w:szCs w:val="24"/>
        </w:rPr>
      </w:pPr>
      <w:r>
        <w:rPr>
          <w:rFonts w:ascii="微软雅黑" w:hAnsi="微软雅黑" w:eastAsia="微软雅黑" w:cs="微软雅黑"/>
          <w:spacing w:val="12"/>
          <w:sz w:val="24"/>
          <w:szCs w:val="24"/>
        </w:rPr>
        <w:t>【美联储FOMC经济预期显示，</w:t>
      </w:r>
      <w:r>
        <w:rPr>
          <w:rFonts w:hint="eastAsia" w:ascii="微软雅黑" w:hAnsi="微软雅黑" w:eastAsia="微软雅黑" w:cs="微软雅黑"/>
          <w:spacing w:val="12"/>
          <w:sz w:val="24"/>
          <w:szCs w:val="24"/>
        </w:rPr>
        <w:t>2024至2026年底GDP增速预期中值分别为2.1%、2.0%、2.0%。2024至2026年底核心PCE通胀预期中值分别为2.6%、2.2%</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2.0%。2024至2026年底失业率预期中值分别为4.0%、4.1%、4.0%。</w:t>
      </w:r>
      <w:r>
        <w:rPr>
          <w:rFonts w:ascii="微软雅黑" w:hAnsi="微软雅黑" w:eastAsia="微软雅黑" w:cs="微软雅黑"/>
          <w:spacing w:val="-8"/>
          <w:sz w:val="24"/>
          <w:szCs w:val="24"/>
        </w:rPr>
        <w:t>】</w:t>
      </w:r>
    </w:p>
    <w:p>
      <w:pPr>
        <w:spacing w:before="102" w:line="256" w:lineRule="auto"/>
        <w:ind w:left="285" w:right="648" w:firstLine="538"/>
        <w:jc w:val="both"/>
        <w:rPr>
          <w:rFonts w:ascii="微软雅黑" w:hAnsi="微软雅黑" w:eastAsia="微软雅黑" w:cs="微软雅黑"/>
          <w:spacing w:val="-6"/>
          <w:sz w:val="24"/>
          <w:szCs w:val="24"/>
        </w:rPr>
      </w:pPr>
      <w:r>
        <w:rPr>
          <w:rFonts w:ascii="微软雅黑" w:hAnsi="微软雅黑" w:eastAsia="微软雅黑" w:cs="微软雅黑"/>
          <w:spacing w:val="4"/>
          <w:sz w:val="24"/>
          <w:szCs w:val="24"/>
        </w:rPr>
        <w:t>【英国2月CPI同比增长3.4%，预期增长3.50%</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2月CPI环比增长0.6%，预期增长0.70%。核心CPI同比升4.5%，预期升4.6%；环比升0.6%，预期升0.7%</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6"/>
          <w:sz w:val="24"/>
          <w:szCs w:val="24"/>
        </w:rPr>
        <w:t>】</w:t>
      </w:r>
    </w:p>
    <w:p>
      <w:pPr>
        <w:spacing w:before="102" w:line="256" w:lineRule="auto"/>
        <w:ind w:left="285" w:right="648" w:firstLine="538"/>
        <w:jc w:val="both"/>
        <w:rPr>
          <w:rFonts w:ascii="微软雅黑" w:hAnsi="微软雅黑" w:eastAsia="微软雅黑" w:cs="微软雅黑"/>
          <w:spacing w:val="-8"/>
          <w:sz w:val="24"/>
          <w:szCs w:val="24"/>
        </w:rPr>
      </w:pPr>
      <w:r>
        <w:rPr>
          <w:rFonts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val="en-US" w:eastAsia="zh-CN"/>
        </w:rPr>
        <w:t>欧</w:t>
      </w:r>
      <w:r>
        <w:rPr>
          <w:rFonts w:ascii="微软雅黑" w:hAnsi="微软雅黑" w:eastAsia="微软雅黑" w:cs="微软雅黑"/>
          <w:spacing w:val="12"/>
          <w:sz w:val="24"/>
          <w:szCs w:val="24"/>
        </w:rPr>
        <w:t>元区1月建筑业产出同比升0.8%</w:t>
      </w:r>
      <w:r>
        <w:rPr>
          <w:rFonts w:hint="eastAsia" w:ascii="微软雅黑" w:hAnsi="微软雅黑" w:eastAsia="微软雅黑" w:cs="微软雅黑"/>
          <w:spacing w:val="12"/>
          <w:sz w:val="24"/>
          <w:szCs w:val="24"/>
          <w:lang w:eastAsia="zh-CN"/>
        </w:rPr>
        <w:t>，</w:t>
      </w:r>
      <w:r>
        <w:rPr>
          <w:rFonts w:ascii="微软雅黑" w:hAnsi="微软雅黑" w:eastAsia="微软雅黑" w:cs="微软雅黑"/>
          <w:spacing w:val="12"/>
          <w:sz w:val="24"/>
          <w:szCs w:val="24"/>
        </w:rPr>
        <w:t>环比升0.5%</w:t>
      </w:r>
      <w:r>
        <w:rPr>
          <w:rFonts w:hint="eastAsia" w:ascii="微软雅黑" w:hAnsi="微软雅黑" w:eastAsia="微软雅黑" w:cs="微软雅黑"/>
          <w:spacing w:val="12"/>
          <w:sz w:val="24"/>
          <w:szCs w:val="24"/>
          <w:lang w:eastAsia="zh-CN"/>
        </w:rPr>
        <w:t>。</w:t>
      </w:r>
    </w:p>
    <w:p>
      <w:pPr>
        <w:spacing w:before="102" w:line="256" w:lineRule="auto"/>
        <w:ind w:left="285" w:right="648" w:firstLine="538"/>
        <w:jc w:val="both"/>
        <w:rPr>
          <w:rFonts w:ascii="微软雅黑" w:hAnsi="微软雅黑" w:eastAsia="微软雅黑" w:cs="微软雅黑"/>
          <w:spacing w:val="-6"/>
          <w:sz w:val="24"/>
          <w:szCs w:val="24"/>
        </w:rPr>
      </w:pPr>
      <w:r>
        <w:rPr>
          <w:rFonts w:ascii="微软雅黑" w:hAnsi="微软雅黑" w:eastAsia="微软雅黑" w:cs="微软雅黑"/>
          <w:spacing w:val="12"/>
          <w:sz w:val="24"/>
          <w:szCs w:val="24"/>
        </w:rPr>
        <w:t>【</w:t>
      </w:r>
      <w:r>
        <w:rPr>
          <w:rFonts w:ascii="微软雅黑" w:hAnsi="微软雅黑" w:eastAsia="微软雅黑" w:cs="微软雅黑"/>
          <w:spacing w:val="-8"/>
          <w:sz w:val="24"/>
          <w:szCs w:val="24"/>
        </w:rPr>
        <w:t>德国2月PPI同比降4.1%，预期降3.8%；环比降0.4%，预期降0.1%</w:t>
      </w:r>
      <w:r>
        <w:rPr>
          <w:rFonts w:hint="eastAsia" w:ascii="微软雅黑" w:hAnsi="微软雅黑" w:eastAsia="微软雅黑" w:cs="微软雅黑"/>
          <w:spacing w:val="-8"/>
          <w:sz w:val="24"/>
          <w:szCs w:val="24"/>
          <w:lang w:eastAsia="zh-CN"/>
        </w:rPr>
        <w:t>。</w:t>
      </w:r>
      <w:r>
        <w:rPr>
          <w:rFonts w:ascii="微软雅黑" w:hAnsi="微软雅黑" w:eastAsia="微软雅黑" w:cs="微软雅黑"/>
          <w:spacing w:val="-8"/>
          <w:sz w:val="24"/>
          <w:szCs w:val="24"/>
        </w:rPr>
        <w:t>】</w:t>
      </w:r>
    </w:p>
    <w:p>
      <w:pPr>
        <w:spacing w:before="102" w:line="256" w:lineRule="auto"/>
        <w:ind w:left="285" w:right="648" w:firstLine="538"/>
        <w:jc w:val="both"/>
        <w:rPr>
          <w:rFonts w:ascii="微软雅黑" w:hAnsi="微软雅黑" w:eastAsia="微软雅黑" w:cs="微软雅黑"/>
          <w:color w:val="036EB8"/>
          <w:position w:val="-4"/>
          <w:sz w:val="28"/>
          <w:szCs w:val="28"/>
        </w:rPr>
      </w:pPr>
      <w:r>
        <w:rPr>
          <w:rFonts w:ascii="微软雅黑" w:hAnsi="微软雅黑" w:eastAsia="微软雅黑" w:cs="微软雅黑"/>
          <w:spacing w:val="-6"/>
          <w:sz w:val="24"/>
          <w:szCs w:val="24"/>
        </w:rPr>
        <w:t>【</w:t>
      </w:r>
      <w:r>
        <w:rPr>
          <w:rFonts w:hint="eastAsia" w:ascii="微软雅黑" w:hAnsi="微软雅黑" w:eastAsia="微软雅黑" w:cs="微软雅黑"/>
          <w:spacing w:val="-6"/>
          <w:sz w:val="24"/>
          <w:szCs w:val="24"/>
          <w:lang w:eastAsia="zh-CN"/>
        </w:rPr>
        <w:t>加拿大2月CPI同比上涨2.8%，通胀水平继续放缓。</w:t>
      </w:r>
      <w:r>
        <w:rPr>
          <w:rFonts w:ascii="微软雅黑" w:hAnsi="微软雅黑" w:eastAsia="微软雅黑" w:cs="微软雅黑"/>
          <w:spacing w:val="-6"/>
          <w:sz w:val="24"/>
          <w:szCs w:val="24"/>
        </w:rPr>
        <w:t>】</w:t>
      </w:r>
    </w:p>
    <w:p>
      <w:pPr>
        <w:spacing w:before="120" w:line="190" w:lineRule="auto"/>
        <w:ind w:left="6"/>
        <w:rPr>
          <w:rFonts w:ascii="微软雅黑" w:hAnsi="微软雅黑" w:eastAsia="微软雅黑" w:cs="微软雅黑"/>
          <w:color w:val="036EB8"/>
          <w:position w:val="-4"/>
          <w:sz w:val="28"/>
          <w:szCs w:val="28"/>
        </w:rPr>
      </w:pPr>
    </w:p>
    <w:p>
      <w:pPr>
        <w:spacing w:before="120" w:line="190" w:lineRule="auto"/>
        <w:ind w:left="6"/>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0"/>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9"/>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9"/>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9"/>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vAlign w:val="top"/>
          </w:tcPr>
          <w:p>
            <w:pPr>
              <w:pStyle w:val="9"/>
              <w:spacing w:before="243" w:line="172" w:lineRule="auto"/>
              <w:ind w:left="94"/>
              <w:jc w:val="left"/>
              <w:rPr>
                <w:sz w:val="19"/>
                <w:szCs w:val="19"/>
              </w:rPr>
            </w:pPr>
            <w:r>
              <w:rPr>
                <w:rFonts w:hint="eastAsia"/>
                <w:b/>
                <w:bCs/>
                <w:spacing w:val="6"/>
                <w:sz w:val="19"/>
                <w:szCs w:val="19"/>
                <w:lang w:val="en-US" w:eastAsia="zh-CN"/>
              </w:rPr>
              <w:t>8：3</w:t>
            </w:r>
            <w:r>
              <w:rPr>
                <w:b/>
                <w:bCs/>
                <w:spacing w:val="6"/>
                <w:sz w:val="19"/>
                <w:szCs w:val="19"/>
              </w:rPr>
              <w:t>0</w:t>
            </w:r>
          </w:p>
        </w:tc>
        <w:tc>
          <w:tcPr>
            <w:tcW w:w="6679" w:type="dxa"/>
            <w:vAlign w:val="top"/>
          </w:tcPr>
          <w:p>
            <w:pPr>
              <w:pStyle w:val="9"/>
              <w:spacing w:before="221" w:line="180" w:lineRule="auto"/>
              <w:jc w:val="center"/>
              <w:rPr>
                <w:rFonts w:hint="default" w:eastAsia="微软雅黑"/>
                <w:sz w:val="19"/>
                <w:szCs w:val="19"/>
                <w:lang w:val="en-US" w:eastAsia="zh-CN"/>
              </w:rPr>
            </w:pPr>
            <w:r>
              <w:rPr>
                <w:rFonts w:hint="eastAsia"/>
                <w:sz w:val="19"/>
                <w:szCs w:val="19"/>
                <w:lang w:val="en-US" w:eastAsia="zh-CN"/>
              </w:rPr>
              <w:t>日本3月综合、服务业、制造业PMI初值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45" w:line="172" w:lineRule="auto"/>
              <w:ind w:left="101"/>
              <w:jc w:val="left"/>
              <w:rPr>
                <w:sz w:val="19"/>
                <w:szCs w:val="19"/>
              </w:rPr>
            </w:pPr>
            <w:r>
              <w:rPr>
                <w:rFonts w:hint="eastAsia"/>
                <w:b/>
                <w:bCs/>
                <w:spacing w:val="5"/>
                <w:sz w:val="19"/>
                <w:szCs w:val="19"/>
                <w:lang w:val="en-US" w:eastAsia="zh-CN"/>
              </w:rPr>
              <w:t>9：</w:t>
            </w:r>
            <w:r>
              <w:rPr>
                <w:b/>
                <w:bCs/>
                <w:spacing w:val="5"/>
                <w:sz w:val="19"/>
                <w:szCs w:val="19"/>
              </w:rPr>
              <w:t>00</w:t>
            </w:r>
          </w:p>
        </w:tc>
        <w:tc>
          <w:tcPr>
            <w:tcW w:w="6679" w:type="dxa"/>
            <w:shd w:val="clear" w:color="auto" w:fill="D3EAFF"/>
            <w:vAlign w:val="top"/>
          </w:tcPr>
          <w:p>
            <w:pPr>
              <w:pStyle w:val="9"/>
              <w:spacing w:before="224" w:line="179" w:lineRule="auto"/>
              <w:jc w:val="center"/>
              <w:rPr>
                <w:rFonts w:hint="default" w:eastAsia="微软雅黑"/>
                <w:sz w:val="19"/>
                <w:szCs w:val="19"/>
                <w:lang w:val="en-US" w:eastAsia="zh-CN"/>
              </w:rPr>
            </w:pPr>
            <w:r>
              <w:rPr>
                <w:rFonts w:hint="eastAsia"/>
                <w:sz w:val="19"/>
                <w:szCs w:val="19"/>
                <w:lang w:val="en-US" w:eastAsia="zh-CN"/>
              </w:rPr>
              <w:t>中国2月Swift人民币在全球支付中占比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9"/>
              <w:spacing w:before="231"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vAlign w:val="top"/>
          </w:tcPr>
          <w:p>
            <w:pPr>
              <w:pStyle w:val="9"/>
              <w:spacing w:before="245" w:line="172" w:lineRule="auto"/>
              <w:ind w:left="101"/>
              <w:jc w:val="left"/>
              <w:rPr>
                <w:sz w:val="19"/>
                <w:szCs w:val="19"/>
              </w:rPr>
            </w:pPr>
            <w:r>
              <w:rPr>
                <w:b/>
                <w:bCs/>
                <w:spacing w:val="5"/>
                <w:sz w:val="19"/>
                <w:szCs w:val="19"/>
              </w:rPr>
              <w:t>1</w:t>
            </w:r>
            <w:r>
              <w:rPr>
                <w:rFonts w:hint="eastAsia"/>
                <w:b/>
                <w:bCs/>
                <w:spacing w:val="5"/>
                <w:sz w:val="19"/>
                <w:szCs w:val="19"/>
                <w:lang w:val="en-US" w:eastAsia="zh-CN"/>
              </w:rPr>
              <w:t>5：</w:t>
            </w:r>
            <w:r>
              <w:rPr>
                <w:b/>
                <w:bCs/>
                <w:spacing w:val="5"/>
                <w:sz w:val="19"/>
                <w:szCs w:val="19"/>
              </w:rPr>
              <w:t>00</w:t>
            </w:r>
          </w:p>
        </w:tc>
        <w:tc>
          <w:tcPr>
            <w:tcW w:w="6679" w:type="dxa"/>
            <w:vAlign w:val="top"/>
          </w:tcPr>
          <w:p>
            <w:pPr>
              <w:pStyle w:val="9"/>
              <w:spacing w:before="224" w:line="180" w:lineRule="auto"/>
              <w:jc w:val="center"/>
              <w:rPr>
                <w:rFonts w:hint="default" w:eastAsia="微软雅黑"/>
                <w:sz w:val="19"/>
                <w:szCs w:val="19"/>
                <w:lang w:val="en-US" w:eastAsia="zh-CN"/>
              </w:rPr>
            </w:pPr>
            <w:r>
              <w:rPr>
                <w:rFonts w:hint="eastAsia"/>
                <w:sz w:val="19"/>
                <w:szCs w:val="19"/>
                <w:lang w:val="en-US" w:eastAsia="zh-CN"/>
              </w:rPr>
              <w:t>英国2月公共部门净借款、政府收支短差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46" w:line="172" w:lineRule="auto"/>
              <w:ind w:left="101"/>
              <w:jc w:val="left"/>
              <w:rPr>
                <w:rFonts w:hint="default" w:eastAsia="微软雅黑"/>
                <w:sz w:val="19"/>
                <w:szCs w:val="19"/>
                <w:lang w:val="en-US" w:eastAsia="zh-CN"/>
              </w:rPr>
            </w:pPr>
            <w:r>
              <w:rPr>
                <w:rFonts w:hint="eastAsia"/>
                <w:b/>
                <w:bCs/>
                <w:spacing w:val="5"/>
                <w:sz w:val="19"/>
                <w:szCs w:val="19"/>
                <w:lang w:val="en-US" w:eastAsia="zh-CN"/>
              </w:rPr>
              <w:t>15：45</w:t>
            </w:r>
          </w:p>
        </w:tc>
        <w:tc>
          <w:tcPr>
            <w:tcW w:w="6679" w:type="dxa"/>
            <w:shd w:val="clear" w:color="auto" w:fill="D3EAFF"/>
            <w:vAlign w:val="top"/>
          </w:tcPr>
          <w:p>
            <w:pPr>
              <w:pStyle w:val="9"/>
              <w:spacing w:before="224" w:line="180" w:lineRule="auto"/>
              <w:jc w:val="center"/>
              <w:rPr>
                <w:rFonts w:hint="default"/>
                <w:sz w:val="19"/>
                <w:szCs w:val="19"/>
                <w:lang w:val="en-US"/>
              </w:rPr>
            </w:pPr>
            <w:r>
              <w:rPr>
                <w:rFonts w:hint="eastAsia"/>
                <w:sz w:val="19"/>
                <w:szCs w:val="19"/>
                <w:lang w:val="en-US" w:eastAsia="zh-CN"/>
              </w:rPr>
              <w:t>法国3月INSEE制造业信心指数、商业信心指数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9"/>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vAlign w:val="top"/>
          </w:tcPr>
          <w:p>
            <w:pPr>
              <w:pStyle w:val="9"/>
              <w:spacing w:before="246" w:line="172" w:lineRule="auto"/>
              <w:ind w:left="94"/>
              <w:jc w:val="left"/>
              <w:rPr>
                <w:rFonts w:hint="default" w:eastAsia="微软雅黑"/>
                <w:sz w:val="19"/>
                <w:szCs w:val="19"/>
                <w:lang w:val="en-US" w:eastAsia="zh-CN"/>
              </w:rPr>
            </w:pPr>
            <w:r>
              <w:rPr>
                <w:rFonts w:hint="eastAsia"/>
                <w:b/>
                <w:bCs/>
                <w:spacing w:val="6"/>
                <w:sz w:val="19"/>
                <w:szCs w:val="19"/>
                <w:lang w:val="en-US" w:eastAsia="zh-CN"/>
              </w:rPr>
              <w:t>16：15</w:t>
            </w:r>
          </w:p>
        </w:tc>
        <w:tc>
          <w:tcPr>
            <w:tcW w:w="6679" w:type="dxa"/>
            <w:vAlign w:val="top"/>
          </w:tcPr>
          <w:p>
            <w:pPr>
              <w:pStyle w:val="9"/>
              <w:spacing w:before="225" w:line="179" w:lineRule="auto"/>
              <w:jc w:val="center"/>
              <w:rPr>
                <w:rFonts w:hint="default" w:eastAsia="微软雅黑"/>
                <w:sz w:val="19"/>
                <w:szCs w:val="19"/>
                <w:lang w:val="en-US" w:eastAsia="zh-CN"/>
              </w:rPr>
            </w:pPr>
            <w:r>
              <w:rPr>
                <w:rFonts w:hint="eastAsia"/>
                <w:sz w:val="19"/>
                <w:szCs w:val="19"/>
                <w:lang w:val="en-US" w:eastAsia="zh-CN"/>
              </w:rPr>
              <w:t>法国3月综合、服务业、制造业PMI初值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48" w:line="172" w:lineRule="auto"/>
              <w:ind w:left="101"/>
              <w:jc w:val="left"/>
              <w:rPr>
                <w:sz w:val="19"/>
                <w:szCs w:val="19"/>
              </w:rPr>
            </w:pPr>
            <w:r>
              <w:rPr>
                <w:b/>
                <w:bCs/>
                <w:spacing w:val="5"/>
                <w:sz w:val="19"/>
                <w:szCs w:val="19"/>
              </w:rPr>
              <w:t>1</w:t>
            </w:r>
            <w:r>
              <w:rPr>
                <w:rFonts w:hint="eastAsia"/>
                <w:b/>
                <w:bCs/>
                <w:spacing w:val="5"/>
                <w:sz w:val="19"/>
                <w:szCs w:val="19"/>
                <w:lang w:val="en-US" w:eastAsia="zh-CN"/>
              </w:rPr>
              <w:t>6：3</w:t>
            </w:r>
            <w:r>
              <w:rPr>
                <w:b/>
                <w:bCs/>
                <w:spacing w:val="5"/>
                <w:sz w:val="19"/>
                <w:szCs w:val="19"/>
              </w:rPr>
              <w:t>0</w:t>
            </w:r>
          </w:p>
        </w:tc>
        <w:tc>
          <w:tcPr>
            <w:tcW w:w="6679" w:type="dxa"/>
            <w:shd w:val="clear" w:color="auto" w:fill="D3EAFF"/>
            <w:vAlign w:val="top"/>
          </w:tcPr>
          <w:p>
            <w:pPr>
              <w:pStyle w:val="9"/>
              <w:spacing w:before="228" w:line="179" w:lineRule="auto"/>
              <w:jc w:val="center"/>
              <w:rPr>
                <w:rFonts w:hint="default" w:eastAsia="微软雅黑"/>
                <w:sz w:val="19"/>
                <w:szCs w:val="19"/>
                <w:lang w:val="en-US" w:eastAsia="zh-CN"/>
              </w:rPr>
            </w:pPr>
            <w:r>
              <w:rPr>
                <w:rFonts w:hint="eastAsia"/>
                <w:sz w:val="19"/>
                <w:szCs w:val="19"/>
                <w:lang w:val="en-US" w:eastAsia="zh-CN"/>
              </w:rPr>
              <w:t>德国3月综合、服务业、制造业PMI初值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9"/>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vAlign w:val="top"/>
          </w:tcPr>
          <w:p>
            <w:pPr>
              <w:pStyle w:val="9"/>
              <w:spacing w:before="248" w:line="172" w:lineRule="auto"/>
              <w:ind w:left="92"/>
              <w:jc w:val="left"/>
              <w:rPr>
                <w:sz w:val="19"/>
                <w:szCs w:val="19"/>
              </w:rPr>
            </w:pPr>
            <w:r>
              <w:rPr>
                <w:rFonts w:hint="eastAsia"/>
                <w:b/>
                <w:bCs/>
                <w:spacing w:val="6"/>
                <w:sz w:val="19"/>
                <w:szCs w:val="19"/>
                <w:lang w:val="en-US" w:eastAsia="zh-CN"/>
              </w:rPr>
              <w:t>17：0</w:t>
            </w:r>
            <w:r>
              <w:rPr>
                <w:b/>
                <w:bCs/>
                <w:spacing w:val="6"/>
                <w:sz w:val="19"/>
                <w:szCs w:val="19"/>
              </w:rPr>
              <w:t>0</w:t>
            </w:r>
          </w:p>
        </w:tc>
        <w:tc>
          <w:tcPr>
            <w:tcW w:w="6679" w:type="dxa"/>
            <w:vAlign w:val="top"/>
          </w:tcPr>
          <w:p>
            <w:pPr>
              <w:pStyle w:val="9"/>
              <w:spacing w:before="227" w:line="185" w:lineRule="auto"/>
              <w:jc w:val="center"/>
              <w:rPr>
                <w:rFonts w:hint="default" w:eastAsia="微软雅黑"/>
                <w:sz w:val="19"/>
                <w:szCs w:val="19"/>
                <w:lang w:val="en-US" w:eastAsia="zh-CN"/>
              </w:rPr>
            </w:pPr>
            <w:r>
              <w:rPr>
                <w:rFonts w:hint="eastAsia"/>
                <w:sz w:val="19"/>
                <w:szCs w:val="19"/>
                <w:lang w:val="en-US" w:eastAsia="zh-CN"/>
              </w:rPr>
              <w:t>欧元区季调后经常帐；3月综合、服务业、制造业PMI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52" w:line="170" w:lineRule="auto"/>
              <w:ind w:left="101"/>
              <w:jc w:val="left"/>
              <w:rPr>
                <w:rFonts w:hint="default" w:eastAsia="微软雅黑"/>
                <w:sz w:val="19"/>
                <w:szCs w:val="19"/>
                <w:lang w:val="en-US" w:eastAsia="zh-CN"/>
              </w:rPr>
            </w:pPr>
            <w:r>
              <w:rPr>
                <w:rFonts w:hint="eastAsia"/>
                <w:b/>
                <w:bCs/>
                <w:spacing w:val="5"/>
                <w:sz w:val="19"/>
                <w:szCs w:val="19"/>
                <w:lang w:val="en-US" w:eastAsia="zh-CN"/>
              </w:rPr>
              <w:t>17：30</w:t>
            </w:r>
          </w:p>
        </w:tc>
        <w:tc>
          <w:tcPr>
            <w:tcW w:w="6679" w:type="dxa"/>
            <w:shd w:val="clear" w:color="auto" w:fill="D3EAFF"/>
            <w:vAlign w:val="top"/>
          </w:tcPr>
          <w:p>
            <w:pPr>
              <w:pStyle w:val="9"/>
              <w:spacing w:before="229" w:line="179" w:lineRule="auto"/>
              <w:jc w:val="center"/>
              <w:rPr>
                <w:rFonts w:hint="default" w:eastAsia="微软雅黑"/>
                <w:sz w:val="19"/>
                <w:szCs w:val="19"/>
                <w:lang w:val="en-US" w:eastAsia="zh-CN"/>
              </w:rPr>
            </w:pPr>
            <w:r>
              <w:rPr>
                <w:rFonts w:hint="eastAsia"/>
                <w:sz w:val="19"/>
                <w:szCs w:val="19"/>
                <w:lang w:val="en-US" w:eastAsia="zh-CN"/>
              </w:rPr>
              <w:t>英国3月综合、服务业、制造业PMI初值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52" w:line="170"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20：00</w:t>
            </w:r>
          </w:p>
        </w:tc>
        <w:tc>
          <w:tcPr>
            <w:tcW w:w="6679" w:type="dxa"/>
            <w:shd w:val="clear" w:color="auto" w:fill="D3EAFF"/>
            <w:vAlign w:val="top"/>
          </w:tcPr>
          <w:p>
            <w:pPr>
              <w:pStyle w:val="9"/>
              <w:spacing w:before="229" w:line="179" w:lineRule="auto"/>
              <w:jc w:val="center"/>
              <w:rPr>
                <w:rFonts w:hint="default"/>
                <w:spacing w:val="32"/>
                <w:sz w:val="19"/>
                <w:szCs w:val="19"/>
                <w:lang w:val="en-US" w:eastAsia="zh-CN"/>
              </w:rPr>
            </w:pPr>
            <w:r>
              <w:rPr>
                <w:rFonts w:hint="eastAsia"/>
                <w:sz w:val="19"/>
                <w:szCs w:val="19"/>
                <w:lang w:val="en-US" w:eastAsia="zh-CN"/>
              </w:rPr>
              <w:t>英国央行政策利率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jc w:val="both"/>
              <w:rPr>
                <w:rFonts w:hint="eastAsia" w:eastAsia="微软雅黑"/>
                <w:b/>
                <w:bCs/>
                <w:spacing w:val="3"/>
                <w:sz w:val="19"/>
                <w:szCs w:val="19"/>
                <w:lang w:val="en-US" w:eastAsia="zh-CN"/>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52" w:line="170" w:lineRule="auto"/>
              <w:ind w:left="101" w:leftChars="0"/>
              <w:jc w:val="left"/>
              <w:rPr>
                <w:rFonts w:hint="default"/>
                <w:b/>
                <w:bCs/>
                <w:spacing w:val="5"/>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9"/>
              <w:spacing w:before="229" w:line="179" w:lineRule="auto"/>
              <w:jc w:val="center"/>
              <w:rPr>
                <w:rFonts w:hint="default"/>
                <w:spacing w:val="32"/>
                <w:sz w:val="19"/>
                <w:szCs w:val="19"/>
                <w:lang w:val="en-US" w:eastAsia="zh-CN"/>
              </w:rPr>
            </w:pPr>
            <w:r>
              <w:rPr>
                <w:rFonts w:hint="eastAsia"/>
                <w:sz w:val="19"/>
                <w:szCs w:val="19"/>
                <w:lang w:val="en-US" w:eastAsia="zh-CN"/>
              </w:rPr>
              <w:t>美国3月9日当周续请失业救济人数、3月16日当周首次申请失业救济人数；3月费城联储制造业指数；四季度经常帐</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jc w:val="both"/>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52" w:line="170" w:lineRule="auto"/>
              <w:ind w:left="101" w:leftChars="0"/>
              <w:jc w:val="left"/>
              <w:rPr>
                <w:rFonts w:hint="default" w:ascii="微软雅黑" w:hAnsi="微软雅黑" w:eastAsia="微软雅黑" w:cs="微软雅黑"/>
                <w:b/>
                <w:bCs/>
                <w:snapToGrid w:val="0"/>
                <w:color w:val="000000"/>
                <w:spacing w:val="5"/>
                <w:kern w:val="0"/>
                <w:sz w:val="19"/>
                <w:szCs w:val="19"/>
                <w:lang w:val="en-US" w:eastAsia="zh-CN" w:bidi="ar-SA"/>
              </w:rPr>
            </w:pPr>
            <w:r>
              <w:rPr>
                <w:rFonts w:hint="eastAsia"/>
                <w:b/>
                <w:bCs/>
                <w:spacing w:val="5"/>
                <w:sz w:val="19"/>
                <w:szCs w:val="19"/>
                <w:lang w:val="en-US" w:eastAsia="zh-CN"/>
              </w:rPr>
              <w:t>21：45</w:t>
            </w:r>
          </w:p>
        </w:tc>
        <w:tc>
          <w:tcPr>
            <w:tcW w:w="6679" w:type="dxa"/>
            <w:shd w:val="clear" w:color="auto" w:fill="D3EAFF"/>
            <w:vAlign w:val="top"/>
          </w:tcPr>
          <w:p>
            <w:pPr>
              <w:pStyle w:val="9"/>
              <w:spacing w:before="229" w:line="179" w:lineRule="auto"/>
              <w:jc w:val="center"/>
              <w:rPr>
                <w:rFonts w:hint="eastAsia"/>
                <w:spacing w:val="32"/>
                <w:sz w:val="19"/>
                <w:szCs w:val="19"/>
                <w:lang w:val="en-US" w:eastAsia="zh-CN"/>
              </w:rPr>
            </w:pPr>
            <w:r>
              <w:rPr>
                <w:rFonts w:hint="eastAsia"/>
                <w:sz w:val="19"/>
                <w:szCs w:val="19"/>
                <w:lang w:val="en-US" w:eastAsia="zh-CN"/>
              </w:rPr>
              <w:t>美国3月Markit综合、服务业、制造业PMI初值；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jc w:val="both"/>
              <w:rPr>
                <w:rFonts w:hint="eastAsia"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2024/3/</w:t>
            </w:r>
            <w:r>
              <w:rPr>
                <w:rFonts w:hint="eastAsia"/>
                <w:b/>
                <w:bCs/>
                <w:spacing w:val="3"/>
                <w:sz w:val="19"/>
                <w:szCs w:val="19"/>
                <w:lang w:val="en-US" w:eastAsia="zh-CN"/>
              </w:rPr>
              <w:t>21</w:t>
            </w:r>
          </w:p>
        </w:tc>
        <w:tc>
          <w:tcPr>
            <w:tcW w:w="1143" w:type="dxa"/>
            <w:shd w:val="clear" w:color="auto" w:fill="D3EAFF"/>
            <w:vAlign w:val="top"/>
          </w:tcPr>
          <w:p>
            <w:pPr>
              <w:pStyle w:val="9"/>
              <w:spacing w:before="252" w:line="170" w:lineRule="auto"/>
              <w:ind w:left="101" w:leftChars="0"/>
              <w:jc w:val="left"/>
              <w:rPr>
                <w:rFonts w:hint="default" w:ascii="微软雅黑" w:hAnsi="微软雅黑" w:eastAsia="微软雅黑" w:cs="微软雅黑"/>
                <w:b/>
                <w:bCs/>
                <w:snapToGrid w:val="0"/>
                <w:color w:val="000000"/>
                <w:spacing w:val="5"/>
                <w:kern w:val="0"/>
                <w:sz w:val="19"/>
                <w:szCs w:val="19"/>
                <w:lang w:val="en-US" w:eastAsia="zh-CN" w:bidi="ar-SA"/>
              </w:rPr>
            </w:pPr>
            <w:r>
              <w:rPr>
                <w:rFonts w:hint="eastAsia"/>
                <w:b/>
                <w:bCs/>
                <w:spacing w:val="5"/>
                <w:sz w:val="19"/>
                <w:szCs w:val="19"/>
                <w:lang w:val="en-US" w:eastAsia="zh-CN"/>
              </w:rPr>
              <w:t>22：00</w:t>
            </w:r>
          </w:p>
        </w:tc>
        <w:tc>
          <w:tcPr>
            <w:tcW w:w="6679" w:type="dxa"/>
            <w:shd w:val="clear" w:color="auto" w:fill="D3EAFF"/>
            <w:vAlign w:val="top"/>
          </w:tcPr>
          <w:p>
            <w:pPr>
              <w:pStyle w:val="9"/>
              <w:spacing w:before="229" w:line="179" w:lineRule="auto"/>
              <w:jc w:val="center"/>
              <w:rPr>
                <w:rFonts w:hint="eastAsia"/>
                <w:sz w:val="19"/>
                <w:szCs w:val="19"/>
                <w:lang w:val="en-US" w:eastAsia="zh-CN"/>
              </w:rPr>
            </w:pPr>
            <w:r>
              <w:rPr>
                <w:rFonts w:hint="eastAsia"/>
                <w:sz w:val="19"/>
                <w:szCs w:val="19"/>
                <w:lang w:val="en-US" w:eastAsia="zh-CN"/>
              </w:rPr>
              <w:t>美国2月成屋销售总数年化及环比；2月咨询商会领先指标环比</w:t>
            </w:r>
          </w:p>
        </w:tc>
      </w:tr>
    </w:tbl>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20" w:line="190" w:lineRule="auto"/>
        <w:rPr>
          <w:rFonts w:hint="eastAsia" w:ascii="微软雅黑" w:hAnsi="微软雅黑" w:eastAsia="微软雅黑" w:cs="微软雅黑"/>
          <w:b/>
          <w:bCs/>
          <w:color w:val="036EB8"/>
          <w:spacing w:val="15"/>
          <w:sz w:val="28"/>
          <w:szCs w:val="28"/>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截至周</w:t>
      </w:r>
      <w:r>
        <w:rPr>
          <w:rFonts w:hint="eastAsia" w:ascii="微软雅黑" w:hAnsi="微软雅黑" w:eastAsia="微软雅黑" w:cs="微软雅黑"/>
          <w:spacing w:val="12"/>
          <w:sz w:val="24"/>
          <w:szCs w:val="24"/>
          <w:lang w:val="en-US" w:eastAsia="zh-CN"/>
        </w:rPr>
        <w:t>四，</w:t>
      </w:r>
      <w:r>
        <w:rPr>
          <w:rFonts w:hint="eastAsia" w:ascii="微软雅黑" w:hAnsi="微软雅黑" w:eastAsia="微软雅黑" w:cs="微软雅黑"/>
          <w:spacing w:val="12"/>
          <w:sz w:val="24"/>
          <w:szCs w:val="24"/>
        </w:rPr>
        <w:t>美元指数跌0.39%报103.40，非美货币多数上涨，欧元兑美元涨0.52%报1.0922，英镑兑美元涨0.55%报1.2789，澳元兑美元涨0.83%报0.6586，美元兑日元涨0.27%报151.26</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昨日美联储于FOMC会议表示将维持当前的联邦基金目标利率水平，并重申将等待对通胀更有信心时降息。除公布利率决议外，本次会议公布的点阵图显示美联储官员主流认为年内将降息三次，但缩减了2025年的降息空间，同时美联储也上调了年内经济增速预期以及通胀预期。往后看，短期内市场对美联储年内降息三次定价已相对充分，本次市场对会议解读较为鸽派，但从细节可见支持年内降息三次的官员有所减少，在通胀预期上调的情况下未来降息空间或仍有变数，美元指数或仍将得到一定支撑。</w:t>
      </w:r>
    </w:p>
    <w:p>
      <w:pPr>
        <w:spacing w:before="103" w:line="256" w:lineRule="auto"/>
        <w:ind w:right="743"/>
        <w:jc w:val="both"/>
        <w:rPr>
          <w:rFonts w:hint="eastAsia" w:ascii="微软雅黑" w:hAnsi="微软雅黑" w:eastAsia="微软雅黑" w:cs="微软雅黑"/>
          <w:spacing w:val="12"/>
          <w:sz w:val="24"/>
          <w:szCs w:val="24"/>
        </w:rPr>
      </w:pPr>
      <w:r>
        <w:drawing>
          <wp:inline distT="0" distB="0" distL="114300" distR="114300">
            <wp:extent cx="6146165" cy="2040255"/>
            <wp:effectExtent l="0" t="0" r="6985"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6146165" cy="2040255"/>
                    </a:xfrm>
                    <a:prstGeom prst="rect">
                      <a:avLst/>
                    </a:prstGeom>
                    <a:noFill/>
                    <a:ln>
                      <a:noFill/>
                    </a:ln>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235" w:line="176" w:lineRule="auto"/>
        <w:ind w:firstLine="224" w:firstLineChars="100"/>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pPr>
      <w:r>
        <w:rPr>
          <w:rFonts w:hint="eastAsia" w:ascii="微软雅黑" w:hAnsi="微软雅黑" w:eastAsia="微软雅黑" w:cs="微软雅黑"/>
          <w:spacing w:val="12"/>
          <w:sz w:val="24"/>
          <w:szCs w:val="24"/>
        </w:rPr>
        <w:t>截至3月20日，标普500指数收涨0.</w:t>
      </w:r>
      <w:r>
        <w:rPr>
          <w:rFonts w:hint="eastAsia" w:ascii="微软雅黑" w:hAnsi="微软雅黑" w:eastAsia="微软雅黑" w:cs="微软雅黑"/>
          <w:spacing w:val="12"/>
          <w:sz w:val="24"/>
          <w:szCs w:val="24"/>
          <w:lang w:val="en-US" w:eastAsia="zh-CN"/>
        </w:rPr>
        <w:t>89</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首次突破5200点，</w:t>
      </w:r>
      <w:r>
        <w:rPr>
          <w:rFonts w:hint="eastAsia" w:ascii="微软雅黑" w:hAnsi="微软雅黑" w:eastAsia="微软雅黑" w:cs="微软雅黑"/>
          <w:spacing w:val="12"/>
          <w:sz w:val="24"/>
          <w:szCs w:val="24"/>
        </w:rPr>
        <w:t>创收盘历史新高；迷你标普500主力合约收涨0.48%至5239.5点。美联储</w:t>
      </w:r>
      <w:r>
        <w:rPr>
          <w:rFonts w:hint="eastAsia" w:ascii="微软雅黑" w:hAnsi="微软雅黑" w:eastAsia="微软雅黑" w:cs="微软雅黑"/>
          <w:spacing w:val="12"/>
          <w:sz w:val="24"/>
          <w:szCs w:val="24"/>
          <w:lang w:val="en-US" w:eastAsia="zh-CN"/>
        </w:rPr>
        <w:t>暂停加息</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联邦基金利率维持在5.25%-5.5%的水平不变，符合市场共识预期，市场保留3次降息预期。另外，美联储上调未来3年GDP增长预期，今下调年和后年的失业率预期。</w:t>
      </w:r>
      <w:r>
        <w:rPr>
          <w:rFonts w:hint="eastAsia" w:ascii="微软雅黑" w:hAnsi="微软雅黑" w:eastAsia="微软雅黑" w:cs="微软雅黑"/>
          <w:spacing w:val="12"/>
          <w:sz w:val="24"/>
          <w:szCs w:val="24"/>
        </w:rPr>
        <w:t>策略上，逢低试多</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注意控制回撤，</w:t>
      </w:r>
      <w:r>
        <w:rPr>
          <w:rFonts w:hint="eastAsia" w:ascii="微软雅黑" w:hAnsi="微软雅黑" w:eastAsia="微软雅黑" w:cs="微软雅黑"/>
          <w:spacing w:val="12"/>
          <w:sz w:val="24"/>
          <w:szCs w:val="24"/>
        </w:rPr>
        <w:t>详细支撑阻力位请见图表</w:t>
      </w:r>
      <w:r>
        <w:rPr>
          <w:rFonts w:hint="eastAsia" w:ascii="微软雅黑" w:hAnsi="微软雅黑" w:eastAsia="微软雅黑" w:cs="微软雅黑"/>
          <w:spacing w:val="12"/>
          <w:sz w:val="24"/>
          <w:szCs w:val="24"/>
          <w:lang w:val="en-US" w:eastAsia="zh-CN"/>
        </w:rPr>
        <w:t>3。</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209030" cy="1974850"/>
            <wp:effectExtent l="0" t="0" r="127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6209030" cy="197485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截至3月19日，富时中国A50指数收</w:t>
      </w:r>
      <w:r>
        <w:rPr>
          <w:rFonts w:hint="eastAsia" w:ascii="微软雅黑" w:hAnsi="微软雅黑" w:eastAsia="微软雅黑" w:cs="微软雅黑"/>
          <w:spacing w:val="12"/>
          <w:sz w:val="24"/>
          <w:szCs w:val="24"/>
          <w:lang w:val="en-US" w:eastAsia="zh-CN"/>
        </w:rPr>
        <w:t>涨</w:t>
      </w:r>
      <w:r>
        <w:rPr>
          <w:rFonts w:hint="eastAsia" w:ascii="微软雅黑" w:hAnsi="微软雅黑" w:eastAsia="微软雅黑" w:cs="微软雅黑"/>
          <w:spacing w:val="12"/>
          <w:sz w:val="24"/>
          <w:szCs w:val="24"/>
        </w:rPr>
        <w:t>0.3</w:t>
      </w:r>
      <w:r>
        <w:rPr>
          <w:rFonts w:hint="eastAsia" w:ascii="微软雅黑" w:hAnsi="微软雅黑" w:eastAsia="微软雅黑" w:cs="微软雅黑"/>
          <w:spacing w:val="12"/>
          <w:sz w:val="24"/>
          <w:szCs w:val="24"/>
          <w:lang w:val="en-US" w:eastAsia="zh-CN"/>
        </w:rPr>
        <w:t>9</w:t>
      </w:r>
      <w:r>
        <w:rPr>
          <w:rFonts w:hint="eastAsia" w:ascii="微软雅黑" w:hAnsi="微软雅黑" w:eastAsia="微软雅黑" w:cs="微软雅黑"/>
          <w:spacing w:val="12"/>
          <w:sz w:val="24"/>
          <w:szCs w:val="24"/>
        </w:rPr>
        <w:t>%至121</w:t>
      </w:r>
      <w:r>
        <w:rPr>
          <w:rFonts w:hint="eastAsia" w:ascii="微软雅黑" w:hAnsi="微软雅黑" w:eastAsia="微软雅黑" w:cs="微软雅黑"/>
          <w:spacing w:val="12"/>
          <w:sz w:val="24"/>
          <w:szCs w:val="24"/>
          <w:lang w:val="en-US" w:eastAsia="zh-CN"/>
        </w:rPr>
        <w:t>9</w:t>
      </w:r>
      <w:r>
        <w:rPr>
          <w:rFonts w:hint="eastAsia" w:ascii="微软雅黑" w:hAnsi="微软雅黑" w:eastAsia="微软雅黑" w:cs="微软雅黑"/>
          <w:spacing w:val="12"/>
          <w:sz w:val="24"/>
          <w:szCs w:val="24"/>
        </w:rPr>
        <w:t>.1</w:t>
      </w:r>
      <w:r>
        <w:rPr>
          <w:rFonts w:hint="eastAsia" w:ascii="微软雅黑" w:hAnsi="微软雅黑" w:eastAsia="微软雅黑" w:cs="微软雅黑"/>
          <w:spacing w:val="12"/>
          <w:sz w:val="24"/>
          <w:szCs w:val="24"/>
          <w:lang w:val="en-US" w:eastAsia="zh-CN"/>
        </w:rPr>
        <w:t>3</w:t>
      </w:r>
      <w:r>
        <w:rPr>
          <w:rFonts w:hint="eastAsia" w:ascii="微软雅黑" w:hAnsi="微软雅黑" w:eastAsia="微软雅黑" w:cs="微软雅黑"/>
          <w:spacing w:val="12"/>
          <w:sz w:val="24"/>
          <w:szCs w:val="24"/>
        </w:rPr>
        <w:t>点；新交所富时A50期指主力合约收</w:t>
      </w:r>
      <w:r>
        <w:rPr>
          <w:rFonts w:hint="eastAsia" w:ascii="微软雅黑" w:hAnsi="微软雅黑" w:eastAsia="微软雅黑" w:cs="微软雅黑"/>
          <w:spacing w:val="12"/>
          <w:sz w:val="24"/>
          <w:szCs w:val="24"/>
          <w:lang w:val="en-US" w:eastAsia="zh-CN"/>
        </w:rPr>
        <w:t>涨</w:t>
      </w:r>
      <w:r>
        <w:rPr>
          <w:rFonts w:hint="eastAsia" w:ascii="微软雅黑" w:hAnsi="微软雅黑" w:eastAsia="微软雅黑" w:cs="微软雅黑"/>
          <w:spacing w:val="12"/>
          <w:sz w:val="24"/>
          <w:szCs w:val="24"/>
        </w:rPr>
        <w:t>0.</w:t>
      </w:r>
      <w:r>
        <w:rPr>
          <w:rFonts w:hint="eastAsia" w:ascii="微软雅黑" w:hAnsi="微软雅黑" w:eastAsia="微软雅黑" w:cs="微软雅黑"/>
          <w:spacing w:val="12"/>
          <w:sz w:val="24"/>
          <w:szCs w:val="24"/>
          <w:lang w:val="en-US" w:eastAsia="zh-CN"/>
        </w:rPr>
        <w:t>13</w:t>
      </w:r>
      <w:r>
        <w:rPr>
          <w:rFonts w:hint="eastAsia" w:ascii="微软雅黑" w:hAnsi="微软雅黑" w:eastAsia="微软雅黑" w:cs="微软雅黑"/>
          <w:spacing w:val="12"/>
          <w:sz w:val="24"/>
          <w:szCs w:val="24"/>
        </w:rPr>
        <w:t>%至12</w:t>
      </w:r>
      <w:r>
        <w:rPr>
          <w:rFonts w:hint="eastAsia" w:ascii="微软雅黑" w:hAnsi="微软雅黑" w:eastAsia="微软雅黑" w:cs="微软雅黑"/>
          <w:spacing w:val="12"/>
          <w:sz w:val="24"/>
          <w:szCs w:val="24"/>
          <w:lang w:val="en-US" w:eastAsia="zh-CN"/>
        </w:rPr>
        <w:t>232</w:t>
      </w:r>
      <w:r>
        <w:rPr>
          <w:rFonts w:hint="eastAsia" w:ascii="微软雅黑" w:hAnsi="微软雅黑" w:eastAsia="微软雅黑" w:cs="微软雅黑"/>
          <w:spacing w:val="12"/>
          <w:sz w:val="24"/>
          <w:szCs w:val="24"/>
        </w:rPr>
        <w:t>点。</w:t>
      </w:r>
      <w:r>
        <w:rPr>
          <w:rFonts w:hint="eastAsia" w:ascii="微软雅黑" w:hAnsi="微软雅黑" w:eastAsia="微软雅黑" w:cs="微软雅黑"/>
          <w:spacing w:val="12"/>
          <w:sz w:val="24"/>
          <w:szCs w:val="24"/>
          <w:lang w:val="en-US" w:eastAsia="zh-CN"/>
        </w:rPr>
        <w:t>美国3月经济预期呈现初GDP增速上调、失业率小幅小修，通胀增速持平，变化都不大。整体来看，议息会议偏鸽，市场反馈积极。中国央行维持3年、5年期以上LPR报价不变，后续有降准降息空间。财报季市场将围绕业绩布局，市场波动放大。</w:t>
      </w:r>
      <w:r>
        <w:rPr>
          <w:rFonts w:hint="eastAsia" w:ascii="微软雅黑" w:hAnsi="微软雅黑" w:eastAsia="微软雅黑" w:cs="微软雅黑"/>
          <w:spacing w:val="12"/>
          <w:sz w:val="24"/>
          <w:szCs w:val="24"/>
        </w:rPr>
        <w:t>策略上，短线观望为</w:t>
      </w:r>
      <w:r>
        <w:rPr>
          <w:rFonts w:hint="eastAsia" w:ascii="微软雅黑" w:hAnsi="微软雅黑" w:eastAsia="微软雅黑" w:cs="微软雅黑"/>
          <w:spacing w:val="12"/>
          <w:sz w:val="24"/>
          <w:szCs w:val="24"/>
          <w:lang w:val="en-US" w:eastAsia="zh-CN"/>
        </w:rPr>
        <w:t>主，</w:t>
      </w:r>
      <w:r>
        <w:rPr>
          <w:rFonts w:hint="eastAsia" w:ascii="微软雅黑" w:hAnsi="微软雅黑" w:eastAsia="微软雅黑" w:cs="微软雅黑"/>
          <w:spacing w:val="12"/>
          <w:sz w:val="24"/>
          <w:szCs w:val="24"/>
        </w:rPr>
        <w:t>详细支撑阻力位请见图表4</w:t>
      </w:r>
      <w:r>
        <w:rPr>
          <w:rFonts w:hint="eastAsia" w:ascii="微软雅黑" w:hAnsi="微软雅黑" w:eastAsia="微软雅黑" w:cs="微软雅黑"/>
          <w:spacing w:val="12"/>
          <w:sz w:val="24"/>
          <w:szCs w:val="24"/>
          <w:lang w:eastAsia="zh-CN"/>
        </w:rPr>
        <w:t>。</w:t>
      </w:r>
    </w:p>
    <w:p>
      <w:pPr>
        <w:spacing w:before="103" w:line="256" w:lineRule="auto"/>
        <w:ind w:right="743"/>
        <w:jc w:val="center"/>
        <w:rPr>
          <w:rFonts w:ascii="新宋体" w:hAnsi="新宋体" w:eastAsia="新宋体"/>
        </w:rPr>
      </w:pPr>
      <w:bookmarkStart w:id="2" w:name="_GoBack"/>
      <w:r>
        <w:rPr>
          <w:rFonts w:ascii="新宋体" w:hAnsi="新宋体" w:eastAsia="新宋体"/>
        </w:rPr>
        <w:drawing>
          <wp:inline distT="0" distB="0" distL="0" distR="0">
            <wp:extent cx="5998845" cy="2176780"/>
            <wp:effectExtent l="0" t="0" r="190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998845" cy="2176780"/>
                    </a:xfrm>
                    <a:prstGeom prst="rect">
                      <a:avLst/>
                    </a:prstGeom>
                  </pic:spPr>
                </pic:pic>
              </a:graphicData>
            </a:graphic>
          </wp:inline>
        </w:drawing>
      </w:r>
      <w:bookmarkEnd w:id="2"/>
    </w:p>
    <w:p>
      <w:pPr>
        <w:spacing w:before="235" w:line="176" w:lineRule="auto"/>
        <w:ind w:firstLine="224" w:firstLineChars="1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因美联储利率决议发布后降息押注再度升温，隔夜美元指数快速走弱，交投于103.4。基准的10年期美债收益率收报4.2730%，对美联储政策利率最敏感的2年期美债收益率收报4.6040%。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库存方面：截至3月20日，LME铜库存为112325吨，环比+5625吨。3月15日当周，上海期货交易所阴极铜库存为286395吨，周环比+ 47150吨。</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外盘持仓方面：根据CFTC公布的最新数据显示，截止至3月5日当周，非商业多头持仓87439手，空头为82012手，净空持仓为5427手，较上周净多增加10754手</w:t>
      </w:r>
      <w:r>
        <w:rPr>
          <w:rFonts w:hint="eastAsia" w:ascii="微软雅黑" w:hAnsi="微软雅黑" w:eastAsia="微软雅黑" w:cs="微软雅黑"/>
          <w:spacing w:val="12"/>
          <w:sz w:val="24"/>
          <w:szCs w:val="24"/>
          <w:lang w:eastAsia="zh-CN"/>
        </w:rPr>
        <w:t>。</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隔夜COMEX铜先跌后涨，其中2405合约报收4.09美元/磅，涨跌幅+0.39%。国际方面，美联储利率决议声明概述：一致同意维持利率不变，重申等待对通胀回落信心的增强。鲍威尔重申政策利率或已达峰，如有需要，准备将利率维持较高水平更长时间。今年某个节点降息是合适的。劳动力显著疲软将是启动降息的理由。国内方面，能源局：1-2月，全社会用电量15316亿千瓦时，同比增长11.0%。其中，第二产业用电量9520亿千瓦时，同比增长9.7%。基本面上，铜矿端供应偏紧在TC/RC费用持续走软的带动下表现更为明显，需求方面，4月即将迎来今年国内的第一波冶炼厂集中检修期，冶炼厂有提前备库需求。现货供给端减产预期提升，需求预期转好。操作上，建议COMEX铜2405合约轻仓逢低短多交易，注意交易节奏及风险控制</w:t>
      </w:r>
      <w:r>
        <w:rPr>
          <w:rFonts w:hint="eastAsia" w:ascii="微软雅黑" w:hAnsi="微软雅黑" w:eastAsia="微软雅黑" w:cs="微软雅黑"/>
          <w:spacing w:val="12"/>
          <w:sz w:val="24"/>
          <w:szCs w:val="24"/>
          <w:lang w:eastAsia="zh-CN"/>
        </w:rPr>
        <w:t>。</w:t>
      </w:r>
    </w:p>
    <w:p>
      <w:pPr>
        <w:spacing w:before="103" w:line="256" w:lineRule="auto"/>
        <w:ind w:right="743"/>
        <w:jc w:val="center"/>
      </w:pPr>
      <w:r>
        <w:drawing>
          <wp:inline distT="0" distB="0" distL="0" distR="0">
            <wp:extent cx="5947410" cy="1950085"/>
            <wp:effectExtent l="0" t="0" r="1524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947410" cy="1950085"/>
                    </a:xfrm>
                    <a:prstGeom prst="rect">
                      <a:avLst/>
                    </a:prstGeom>
                  </pic:spPr>
                </pic:pic>
              </a:graphicData>
            </a:graphic>
          </wp:inline>
        </w:drawing>
      </w:r>
    </w:p>
    <w:p>
      <w:pPr>
        <w:spacing w:before="235" w:line="176" w:lineRule="auto"/>
        <w:ind w:firstLine="224" w:firstLineChars="1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消息面：</w:t>
      </w:r>
      <w:r>
        <w:rPr>
          <w:rFonts w:hint="eastAsia" w:ascii="微软雅黑" w:hAnsi="微软雅黑" w:eastAsia="微软雅黑" w:cs="微软雅黑"/>
          <w:spacing w:val="12"/>
          <w:sz w:val="24"/>
          <w:szCs w:val="24"/>
          <w:lang w:val="en-US" w:eastAsia="zh-CN"/>
        </w:rPr>
        <w:t>夜盘沪市贵金属普遍收涨，沪银涨幅较大。昨日美联储于FOMC会议表示将维持当前的联邦基金目标利率水平，并重申将等待对通胀更有信心时降息。除公布利率决议外，本次会议公布的点阵图显示美联储官员主流认为年内将降息三次，但缩减了2025年的降息空间，同时美联储也上调了年内经济增速预期以及通胀预期。</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外盘持仓方面：截至</w:t>
      </w:r>
      <w:r>
        <w:rPr>
          <w:rFonts w:hint="eastAsia" w:ascii="微软雅黑" w:hAnsi="微软雅黑" w:eastAsia="微软雅黑" w:cs="微软雅黑"/>
          <w:spacing w:val="12"/>
          <w:sz w:val="24"/>
          <w:szCs w:val="24"/>
          <w:lang w:val="en-US" w:eastAsia="zh-CN"/>
        </w:rPr>
        <w:t>3</w:t>
      </w:r>
      <w:r>
        <w:rPr>
          <w:rFonts w:hint="eastAsia" w:ascii="微软雅黑" w:hAnsi="微软雅黑" w:eastAsia="微软雅黑" w:cs="微软雅黑"/>
          <w:spacing w:val="12"/>
          <w:sz w:val="24"/>
          <w:szCs w:val="24"/>
        </w:rPr>
        <w:t>月</w:t>
      </w:r>
      <w:r>
        <w:rPr>
          <w:rFonts w:hint="eastAsia" w:ascii="微软雅黑" w:hAnsi="微软雅黑" w:eastAsia="微软雅黑" w:cs="微软雅黑"/>
          <w:spacing w:val="12"/>
          <w:sz w:val="24"/>
          <w:szCs w:val="24"/>
          <w:lang w:val="en-US" w:eastAsia="zh-CN"/>
        </w:rPr>
        <w:t>20</w:t>
      </w:r>
      <w:r>
        <w:rPr>
          <w:rFonts w:hint="eastAsia" w:ascii="微软雅黑" w:hAnsi="微软雅黑" w:eastAsia="微软雅黑" w:cs="微软雅黑"/>
          <w:spacing w:val="12"/>
          <w:sz w:val="24"/>
          <w:szCs w:val="24"/>
        </w:rPr>
        <w:t>日，SPDR Gold Trust黄金ETF持仓量为</w:t>
      </w:r>
      <w:r>
        <w:rPr>
          <w:rFonts w:hint="eastAsia" w:ascii="微软雅黑" w:hAnsi="微软雅黑" w:eastAsia="微软雅黑" w:cs="微软雅黑"/>
          <w:spacing w:val="12"/>
          <w:sz w:val="24"/>
          <w:szCs w:val="24"/>
          <w:lang w:val="en-US" w:eastAsia="zh-CN"/>
        </w:rPr>
        <w:t>838.5</w:t>
      </w:r>
      <w:r>
        <w:rPr>
          <w:rFonts w:hint="eastAsia" w:ascii="微软雅黑" w:hAnsi="微软雅黑" w:eastAsia="微软雅黑" w:cs="微软雅黑"/>
          <w:spacing w:val="12"/>
          <w:sz w:val="24"/>
          <w:szCs w:val="24"/>
        </w:rPr>
        <w:t>吨</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较</w:t>
      </w:r>
      <w:r>
        <w:rPr>
          <w:rFonts w:hint="eastAsia" w:ascii="微软雅黑" w:hAnsi="微软雅黑" w:eastAsia="微软雅黑" w:cs="微软雅黑"/>
          <w:spacing w:val="12"/>
          <w:sz w:val="24"/>
          <w:szCs w:val="24"/>
        </w:rPr>
        <w:t>上一交易</w:t>
      </w:r>
      <w:r>
        <w:rPr>
          <w:rFonts w:hint="eastAsia" w:ascii="微软雅黑" w:hAnsi="微软雅黑" w:eastAsia="微软雅黑" w:cs="微软雅黑"/>
          <w:spacing w:val="12"/>
          <w:sz w:val="24"/>
          <w:szCs w:val="24"/>
          <w:lang w:val="en-US" w:eastAsia="zh-CN"/>
        </w:rPr>
        <w:t>日上涨1.15吨</w:t>
      </w:r>
      <w:r>
        <w:rPr>
          <w:rFonts w:hint="eastAsia" w:ascii="微软雅黑" w:hAnsi="微软雅黑" w:eastAsia="微软雅黑" w:cs="微软雅黑"/>
          <w:spacing w:val="12"/>
          <w:sz w:val="24"/>
          <w:szCs w:val="24"/>
        </w:rPr>
        <w:t>。</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lang w:val="en-US" w:eastAsia="zh-CN"/>
        </w:rPr>
        <w:t>往后看，短期内市场对美联储年内降息三次定价已相对充分，本次市场对会议解读较为鸽派，但从细节可见支持年内降息三次的官员有所减少，在通胀预期上调的情况下未来降息空间或仍有变数，美债收益率及美元指数或仍将得到一定支撑，贵金属价格在短期内国债收益率回落的情况下或得到进一步提振。操作上建议，日内观望为主，请投资者注意风险控制。</w:t>
      </w:r>
    </w:p>
    <w:p>
      <w:pPr>
        <w:spacing w:before="103" w:line="256" w:lineRule="auto"/>
        <w:ind w:right="743"/>
        <w:jc w:val="both"/>
      </w:pPr>
      <w:r>
        <w:drawing>
          <wp:inline distT="0" distB="0" distL="114300" distR="114300">
            <wp:extent cx="5962650" cy="1726565"/>
            <wp:effectExtent l="0" t="0" r="0" b="698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8"/>
                    <a:stretch>
                      <a:fillRect/>
                    </a:stretch>
                  </pic:blipFill>
                  <pic:spPr>
                    <a:xfrm>
                      <a:off x="0" y="0"/>
                      <a:ext cx="5962650" cy="1726565"/>
                    </a:xfrm>
                    <a:prstGeom prst="rect">
                      <a:avLst/>
                    </a:prstGeom>
                    <a:noFill/>
                    <a:ln>
                      <a:noFill/>
                    </a:ln>
                  </pic:spPr>
                </pic:pic>
              </a:graphicData>
            </a:graphic>
          </wp:inline>
        </w:drawing>
      </w:r>
    </w:p>
    <w:p>
      <w:pPr>
        <w:spacing w:before="235" w:line="176" w:lineRule="auto"/>
        <w:ind w:firstLine="224" w:firstLineChars="1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7"/>
          <w:sz w:val="21"/>
          <w:szCs w:val="21"/>
          <w:lang w:val="en-US"/>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今年乌克兰加大了对俄罗斯原油基础设施的攻击力度，仅本月就有至少七家俄罗斯炼油厂成为无人机袭击目标。这可能导致俄罗斯炼油能力下降7%，即370,500桶/日。</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斯通艾克斯公司的分析师阿历克斯霍德斯表示，虽然炼油活动减少导致俄罗斯原油出口增加，但是由于储存空间方面的限制，也可能导致俄罗斯减少原油产量。他估计乌克兰对俄罗斯炼油厂的袭击可能导致全球原油供应量减少约35万桶/日，并因此推动美国原油价格上涨3美元/桶。</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瑞典北欧斯安银行（SEB）分析师比亚内?希尔德罗普周一表示，即使袭击不会导致俄罗斯原油供应直接受损，成品油利润飙升仍会对油价构成比价支持。</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沙特和伊拉克原油出口下降，而中国和美国需求强劲，也为油价提供了支撑。</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美国商务部报告称，二月份美国单户住宅建设大幅反弹。住宅建设可以促进经济增长，支撑石油需求。</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瑞银分析师表示，原油需求数据令人惊讶，加上欧佩克联盟自愿减产期限延长至6月底，均为油价上涨提供支撑。他估计原油价格将在6月底达到86美元。</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纽约商品期货交易所（NYMEX）的西德克萨斯中质原油（WTI）5月合约较上一交易日上涨0.57美元或0.69%，报82.73美元/桶，短期呈现震荡上涨走势。支撑位：80；压力位：83.8。</w:t>
      </w:r>
    </w:p>
    <w:p>
      <w:pPr>
        <w:spacing w:before="103" w:line="256" w:lineRule="auto"/>
        <w:ind w:right="743"/>
        <w:jc w:val="both"/>
      </w:pPr>
      <w:r>
        <w:drawing>
          <wp:inline distT="0" distB="0" distL="0" distR="0">
            <wp:extent cx="6107430" cy="3440430"/>
            <wp:effectExtent l="0" t="0" r="762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6107430" cy="3440430"/>
                    </a:xfrm>
                    <a:prstGeom prst="rect">
                      <a:avLst/>
                    </a:prstGeom>
                  </pic:spPr>
                </pic:pic>
              </a:graphicData>
            </a:graphic>
          </wp:inline>
        </w:drawing>
      </w:r>
    </w:p>
    <w:p>
      <w:pPr>
        <w:spacing w:before="235" w:line="176"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4"/>
      <w:bookmarkStart w:id="1" w:name="OLE_LINK3"/>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洲际期货交易所（ICE）原糖期货周三收高，但盘中触及10日低位。交投最活跃的ICE 5月原糖期货合约收盘收涨0.13美分或0.60%，结算价每磅21.77美分。操作上</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建议5月 ICE 原糖短期暂且观望。</w:t>
      </w: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lang w:eastAsia="zh-CN"/>
        </w:rPr>
        <w:drawing>
          <wp:inline distT="0" distB="0" distL="114300" distR="114300">
            <wp:extent cx="5974080" cy="2948940"/>
            <wp:effectExtent l="0" t="0" r="7620" b="3810"/>
            <wp:docPr id="20" name="图片 20" descr="7090ef7ca9eac66778b1dea4cdb5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090ef7ca9eac66778b1dea4cdb5c31"/>
                    <pic:cNvPicPr>
                      <a:picLocks noChangeAspect="1"/>
                    </pic:cNvPicPr>
                  </pic:nvPicPr>
                  <pic:blipFill>
                    <a:blip r:embed="rId20"/>
                    <a:stretch>
                      <a:fillRect/>
                    </a:stretch>
                  </pic:blipFill>
                  <pic:spPr>
                    <a:xfrm>
                      <a:off x="0" y="0"/>
                      <a:ext cx="5974080" cy="294894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洲际交易所(ICE)棉花期货周三下跌，触及一个月来最低水平，受美元走强及其他市场悲观情绪拖累。交投最活跃的ICE 5月期棉收跌1.16美分或1.20%，结算价报92.18美分/磅。操作上，建议5月 ICE 期棉短期暂且观望为宜。</w:t>
      </w:r>
    </w:p>
    <w:p>
      <w:pPr>
        <w:spacing w:before="103" w:line="256" w:lineRule="auto"/>
        <w:ind w:right="743"/>
        <w:jc w:val="center"/>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5884545" cy="2649220"/>
            <wp:effectExtent l="0" t="0" r="1905" b="17780"/>
            <wp:docPr id="22" name="图片 22" descr="eb596eb7a936d49b3ba2c011e3ea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b596eb7a936d49b3ba2c011e3eafbd"/>
                    <pic:cNvPicPr>
                      <a:picLocks noChangeAspect="1"/>
                    </pic:cNvPicPr>
                  </pic:nvPicPr>
                  <pic:blipFill>
                    <a:blip r:embed="rId21"/>
                    <a:stretch>
                      <a:fillRect/>
                    </a:stretch>
                  </pic:blipFill>
                  <pic:spPr>
                    <a:xfrm>
                      <a:off x="0" y="0"/>
                      <a:ext cx="5884545" cy="264922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t>图9：ICE棉花期货主力合约日走势图及支撑位、阻力位</w:t>
      </w: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7" w:type="default"/>
          <w:footerReference r:id="rId8"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CA7EEA"/>
    <w:rsid w:val="00D348C5"/>
    <w:rsid w:val="011E3D92"/>
    <w:rsid w:val="018F67B1"/>
    <w:rsid w:val="01B6046E"/>
    <w:rsid w:val="01FA65AD"/>
    <w:rsid w:val="02A97FD3"/>
    <w:rsid w:val="02B7624C"/>
    <w:rsid w:val="02BC7D06"/>
    <w:rsid w:val="033C0E47"/>
    <w:rsid w:val="03661A20"/>
    <w:rsid w:val="03AA4003"/>
    <w:rsid w:val="03D64DF8"/>
    <w:rsid w:val="04405814"/>
    <w:rsid w:val="0495080F"/>
    <w:rsid w:val="04CD0E7B"/>
    <w:rsid w:val="04E43544"/>
    <w:rsid w:val="04E55250"/>
    <w:rsid w:val="053D4696"/>
    <w:rsid w:val="056D52E8"/>
    <w:rsid w:val="06D860E7"/>
    <w:rsid w:val="06E91363"/>
    <w:rsid w:val="072919FB"/>
    <w:rsid w:val="07375BAD"/>
    <w:rsid w:val="07652B87"/>
    <w:rsid w:val="07950B26"/>
    <w:rsid w:val="07F5280A"/>
    <w:rsid w:val="080F6B2A"/>
    <w:rsid w:val="08B5322E"/>
    <w:rsid w:val="09174F67"/>
    <w:rsid w:val="09252A9B"/>
    <w:rsid w:val="093E76C7"/>
    <w:rsid w:val="09840E52"/>
    <w:rsid w:val="099A2423"/>
    <w:rsid w:val="09F02DF6"/>
    <w:rsid w:val="0A1470E4"/>
    <w:rsid w:val="0A2A37A7"/>
    <w:rsid w:val="0A533A62"/>
    <w:rsid w:val="0A7D5FCD"/>
    <w:rsid w:val="0A823CEB"/>
    <w:rsid w:val="0A9B3267"/>
    <w:rsid w:val="0AA82AC5"/>
    <w:rsid w:val="0ABF0394"/>
    <w:rsid w:val="0AFD2C6A"/>
    <w:rsid w:val="0B775713"/>
    <w:rsid w:val="0BA87886"/>
    <w:rsid w:val="0C1E10EA"/>
    <w:rsid w:val="0D766D04"/>
    <w:rsid w:val="0E211365"/>
    <w:rsid w:val="0E8A6F0A"/>
    <w:rsid w:val="0EC40C69"/>
    <w:rsid w:val="0F0E09E8"/>
    <w:rsid w:val="0F425337"/>
    <w:rsid w:val="101E5B5C"/>
    <w:rsid w:val="104135F9"/>
    <w:rsid w:val="105A46BB"/>
    <w:rsid w:val="10A51DDA"/>
    <w:rsid w:val="1126167A"/>
    <w:rsid w:val="115F642C"/>
    <w:rsid w:val="12064AFA"/>
    <w:rsid w:val="12DD56D0"/>
    <w:rsid w:val="13914897"/>
    <w:rsid w:val="13E83022"/>
    <w:rsid w:val="146B1AFA"/>
    <w:rsid w:val="15357EA3"/>
    <w:rsid w:val="1546345F"/>
    <w:rsid w:val="15FA0A52"/>
    <w:rsid w:val="162163A6"/>
    <w:rsid w:val="163007A4"/>
    <w:rsid w:val="16323E9D"/>
    <w:rsid w:val="16526560"/>
    <w:rsid w:val="16532BAF"/>
    <w:rsid w:val="167F4E7B"/>
    <w:rsid w:val="16C117E9"/>
    <w:rsid w:val="16E84EEA"/>
    <w:rsid w:val="16ED5F07"/>
    <w:rsid w:val="17231CAA"/>
    <w:rsid w:val="1750680B"/>
    <w:rsid w:val="17A62F40"/>
    <w:rsid w:val="17C36FE9"/>
    <w:rsid w:val="181A30AD"/>
    <w:rsid w:val="188F46B1"/>
    <w:rsid w:val="193957B5"/>
    <w:rsid w:val="19891B44"/>
    <w:rsid w:val="19E37FA1"/>
    <w:rsid w:val="1A7F5449"/>
    <w:rsid w:val="1AEE342A"/>
    <w:rsid w:val="1B143435"/>
    <w:rsid w:val="1BCC2910"/>
    <w:rsid w:val="1BE952E4"/>
    <w:rsid w:val="1BEC2FB3"/>
    <w:rsid w:val="1C220782"/>
    <w:rsid w:val="1C2F2E9F"/>
    <w:rsid w:val="1C3C502D"/>
    <w:rsid w:val="1C56667E"/>
    <w:rsid w:val="1C9871D4"/>
    <w:rsid w:val="1CB6711D"/>
    <w:rsid w:val="1CDB7F58"/>
    <w:rsid w:val="1D063C00"/>
    <w:rsid w:val="1D077978"/>
    <w:rsid w:val="1D5038FF"/>
    <w:rsid w:val="1DE026A3"/>
    <w:rsid w:val="1EDA46D4"/>
    <w:rsid w:val="1F047D4E"/>
    <w:rsid w:val="1FBB3CE7"/>
    <w:rsid w:val="1FCF6E73"/>
    <w:rsid w:val="1FE453E9"/>
    <w:rsid w:val="200B4005"/>
    <w:rsid w:val="201C373B"/>
    <w:rsid w:val="203B1E13"/>
    <w:rsid w:val="213571AA"/>
    <w:rsid w:val="213836B0"/>
    <w:rsid w:val="213B4094"/>
    <w:rsid w:val="21893052"/>
    <w:rsid w:val="219E4C0D"/>
    <w:rsid w:val="22CF093F"/>
    <w:rsid w:val="23476D20"/>
    <w:rsid w:val="23F24EDE"/>
    <w:rsid w:val="24613C0B"/>
    <w:rsid w:val="24651B54"/>
    <w:rsid w:val="2490190B"/>
    <w:rsid w:val="25324D05"/>
    <w:rsid w:val="26591245"/>
    <w:rsid w:val="269C3827"/>
    <w:rsid w:val="26C708A4"/>
    <w:rsid w:val="27196C26"/>
    <w:rsid w:val="274912B9"/>
    <w:rsid w:val="27BA1634"/>
    <w:rsid w:val="27D03788"/>
    <w:rsid w:val="287265EE"/>
    <w:rsid w:val="28D450EA"/>
    <w:rsid w:val="28D5055F"/>
    <w:rsid w:val="28FC39E6"/>
    <w:rsid w:val="29895F83"/>
    <w:rsid w:val="2AA841F2"/>
    <w:rsid w:val="2BCA04EF"/>
    <w:rsid w:val="2C5030EA"/>
    <w:rsid w:val="2C934D84"/>
    <w:rsid w:val="2CC413E2"/>
    <w:rsid w:val="2CE028C6"/>
    <w:rsid w:val="2D012F66"/>
    <w:rsid w:val="2D771923"/>
    <w:rsid w:val="2D776454"/>
    <w:rsid w:val="2D7B5F44"/>
    <w:rsid w:val="2DA84860"/>
    <w:rsid w:val="2DFB5908"/>
    <w:rsid w:val="2E0065CE"/>
    <w:rsid w:val="2E312AA7"/>
    <w:rsid w:val="2E746294"/>
    <w:rsid w:val="2F1F6DA3"/>
    <w:rsid w:val="2F391C13"/>
    <w:rsid w:val="2FA63021"/>
    <w:rsid w:val="2FAA2B11"/>
    <w:rsid w:val="2FF41FDE"/>
    <w:rsid w:val="2FFB511A"/>
    <w:rsid w:val="30155912"/>
    <w:rsid w:val="30C9346B"/>
    <w:rsid w:val="30FF50DE"/>
    <w:rsid w:val="311D7312"/>
    <w:rsid w:val="313E79B5"/>
    <w:rsid w:val="318A49A8"/>
    <w:rsid w:val="31D644AB"/>
    <w:rsid w:val="32A24300"/>
    <w:rsid w:val="32E92FB9"/>
    <w:rsid w:val="33526CEF"/>
    <w:rsid w:val="33F8661C"/>
    <w:rsid w:val="34945433"/>
    <w:rsid w:val="354B627A"/>
    <w:rsid w:val="36C26992"/>
    <w:rsid w:val="36EF34FF"/>
    <w:rsid w:val="375D66BB"/>
    <w:rsid w:val="381474C6"/>
    <w:rsid w:val="38183E1B"/>
    <w:rsid w:val="38295077"/>
    <w:rsid w:val="38613F89"/>
    <w:rsid w:val="38D37AC3"/>
    <w:rsid w:val="38F66DC7"/>
    <w:rsid w:val="39AB195F"/>
    <w:rsid w:val="3A1439A9"/>
    <w:rsid w:val="3A357A7E"/>
    <w:rsid w:val="3A6B10EF"/>
    <w:rsid w:val="3AEB650A"/>
    <w:rsid w:val="3AF5356F"/>
    <w:rsid w:val="3B3460C0"/>
    <w:rsid w:val="3B755158"/>
    <w:rsid w:val="3B862684"/>
    <w:rsid w:val="3BA90120"/>
    <w:rsid w:val="3C241E9D"/>
    <w:rsid w:val="3C485465"/>
    <w:rsid w:val="3C4E5B21"/>
    <w:rsid w:val="3C540EF7"/>
    <w:rsid w:val="3CC11038"/>
    <w:rsid w:val="3D255ECD"/>
    <w:rsid w:val="3D7824A0"/>
    <w:rsid w:val="3D932E36"/>
    <w:rsid w:val="3DEB0EC4"/>
    <w:rsid w:val="3DF02037"/>
    <w:rsid w:val="3DF638A0"/>
    <w:rsid w:val="3E4F69BB"/>
    <w:rsid w:val="3E7964D0"/>
    <w:rsid w:val="3E891DA4"/>
    <w:rsid w:val="3EA52668"/>
    <w:rsid w:val="3EBD0EE2"/>
    <w:rsid w:val="3F141D55"/>
    <w:rsid w:val="3FE43E1D"/>
    <w:rsid w:val="40EE65D6"/>
    <w:rsid w:val="41A73354"/>
    <w:rsid w:val="41C757A4"/>
    <w:rsid w:val="41D41C6F"/>
    <w:rsid w:val="42162288"/>
    <w:rsid w:val="429D02B3"/>
    <w:rsid w:val="43004B7A"/>
    <w:rsid w:val="430F539D"/>
    <w:rsid w:val="43212C92"/>
    <w:rsid w:val="43972F54"/>
    <w:rsid w:val="443A0129"/>
    <w:rsid w:val="45131232"/>
    <w:rsid w:val="45401AF6"/>
    <w:rsid w:val="457804D5"/>
    <w:rsid w:val="45EC7588"/>
    <w:rsid w:val="45F20916"/>
    <w:rsid w:val="463236F2"/>
    <w:rsid w:val="463D7DE3"/>
    <w:rsid w:val="4694464B"/>
    <w:rsid w:val="46954ED9"/>
    <w:rsid w:val="46A61E2C"/>
    <w:rsid w:val="475A2C17"/>
    <w:rsid w:val="47A83982"/>
    <w:rsid w:val="47DE55F6"/>
    <w:rsid w:val="485422E0"/>
    <w:rsid w:val="486C49B0"/>
    <w:rsid w:val="486F10A5"/>
    <w:rsid w:val="487565D5"/>
    <w:rsid w:val="4921579A"/>
    <w:rsid w:val="49341FF9"/>
    <w:rsid w:val="49725FF6"/>
    <w:rsid w:val="49F04DE4"/>
    <w:rsid w:val="4A0B01F8"/>
    <w:rsid w:val="4A175E73"/>
    <w:rsid w:val="4A954A5F"/>
    <w:rsid w:val="4ADF52C2"/>
    <w:rsid w:val="4B2E23F0"/>
    <w:rsid w:val="4BDE5BC4"/>
    <w:rsid w:val="4C8C4B93"/>
    <w:rsid w:val="4CEC6287"/>
    <w:rsid w:val="4DF0398D"/>
    <w:rsid w:val="4DFE3442"/>
    <w:rsid w:val="4EA053B3"/>
    <w:rsid w:val="4EAB2916"/>
    <w:rsid w:val="4F053A58"/>
    <w:rsid w:val="4F590025"/>
    <w:rsid w:val="4F960564"/>
    <w:rsid w:val="50200DCA"/>
    <w:rsid w:val="512236AA"/>
    <w:rsid w:val="51552C9C"/>
    <w:rsid w:val="52025B23"/>
    <w:rsid w:val="527E5B61"/>
    <w:rsid w:val="52EB11E0"/>
    <w:rsid w:val="536912CC"/>
    <w:rsid w:val="536C09D1"/>
    <w:rsid w:val="53963CFA"/>
    <w:rsid w:val="540C0A08"/>
    <w:rsid w:val="54E12D87"/>
    <w:rsid w:val="55055F70"/>
    <w:rsid w:val="556829A3"/>
    <w:rsid w:val="557A3281"/>
    <w:rsid w:val="55D50038"/>
    <w:rsid w:val="561641AD"/>
    <w:rsid w:val="56C85EF8"/>
    <w:rsid w:val="56CD6F61"/>
    <w:rsid w:val="570341F8"/>
    <w:rsid w:val="575B27BF"/>
    <w:rsid w:val="57B67C8D"/>
    <w:rsid w:val="57EF4CB5"/>
    <w:rsid w:val="58346B6C"/>
    <w:rsid w:val="589D1393"/>
    <w:rsid w:val="58E70221"/>
    <w:rsid w:val="59314975"/>
    <w:rsid w:val="59C10AB4"/>
    <w:rsid w:val="59D56296"/>
    <w:rsid w:val="59D95C1D"/>
    <w:rsid w:val="59DE62A0"/>
    <w:rsid w:val="5AE605F2"/>
    <w:rsid w:val="5AF54CD9"/>
    <w:rsid w:val="5AFD593B"/>
    <w:rsid w:val="5B8A42EF"/>
    <w:rsid w:val="5BBC1352"/>
    <w:rsid w:val="5BFB631F"/>
    <w:rsid w:val="5C003935"/>
    <w:rsid w:val="5C0351D3"/>
    <w:rsid w:val="5C3F3891"/>
    <w:rsid w:val="5C484871"/>
    <w:rsid w:val="5C967DF5"/>
    <w:rsid w:val="5CFF1E3E"/>
    <w:rsid w:val="5DDF5B1F"/>
    <w:rsid w:val="5DE352BC"/>
    <w:rsid w:val="5E253BAB"/>
    <w:rsid w:val="5EDA6D5D"/>
    <w:rsid w:val="5F117C07"/>
    <w:rsid w:val="5F230066"/>
    <w:rsid w:val="5F2931A3"/>
    <w:rsid w:val="5F3538F6"/>
    <w:rsid w:val="5F381638"/>
    <w:rsid w:val="5F73441E"/>
    <w:rsid w:val="5FAD7930"/>
    <w:rsid w:val="5FC829BC"/>
    <w:rsid w:val="5FCF3D4A"/>
    <w:rsid w:val="5FEA2B00"/>
    <w:rsid w:val="60883EF9"/>
    <w:rsid w:val="608B2C81"/>
    <w:rsid w:val="608F34D9"/>
    <w:rsid w:val="60AF3879"/>
    <w:rsid w:val="61FD5295"/>
    <w:rsid w:val="62E83E16"/>
    <w:rsid w:val="631F28F3"/>
    <w:rsid w:val="636E5E0F"/>
    <w:rsid w:val="63DF2082"/>
    <w:rsid w:val="63ED479F"/>
    <w:rsid w:val="63F10999"/>
    <w:rsid w:val="6509385A"/>
    <w:rsid w:val="653D1756"/>
    <w:rsid w:val="65AD4482"/>
    <w:rsid w:val="65B25CA0"/>
    <w:rsid w:val="672A3F5C"/>
    <w:rsid w:val="6756421A"/>
    <w:rsid w:val="67780EDA"/>
    <w:rsid w:val="67FA392E"/>
    <w:rsid w:val="68A5389A"/>
    <w:rsid w:val="68AF1D6D"/>
    <w:rsid w:val="68D93544"/>
    <w:rsid w:val="690C3CE7"/>
    <w:rsid w:val="694C3FC0"/>
    <w:rsid w:val="69F66377"/>
    <w:rsid w:val="6A503CD9"/>
    <w:rsid w:val="6A696B49"/>
    <w:rsid w:val="6AC65D4A"/>
    <w:rsid w:val="6AD46A66"/>
    <w:rsid w:val="6B7D161D"/>
    <w:rsid w:val="6B9023FF"/>
    <w:rsid w:val="6BD41C61"/>
    <w:rsid w:val="6D194017"/>
    <w:rsid w:val="6D837F22"/>
    <w:rsid w:val="6DD10C8D"/>
    <w:rsid w:val="6E22773B"/>
    <w:rsid w:val="6E602011"/>
    <w:rsid w:val="6E761835"/>
    <w:rsid w:val="6EA6211A"/>
    <w:rsid w:val="6F6D5423"/>
    <w:rsid w:val="6F7C0E3D"/>
    <w:rsid w:val="6F8E41A4"/>
    <w:rsid w:val="6FA32AFD"/>
    <w:rsid w:val="703235D5"/>
    <w:rsid w:val="70705949"/>
    <w:rsid w:val="70744007"/>
    <w:rsid w:val="710650F2"/>
    <w:rsid w:val="71431EA2"/>
    <w:rsid w:val="715C2F64"/>
    <w:rsid w:val="71804EA4"/>
    <w:rsid w:val="722F68CA"/>
    <w:rsid w:val="724D08F0"/>
    <w:rsid w:val="72A5093A"/>
    <w:rsid w:val="73634A7D"/>
    <w:rsid w:val="73682094"/>
    <w:rsid w:val="737C169B"/>
    <w:rsid w:val="739C3AEB"/>
    <w:rsid w:val="74117C8D"/>
    <w:rsid w:val="74806F69"/>
    <w:rsid w:val="75717E89"/>
    <w:rsid w:val="762A27DA"/>
    <w:rsid w:val="76816FC9"/>
    <w:rsid w:val="773D1603"/>
    <w:rsid w:val="77D71596"/>
    <w:rsid w:val="7924080B"/>
    <w:rsid w:val="792D540E"/>
    <w:rsid w:val="798F3644"/>
    <w:rsid w:val="79D10450"/>
    <w:rsid w:val="7A286917"/>
    <w:rsid w:val="7A290118"/>
    <w:rsid w:val="7A97688D"/>
    <w:rsid w:val="7AF256B6"/>
    <w:rsid w:val="7B051225"/>
    <w:rsid w:val="7B914268"/>
    <w:rsid w:val="7C444D20"/>
    <w:rsid w:val="7C7C0DEA"/>
    <w:rsid w:val="7CB00608"/>
    <w:rsid w:val="7D3935CB"/>
    <w:rsid w:val="7D9A4AFF"/>
    <w:rsid w:val="7DAC5273"/>
    <w:rsid w:val="7DB14637"/>
    <w:rsid w:val="7DBF464A"/>
    <w:rsid w:val="7DF84014"/>
    <w:rsid w:val="7E074257"/>
    <w:rsid w:val="7EB20667"/>
    <w:rsid w:val="7EF94618"/>
    <w:rsid w:val="7F211349"/>
    <w:rsid w:val="7F2C21C7"/>
    <w:rsid w:val="7F405C73"/>
    <w:rsid w:val="7FC9626B"/>
    <w:rsid w:val="7FD0349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iPriority w:val="0"/>
    <w:rPr>
      <w:color w:val="0000FF"/>
      <w:u w:val="single"/>
    </w:rPr>
  </w:style>
  <w:style w:type="paragraph" w:customStyle="1" w:styleId="9">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2024-03-21T01:18:01Z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D23AE21371AD4B2A936F48373C5D0EDD_13</vt:lpwstr>
  </property>
</Properties>
</file>