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2024年3月</w:t>
      </w:r>
      <w:r>
        <w:rPr>
          <w:rFonts w:hint="eastAsia" w:ascii="微软雅黑" w:hAnsi="微软雅黑" w:eastAsia="微软雅黑" w:cs="微软雅黑"/>
          <w:b/>
          <w:bCs/>
          <w:color w:val="005D97"/>
          <w:spacing w:val="-22"/>
          <w:sz w:val="48"/>
          <w:szCs w:val="48"/>
          <w:lang w:val="en-US" w:eastAsia="zh-CN"/>
        </w:rPr>
        <w:t>22</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496" w:firstLineChars="200"/>
        <w:jc w:val="both"/>
        <w:textAlignment w:val="baseline"/>
        <w:rPr>
          <w:rFonts w:hint="eastAsia" w:ascii="微软雅黑" w:hAnsi="微软雅黑" w:eastAsia="微软雅黑" w:cs="微软雅黑"/>
          <w:spacing w:val="12"/>
          <w:sz w:val="24"/>
          <w:szCs w:val="24"/>
          <w:lang w:eastAsia="zh-CN"/>
        </w:rPr>
      </w:pPr>
      <w:r>
        <w:rPr>
          <w:rFonts w:ascii="微软雅黑" w:hAnsi="微软雅黑" w:eastAsia="微软雅黑" w:cs="微软雅黑"/>
          <w:spacing w:val="4"/>
          <w:sz w:val="24"/>
          <w:szCs w:val="24"/>
        </w:rPr>
        <w:t>截至3月</w:t>
      </w:r>
      <w:r>
        <w:rPr>
          <w:rFonts w:hint="eastAsia" w:ascii="微软雅黑" w:hAnsi="微软雅黑" w:eastAsia="微软雅黑" w:cs="微软雅黑"/>
          <w:spacing w:val="4"/>
          <w:sz w:val="24"/>
          <w:szCs w:val="24"/>
          <w:lang w:val="en-US" w:eastAsia="zh-CN"/>
        </w:rPr>
        <w:t>21</w:t>
      </w:r>
      <w:r>
        <w:rPr>
          <w:rFonts w:ascii="微软雅黑" w:hAnsi="微软雅黑" w:eastAsia="微软雅黑" w:cs="微软雅黑"/>
          <w:spacing w:val="4"/>
          <w:sz w:val="24"/>
          <w:szCs w:val="24"/>
        </w:rPr>
        <w:t>日，</w:t>
      </w:r>
      <w:r>
        <w:rPr>
          <w:rFonts w:hint="eastAsia" w:ascii="微软雅黑" w:hAnsi="微软雅黑" w:eastAsia="微软雅黑" w:cs="微软雅黑"/>
          <w:spacing w:val="4"/>
          <w:sz w:val="24"/>
          <w:szCs w:val="24"/>
        </w:rPr>
        <w:t>美国三大股指</w:t>
      </w:r>
      <w:r>
        <w:rPr>
          <w:rFonts w:hint="eastAsia" w:ascii="微软雅黑" w:hAnsi="微软雅黑" w:eastAsia="微软雅黑" w:cs="微软雅黑"/>
          <w:spacing w:val="4"/>
          <w:sz w:val="24"/>
          <w:szCs w:val="24"/>
          <w:lang w:val="en-US" w:eastAsia="zh-CN"/>
        </w:rPr>
        <w:t>继续上涨，再创历史新高，</w:t>
      </w:r>
      <w:r>
        <w:rPr>
          <w:rFonts w:ascii="微软雅黑" w:hAnsi="微软雅黑" w:eastAsia="微软雅黑" w:cs="微软雅黑"/>
          <w:spacing w:val="4"/>
          <w:sz w:val="24"/>
          <w:szCs w:val="24"/>
        </w:rPr>
        <w:t>道指</w:t>
      </w:r>
      <w:r>
        <w:rPr>
          <w:rFonts w:hint="eastAsia" w:ascii="微软雅黑" w:hAnsi="微软雅黑" w:eastAsia="微软雅黑" w:cs="微软雅黑"/>
          <w:spacing w:val="4"/>
          <w:sz w:val="24"/>
          <w:szCs w:val="24"/>
        </w:rPr>
        <w:t>涨</w:t>
      </w:r>
      <w:r>
        <w:rPr>
          <w:rFonts w:hint="eastAsia" w:ascii="微软雅黑" w:hAnsi="微软雅黑" w:eastAsia="微软雅黑" w:cs="微软雅黑"/>
          <w:spacing w:val="4"/>
          <w:sz w:val="24"/>
          <w:szCs w:val="24"/>
          <w:lang w:val="en-US" w:eastAsia="zh-CN"/>
        </w:rPr>
        <w:t>超300点。自5月28日起，美股交易结算周期从T+2变成T+1。</w:t>
      </w:r>
      <w:r>
        <w:rPr>
          <w:rFonts w:hint="eastAsia" w:ascii="微软雅黑" w:hAnsi="微软雅黑" w:eastAsia="微软雅黑" w:cs="微软雅黑"/>
          <w:spacing w:val="4"/>
          <w:sz w:val="24"/>
          <w:szCs w:val="24"/>
          <w:lang w:eastAsia="zh-CN"/>
        </w:rPr>
        <w:t>美元指数跌涨0.58%报104.01，非美货币普遍下跌，离岸人民币对美元跌106个基点报7.2218。国际油价全线下跌；国际贵金属期货</w:t>
      </w:r>
      <w:r>
        <w:rPr>
          <w:rFonts w:hint="eastAsia" w:ascii="微软雅黑" w:hAnsi="微软雅黑" w:eastAsia="微软雅黑" w:cs="微软雅黑"/>
          <w:spacing w:val="4"/>
          <w:sz w:val="24"/>
          <w:szCs w:val="24"/>
          <w:lang w:val="en-US" w:eastAsia="zh-CN"/>
        </w:rPr>
        <w:t>收盘涨跌不一</w:t>
      </w:r>
      <w:r>
        <w:rPr>
          <w:rFonts w:hint="eastAsia" w:ascii="微软雅黑" w:hAnsi="微软雅黑" w:eastAsia="微软雅黑" w:cs="微软雅黑"/>
          <w:spacing w:val="4"/>
          <w:sz w:val="24"/>
          <w:szCs w:val="24"/>
          <w:lang w:eastAsia="zh-CN"/>
        </w:rPr>
        <w:t>，</w:t>
      </w:r>
      <w:r>
        <w:rPr>
          <w:rFonts w:ascii="微软雅黑" w:hAnsi="微软雅黑" w:eastAsia="微软雅黑" w:cs="微软雅黑"/>
          <w:sz w:val="24"/>
          <w:szCs w:val="24"/>
        </w:rPr>
        <w:t>LME</w:t>
      </w:r>
      <w:r>
        <w:rPr>
          <w:rFonts w:ascii="微软雅黑" w:hAnsi="微软雅黑" w:eastAsia="微软雅黑" w:cs="微软雅黑"/>
          <w:spacing w:val="4"/>
          <w:sz w:val="24"/>
          <w:szCs w:val="24"/>
        </w:rPr>
        <w:t>期铜涨0.4%</w:t>
      </w:r>
      <w:r>
        <w:rPr>
          <w:rFonts w:hint="eastAsia" w:ascii="微软雅黑" w:hAnsi="微软雅黑" w:eastAsia="微软雅黑" w:cs="微软雅黑"/>
          <w:spacing w:val="4"/>
          <w:sz w:val="24"/>
          <w:szCs w:val="24"/>
        </w:rPr>
        <w:t>报8963.5美元/吨</w:t>
      </w:r>
      <w:r>
        <w:rPr>
          <w:rFonts w:hint="eastAsia" w:ascii="微软雅黑" w:hAnsi="微软雅黑" w:eastAsia="微软雅黑" w:cs="微软雅黑"/>
          <w:spacing w:val="4"/>
          <w:sz w:val="24"/>
          <w:szCs w:val="24"/>
          <w:lang w:eastAsia="zh-CN"/>
        </w:rPr>
        <w:t>，</w:t>
      </w:r>
      <w:r>
        <w:rPr>
          <w:rFonts w:ascii="微软雅黑" w:hAnsi="微软雅黑" w:eastAsia="微软雅黑" w:cs="微软雅黑"/>
          <w:sz w:val="24"/>
          <w:szCs w:val="24"/>
        </w:rPr>
        <w:t>COMEX</w:t>
      </w:r>
      <w:r>
        <w:rPr>
          <w:rFonts w:ascii="微软雅黑" w:hAnsi="微软雅黑" w:eastAsia="微软雅黑" w:cs="微软雅黑"/>
          <w:spacing w:val="2"/>
          <w:sz w:val="24"/>
          <w:szCs w:val="24"/>
        </w:rPr>
        <w:t>黄金期货涨1.03%报2183.3美元/盎司，</w:t>
      </w:r>
      <w:r>
        <w:rPr>
          <w:rFonts w:ascii="微软雅黑" w:hAnsi="微软雅黑" w:eastAsia="微软雅黑" w:cs="微软雅黑"/>
          <w:sz w:val="24"/>
          <w:szCs w:val="24"/>
        </w:rPr>
        <w:t>COMEX</w:t>
      </w:r>
      <w:r>
        <w:rPr>
          <w:rFonts w:ascii="微软雅黑" w:hAnsi="微软雅黑" w:eastAsia="微软雅黑" w:cs="微软雅黑"/>
          <w:spacing w:val="2"/>
          <w:sz w:val="24"/>
          <w:szCs w:val="24"/>
        </w:rPr>
        <w:t>白银期货跌0.75%报24.915美元/盎司。</w:t>
      </w:r>
      <w:r>
        <w:rPr>
          <w:rFonts w:hint="eastAsia" w:ascii="微软雅黑" w:hAnsi="微软雅黑" w:eastAsia="微软雅黑" w:cs="微软雅黑"/>
          <w:spacing w:val="2"/>
          <w:sz w:val="24"/>
          <w:szCs w:val="24"/>
          <w:lang w:eastAsia="zh-CN"/>
        </w:rPr>
        <w:t>5月 ICE 原糖</w:t>
      </w:r>
      <w:r>
        <w:rPr>
          <w:rFonts w:hint="eastAsia" w:ascii="微软雅黑" w:hAnsi="微软雅黑" w:eastAsia="微软雅黑" w:cs="微软雅黑"/>
          <w:spacing w:val="2"/>
          <w:sz w:val="24"/>
          <w:szCs w:val="24"/>
          <w:lang w:val="en-US" w:eastAsia="zh-CN"/>
        </w:rPr>
        <w:t>期货合约</w:t>
      </w:r>
      <w:r>
        <w:rPr>
          <w:rFonts w:hint="eastAsia" w:ascii="微软雅黑" w:hAnsi="微软雅黑" w:eastAsia="微软雅黑" w:cs="微软雅黑"/>
          <w:spacing w:val="12"/>
          <w:sz w:val="24"/>
          <w:szCs w:val="24"/>
        </w:rPr>
        <w:t>收涨</w:t>
      </w:r>
      <w:r>
        <w:rPr>
          <w:rFonts w:hint="eastAsia" w:ascii="微软雅黑" w:hAnsi="微软雅黑" w:eastAsia="微软雅黑" w:cs="微软雅黑"/>
          <w:spacing w:val="12"/>
          <w:sz w:val="24"/>
          <w:szCs w:val="24"/>
          <w:lang w:val="en-US" w:eastAsia="zh-CN"/>
        </w:rPr>
        <w:t>1.3</w:t>
      </w:r>
      <w:r>
        <w:rPr>
          <w:rFonts w:hint="eastAsia" w:ascii="微软雅黑" w:hAnsi="微软雅黑" w:eastAsia="微软雅黑" w:cs="微软雅黑"/>
          <w:spacing w:val="12"/>
          <w:sz w:val="24"/>
          <w:szCs w:val="24"/>
        </w:rPr>
        <w:t>%</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结算价报2</w:t>
      </w:r>
      <w:r>
        <w:rPr>
          <w:rFonts w:hint="eastAsia" w:ascii="微软雅黑" w:hAnsi="微软雅黑" w:eastAsia="微软雅黑" w:cs="微软雅黑"/>
          <w:spacing w:val="12"/>
          <w:sz w:val="24"/>
          <w:szCs w:val="24"/>
          <w:lang w:val="en-US" w:eastAsia="zh-CN"/>
        </w:rPr>
        <w:t>2.06</w:t>
      </w:r>
      <w:r>
        <w:rPr>
          <w:rFonts w:ascii="微软雅黑" w:hAnsi="微软雅黑" w:eastAsia="微软雅黑" w:cs="微软雅黑"/>
          <w:spacing w:val="12"/>
          <w:sz w:val="24"/>
          <w:szCs w:val="24"/>
        </w:rPr>
        <w:t>美分/磅</w:t>
      </w:r>
      <w:r>
        <w:rPr>
          <w:rFonts w:hint="eastAsia" w:ascii="微软雅黑" w:hAnsi="微软雅黑" w:eastAsia="微软雅黑" w:cs="微软雅黑"/>
          <w:spacing w:val="12"/>
          <w:sz w:val="24"/>
          <w:szCs w:val="24"/>
          <w:lang w:eastAsia="zh-CN"/>
        </w:rPr>
        <w:t>。ICE 5月期棉</w:t>
      </w:r>
      <w:r>
        <w:rPr>
          <w:rFonts w:hint="eastAsia" w:ascii="微软雅黑" w:hAnsi="微软雅黑" w:eastAsia="微软雅黑" w:cs="微软雅黑"/>
          <w:spacing w:val="12"/>
          <w:sz w:val="24"/>
          <w:szCs w:val="24"/>
          <w:lang w:val="en-US" w:eastAsia="zh-CN"/>
        </w:rPr>
        <w:t>期货合约</w:t>
      </w:r>
      <w:r>
        <w:rPr>
          <w:rFonts w:hint="eastAsia" w:ascii="微软雅黑" w:hAnsi="微软雅黑" w:eastAsia="微软雅黑" w:cs="微软雅黑"/>
          <w:spacing w:val="12"/>
          <w:sz w:val="24"/>
          <w:szCs w:val="24"/>
        </w:rPr>
        <w:t>收</w:t>
      </w:r>
      <w:r>
        <w:rPr>
          <w:rFonts w:hint="eastAsia" w:ascii="微软雅黑" w:hAnsi="微软雅黑" w:eastAsia="微软雅黑" w:cs="微软雅黑"/>
          <w:spacing w:val="12"/>
          <w:sz w:val="24"/>
          <w:szCs w:val="24"/>
          <w:lang w:val="en-US" w:eastAsia="zh-CN"/>
        </w:rPr>
        <w:t>涨0.03</w:t>
      </w:r>
      <w:r>
        <w:rPr>
          <w:rFonts w:hint="eastAsia" w:ascii="微软雅黑" w:hAnsi="微软雅黑" w:eastAsia="微软雅黑" w:cs="微软雅黑"/>
          <w:spacing w:val="12"/>
          <w:sz w:val="24"/>
          <w:szCs w:val="24"/>
        </w:rPr>
        <w:t>%，结算价报92.</w:t>
      </w:r>
      <w:r>
        <w:rPr>
          <w:rFonts w:hint="eastAsia" w:ascii="微软雅黑" w:hAnsi="微软雅黑" w:eastAsia="微软雅黑" w:cs="微软雅黑"/>
          <w:spacing w:val="12"/>
          <w:sz w:val="24"/>
          <w:szCs w:val="24"/>
          <w:lang w:val="en-US" w:eastAsia="zh-CN"/>
        </w:rPr>
        <w:t>21</w:t>
      </w:r>
      <w:r>
        <w:rPr>
          <w:rFonts w:hint="eastAsia" w:ascii="微软雅黑" w:hAnsi="微软雅黑" w:eastAsia="微软雅黑" w:cs="微软雅黑"/>
          <w:spacing w:val="12"/>
          <w:sz w:val="24"/>
          <w:szCs w:val="24"/>
        </w:rPr>
        <w:t>美分/磅</w:t>
      </w:r>
      <w:r>
        <w:rPr>
          <w:rFonts w:hint="eastAsia" w:ascii="微软雅黑" w:hAnsi="微软雅黑" w:eastAsia="微软雅黑" w:cs="微软雅黑"/>
          <w:spacing w:val="12"/>
          <w:sz w:val="24"/>
          <w:szCs w:val="24"/>
          <w:lang w:eastAsia="zh-CN"/>
        </w:rPr>
        <w:t>。</w:t>
      </w:r>
    </w:p>
    <w:p>
      <w:pPr>
        <w:spacing w:before="103" w:line="256" w:lineRule="auto"/>
        <w:ind w:right="584"/>
        <w:jc w:val="center"/>
        <w:rPr>
          <w:rFonts w:hint="eastAsia" w:ascii="微软雅黑" w:hAnsi="微软雅黑" w:eastAsia="微软雅黑" w:cs="微软雅黑"/>
          <w:spacing w:val="12"/>
          <w:sz w:val="24"/>
          <w:szCs w:val="24"/>
        </w:rPr>
      </w:pPr>
      <w:r>
        <w:drawing>
          <wp:inline distT="0" distB="0" distL="114300" distR="114300">
            <wp:extent cx="6202680" cy="3498215"/>
            <wp:effectExtent l="0" t="0" r="7620" b="698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6202680" cy="3498215"/>
                    </a:xfrm>
                    <a:prstGeom prst="rect">
                      <a:avLst/>
                    </a:prstGeom>
                    <a:noFill/>
                    <a:ln>
                      <a:noFill/>
                    </a:ln>
                  </pic:spPr>
                </pic:pic>
              </a:graphicData>
            </a:graphic>
          </wp:inline>
        </w:drawing>
      </w:r>
    </w:p>
    <w:p>
      <w:pPr>
        <w:spacing w:before="235" w:line="176" w:lineRule="auto"/>
        <w:jc w:val="both"/>
        <w:rPr>
          <w:rFonts w:ascii="微软雅黑" w:hAnsi="微软雅黑" w:eastAsia="微软雅黑" w:cs="微软雅黑"/>
          <w:spacing w:val="7"/>
          <w:sz w:val="21"/>
          <w:szCs w:val="21"/>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p>
    <w:p>
      <w:pPr>
        <w:spacing w:before="235" w:line="176" w:lineRule="auto"/>
        <w:jc w:val="both"/>
        <w:rPr>
          <w:rFonts w:ascii="微软雅黑" w:hAnsi="微软雅黑" w:eastAsia="微软雅黑" w:cs="微软雅黑"/>
          <w:spacing w:val="7"/>
          <w:sz w:val="21"/>
          <w:szCs w:val="21"/>
        </w:rPr>
      </w:pPr>
    </w:p>
    <w:p>
      <w:pPr>
        <w:pStyle w:val="2"/>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4"/>
          <w:sz w:val="24"/>
          <w:szCs w:val="24"/>
        </w:rPr>
      </w:pPr>
      <w:r>
        <w:rPr>
          <w:rFonts w:ascii="微软雅黑" w:hAnsi="微软雅黑" w:eastAsia="微软雅黑" w:cs="微软雅黑"/>
          <w:spacing w:val="13"/>
          <w:sz w:val="24"/>
          <w:szCs w:val="24"/>
        </w:rPr>
        <w:t>【瑞士央行意外宣布降息，将关键政策利率下调25个基点，从1.75%降至1.5%</w:t>
      </w:r>
      <w:r>
        <w:rPr>
          <w:rFonts w:hint="eastAsia" w:ascii="微软雅黑" w:hAnsi="微软雅黑" w:eastAsia="微软雅黑" w:cs="微软雅黑"/>
          <w:spacing w:val="13"/>
          <w:sz w:val="24"/>
          <w:szCs w:val="24"/>
          <w:lang w:eastAsia="zh-CN"/>
        </w:rPr>
        <w:t>，</w:t>
      </w:r>
      <w:r>
        <w:rPr>
          <w:rFonts w:ascii="微软雅黑" w:hAnsi="微软雅黑" w:eastAsia="微软雅黑" w:cs="微软雅黑"/>
          <w:spacing w:val="13"/>
          <w:sz w:val="24"/>
          <w:szCs w:val="24"/>
        </w:rPr>
        <w:t>打响了G10国家央行降息的“第一枪”</w:t>
      </w:r>
      <w:r>
        <w:rPr>
          <w:rFonts w:hint="eastAsia" w:ascii="微软雅黑" w:hAnsi="微软雅黑" w:eastAsia="微软雅黑" w:cs="微软雅黑"/>
          <w:spacing w:val="13"/>
          <w:sz w:val="24"/>
          <w:szCs w:val="24"/>
          <w:lang w:eastAsia="zh-CN"/>
        </w:rPr>
        <w:t>。</w:t>
      </w:r>
      <w:r>
        <w:rPr>
          <w:rFonts w:ascii="微软雅黑" w:hAnsi="微软雅黑" w:eastAsia="微软雅黑" w:cs="微软雅黑"/>
          <w:spacing w:val="-4"/>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28" w:firstLineChars="200"/>
        <w:jc w:val="both"/>
        <w:textAlignment w:val="baseline"/>
        <w:rPr>
          <w:rFonts w:ascii="微软雅黑" w:hAnsi="微软雅黑" w:eastAsia="微软雅黑" w:cs="微软雅黑"/>
          <w:spacing w:val="-8"/>
          <w:sz w:val="24"/>
          <w:szCs w:val="24"/>
        </w:rPr>
      </w:pPr>
      <w:r>
        <w:rPr>
          <w:rFonts w:ascii="微软雅黑" w:hAnsi="微软雅黑" w:eastAsia="微软雅黑" w:cs="微软雅黑"/>
          <w:spacing w:val="12"/>
          <w:sz w:val="24"/>
          <w:szCs w:val="24"/>
        </w:rPr>
        <w:t>【美国2023年第四季度经常帐赤字1948亿美元，预期赤字2090亿美元，前值赤字2003亿美元</w:t>
      </w:r>
      <w:r>
        <w:rPr>
          <w:rFonts w:hint="eastAsia" w:ascii="微软雅黑" w:hAnsi="微软雅黑" w:eastAsia="微软雅黑" w:cs="微软雅黑"/>
          <w:spacing w:val="12"/>
          <w:sz w:val="24"/>
          <w:szCs w:val="24"/>
          <w:lang w:eastAsia="zh-CN"/>
        </w:rPr>
        <w:t>。</w:t>
      </w:r>
      <w:r>
        <w:rPr>
          <w:rFonts w:ascii="微软雅黑" w:hAnsi="微软雅黑" w:eastAsia="微软雅黑" w:cs="微软雅黑"/>
          <w:spacing w:val="-8"/>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28" w:firstLineChars="200"/>
        <w:jc w:val="both"/>
        <w:textAlignment w:val="baseline"/>
        <w:rPr>
          <w:rFonts w:ascii="微软雅黑" w:hAnsi="微软雅黑" w:eastAsia="微软雅黑" w:cs="微软雅黑"/>
          <w:spacing w:val="12"/>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28" w:firstLineChars="200"/>
        <w:jc w:val="both"/>
        <w:textAlignment w:val="baseline"/>
        <w:rPr>
          <w:rFonts w:ascii="微软雅黑" w:hAnsi="微软雅黑" w:eastAsia="微软雅黑" w:cs="微软雅黑"/>
          <w:spacing w:val="12"/>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28" w:firstLineChars="200"/>
        <w:jc w:val="both"/>
        <w:textAlignment w:val="baseline"/>
        <w:rPr>
          <w:rFonts w:ascii="微软雅黑" w:hAnsi="微软雅黑" w:eastAsia="微软雅黑" w:cs="微软雅黑"/>
          <w:spacing w:val="12"/>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28" w:firstLineChars="200"/>
        <w:jc w:val="both"/>
        <w:textAlignment w:val="baseline"/>
        <w:rPr>
          <w:rFonts w:ascii="微软雅黑" w:hAnsi="微软雅黑" w:eastAsia="微软雅黑" w:cs="微软雅黑"/>
          <w:spacing w:val="-4"/>
          <w:sz w:val="24"/>
          <w:szCs w:val="24"/>
        </w:rPr>
      </w:pPr>
      <w:r>
        <w:rPr>
          <w:rFonts w:ascii="微软雅黑" w:hAnsi="微软雅黑" w:eastAsia="微软雅黑" w:cs="微软雅黑"/>
          <w:spacing w:val="12"/>
          <w:sz w:val="24"/>
          <w:szCs w:val="24"/>
        </w:rPr>
        <w:t>【美国3月标普全球</w:t>
      </w:r>
      <w:r>
        <w:rPr>
          <w:rFonts w:hint="eastAsia" w:ascii="微软雅黑" w:hAnsi="微软雅黑" w:eastAsia="微软雅黑" w:cs="微软雅黑"/>
          <w:spacing w:val="12"/>
          <w:sz w:val="24"/>
          <w:szCs w:val="24"/>
        </w:rPr>
        <w:t>制造业PMI初值52.5，预期51.7，2月终值52.2，初值51.5；服务业PMI初值51.7，预期52.0，2月终值52.3，初值51.3；综合PMI初值52.2，预期52.2，2月终值52.5，初值51.4</w:t>
      </w:r>
      <w:r>
        <w:rPr>
          <w:rFonts w:hint="eastAsia" w:ascii="微软雅黑" w:hAnsi="微软雅黑" w:eastAsia="微软雅黑" w:cs="微软雅黑"/>
          <w:spacing w:val="12"/>
          <w:sz w:val="24"/>
          <w:szCs w:val="24"/>
          <w:lang w:eastAsia="zh-CN"/>
        </w:rPr>
        <w:t>。</w:t>
      </w:r>
      <w:r>
        <w:rPr>
          <w:rFonts w:ascii="微软雅黑" w:hAnsi="微软雅黑" w:eastAsia="微软雅黑" w:cs="微软雅黑"/>
          <w:spacing w:val="-8"/>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28" w:firstLineChars="200"/>
        <w:jc w:val="both"/>
        <w:textAlignment w:val="baseline"/>
        <w:rPr>
          <w:rFonts w:ascii="微软雅黑" w:hAnsi="微软雅黑" w:eastAsia="微软雅黑" w:cs="微软雅黑"/>
          <w:spacing w:val="4"/>
          <w:sz w:val="24"/>
          <w:szCs w:val="24"/>
        </w:rPr>
      </w:pPr>
      <w:r>
        <w:rPr>
          <w:rFonts w:ascii="微软雅黑" w:hAnsi="微软雅黑" w:eastAsia="微软雅黑" w:cs="微软雅黑"/>
          <w:spacing w:val="12"/>
          <w:sz w:val="24"/>
          <w:szCs w:val="24"/>
        </w:rPr>
        <w:t>【美国截至3月16日</w:t>
      </w:r>
      <w:r>
        <w:rPr>
          <w:rFonts w:hint="eastAsia" w:ascii="微软雅黑" w:hAnsi="微软雅黑" w:eastAsia="微软雅黑" w:cs="微软雅黑"/>
          <w:spacing w:val="12"/>
          <w:sz w:val="24"/>
          <w:szCs w:val="24"/>
        </w:rPr>
        <w:t>当周初请失业金人数21.0万人，预期21.5万人，前值20.9万人；四周均值21.125万人，预期21.5万人，前值20.8万人。截至3月9日</w:t>
      </w:r>
      <w:r>
        <w:rPr>
          <w:rFonts w:ascii="微软雅黑" w:hAnsi="微软雅黑" w:eastAsia="微软雅黑" w:cs="微软雅黑"/>
          <w:spacing w:val="12"/>
          <w:sz w:val="24"/>
          <w:szCs w:val="24"/>
        </w:rPr>
        <w:t>当周续请失业金人数</w:t>
      </w:r>
      <w:r>
        <w:rPr>
          <w:rFonts w:hint="eastAsia" w:ascii="微软雅黑" w:hAnsi="微软雅黑" w:eastAsia="微软雅黑" w:cs="微软雅黑"/>
          <w:spacing w:val="12"/>
          <w:sz w:val="24"/>
          <w:szCs w:val="24"/>
        </w:rPr>
        <w:t>180.7万人，预期182.0万人，前值181.1万人</w:t>
      </w:r>
      <w:r>
        <w:rPr>
          <w:rFonts w:hint="eastAsia" w:ascii="微软雅黑" w:hAnsi="微软雅黑" w:eastAsia="微软雅黑" w:cs="微软雅黑"/>
          <w:spacing w:val="12"/>
          <w:sz w:val="24"/>
          <w:szCs w:val="24"/>
          <w:lang w:eastAsia="zh-CN"/>
        </w:rPr>
        <w:t>。</w:t>
      </w:r>
      <w:r>
        <w:rPr>
          <w:rFonts w:ascii="微软雅黑" w:hAnsi="微软雅黑" w:eastAsia="微软雅黑" w:cs="微软雅黑"/>
          <w:spacing w:val="-8"/>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ascii="微软雅黑" w:hAnsi="微软雅黑" w:eastAsia="微软雅黑" w:cs="微软雅黑"/>
          <w:spacing w:val="-6"/>
          <w:sz w:val="24"/>
          <w:szCs w:val="24"/>
        </w:rPr>
      </w:pPr>
      <w:r>
        <w:rPr>
          <w:rFonts w:ascii="微软雅黑" w:hAnsi="微软雅黑" w:eastAsia="微软雅黑" w:cs="微软雅黑"/>
          <w:spacing w:val="4"/>
          <w:sz w:val="24"/>
          <w:szCs w:val="24"/>
        </w:rPr>
        <w:t>【英国央行连续第五次维持基准利率在5.25%不变，符合市场预期</w:t>
      </w:r>
      <w:r>
        <w:rPr>
          <w:rFonts w:hint="eastAsia" w:ascii="微软雅黑" w:hAnsi="微软雅黑" w:eastAsia="微软雅黑" w:cs="微软雅黑"/>
          <w:spacing w:val="4"/>
          <w:sz w:val="24"/>
          <w:szCs w:val="24"/>
          <w:lang w:eastAsia="zh-CN"/>
        </w:rPr>
        <w:t>。</w:t>
      </w:r>
      <w:r>
        <w:rPr>
          <w:rFonts w:ascii="微软雅黑" w:hAnsi="微软雅黑" w:eastAsia="微软雅黑" w:cs="微软雅黑"/>
          <w:spacing w:val="-6"/>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56" w:firstLineChars="200"/>
        <w:jc w:val="both"/>
        <w:textAlignment w:val="baseline"/>
        <w:rPr>
          <w:rFonts w:ascii="微软雅黑" w:hAnsi="微软雅黑" w:eastAsia="微软雅黑" w:cs="微软雅黑"/>
          <w:spacing w:val="-6"/>
          <w:sz w:val="24"/>
          <w:szCs w:val="24"/>
        </w:rPr>
      </w:pPr>
      <w:r>
        <w:rPr>
          <w:rFonts w:ascii="微软雅黑" w:hAnsi="微软雅黑" w:eastAsia="微软雅黑" w:cs="微软雅黑"/>
          <w:spacing w:val="-6"/>
          <w:sz w:val="24"/>
          <w:szCs w:val="24"/>
        </w:rPr>
        <w:t>【英国3月制造业PMI初值49.9，为2022年7月以来新高，预期47.8，2月终值47.5，初值47.1</w:t>
      </w:r>
      <w:r>
        <w:rPr>
          <w:rFonts w:hint="eastAsia" w:ascii="微软雅黑" w:hAnsi="微软雅黑" w:eastAsia="微软雅黑" w:cs="微软雅黑"/>
          <w:spacing w:val="-6"/>
          <w:sz w:val="24"/>
          <w:szCs w:val="24"/>
          <w:lang w:eastAsia="zh-CN"/>
        </w:rPr>
        <w:t>；</w:t>
      </w:r>
      <w:r>
        <w:rPr>
          <w:rFonts w:ascii="微软雅黑" w:hAnsi="微软雅黑" w:eastAsia="微软雅黑" w:cs="微软雅黑"/>
          <w:spacing w:val="-6"/>
          <w:sz w:val="24"/>
          <w:szCs w:val="24"/>
        </w:rPr>
        <w:t>服务业PMI初值53.4，预期53.8，2月终值53.8，初值54.3；综合PMI初值52.9，预期53.1，2月终值53.0，初值53.3</w:t>
      </w:r>
      <w:r>
        <w:rPr>
          <w:rFonts w:hint="eastAsia" w:ascii="微软雅黑" w:hAnsi="微软雅黑" w:eastAsia="微软雅黑" w:cs="微软雅黑"/>
          <w:spacing w:val="-6"/>
          <w:sz w:val="24"/>
          <w:szCs w:val="24"/>
          <w:lang w:eastAsia="zh-CN"/>
        </w:rPr>
        <w:t>。</w:t>
      </w:r>
      <w:r>
        <w:rPr>
          <w:rFonts w:ascii="微软雅黑" w:hAnsi="微软雅黑" w:eastAsia="微软雅黑" w:cs="微软雅黑"/>
          <w:spacing w:val="-8"/>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56" w:firstLineChars="200"/>
        <w:jc w:val="both"/>
        <w:textAlignment w:val="baseline"/>
        <w:rPr>
          <w:rFonts w:ascii="微软雅黑" w:hAnsi="微软雅黑" w:eastAsia="微软雅黑" w:cs="微软雅黑"/>
          <w:spacing w:val="-6"/>
          <w:sz w:val="24"/>
          <w:szCs w:val="24"/>
        </w:rPr>
      </w:pPr>
      <w:r>
        <w:rPr>
          <w:rFonts w:ascii="微软雅黑" w:hAnsi="微软雅黑" w:eastAsia="微软雅黑" w:cs="微软雅黑"/>
          <w:spacing w:val="-6"/>
          <w:sz w:val="24"/>
          <w:szCs w:val="24"/>
        </w:rPr>
        <w:t>【欧元区3月制造业PMI初值45.7，预期47，2月终值46.5，初值46.1；服务业PMI初值51.1，预期50.5，2月终值50.2，初值50.0；综合PMI初值49.9，预期49.7，2月终值49.2，初值48.9</w:t>
      </w:r>
      <w:r>
        <w:rPr>
          <w:rFonts w:hint="eastAsia" w:ascii="微软雅黑" w:hAnsi="微软雅黑" w:eastAsia="微软雅黑" w:cs="微软雅黑"/>
          <w:spacing w:val="-6"/>
          <w:sz w:val="24"/>
          <w:szCs w:val="24"/>
          <w:lang w:eastAsia="zh-CN"/>
        </w:rPr>
        <w:t>。</w:t>
      </w:r>
      <w:r>
        <w:rPr>
          <w:rFonts w:ascii="微软雅黑" w:hAnsi="微软雅黑" w:eastAsia="微软雅黑" w:cs="微软雅黑"/>
          <w:spacing w:val="-6"/>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56" w:firstLineChars="200"/>
        <w:jc w:val="both"/>
        <w:textAlignment w:val="baseline"/>
        <w:rPr>
          <w:rFonts w:hint="eastAsia" w:ascii="微软雅黑" w:hAnsi="微软雅黑" w:eastAsia="微软雅黑" w:cs="微软雅黑"/>
          <w:spacing w:val="-6"/>
          <w:sz w:val="24"/>
          <w:szCs w:val="24"/>
          <w:lang w:eastAsia="zh-CN"/>
        </w:rPr>
      </w:pPr>
      <w:r>
        <w:rPr>
          <w:rFonts w:ascii="微软雅黑" w:hAnsi="微软雅黑" w:eastAsia="微软雅黑" w:cs="微软雅黑"/>
          <w:spacing w:val="-6"/>
          <w:sz w:val="24"/>
          <w:szCs w:val="24"/>
        </w:rPr>
        <w:t>【欧元区1月未季调经常帐盈余248.7亿欧元，前值盈余426.6亿欧元；季调后经常帐盈余393.54亿欧元，前值盈余319.5亿欧元</w:t>
      </w:r>
      <w:r>
        <w:rPr>
          <w:rFonts w:hint="eastAsia" w:ascii="微软雅黑" w:hAnsi="微软雅黑" w:eastAsia="微软雅黑" w:cs="微软雅黑"/>
          <w:spacing w:val="-6"/>
          <w:sz w:val="24"/>
          <w:szCs w:val="24"/>
          <w:lang w:eastAsia="zh-CN"/>
        </w:rPr>
        <w:t>。</w:t>
      </w:r>
      <w:r>
        <w:rPr>
          <w:rFonts w:ascii="微软雅黑" w:hAnsi="微软雅黑" w:eastAsia="微软雅黑" w:cs="微软雅黑"/>
          <w:spacing w:val="-8"/>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56" w:firstLineChars="200"/>
        <w:jc w:val="both"/>
        <w:textAlignment w:val="baseline"/>
        <w:rPr>
          <w:rFonts w:ascii="微软雅黑" w:hAnsi="微软雅黑" w:eastAsia="微软雅黑" w:cs="微软雅黑"/>
          <w:spacing w:val="-6"/>
          <w:sz w:val="24"/>
          <w:szCs w:val="24"/>
        </w:rPr>
      </w:pPr>
      <w:r>
        <w:rPr>
          <w:rFonts w:ascii="微软雅黑" w:hAnsi="微软雅黑" w:eastAsia="微软雅黑" w:cs="微软雅黑"/>
          <w:spacing w:val="-6"/>
          <w:sz w:val="24"/>
          <w:szCs w:val="24"/>
        </w:rPr>
        <w:t>【</w:t>
      </w:r>
      <w:r>
        <w:rPr>
          <w:rFonts w:hint="eastAsia" w:ascii="微软雅黑" w:hAnsi="微软雅黑" w:eastAsia="微软雅黑" w:cs="微软雅黑"/>
          <w:spacing w:val="-6"/>
          <w:sz w:val="24"/>
          <w:szCs w:val="24"/>
        </w:rPr>
        <w:t>德国3月制造业PMI初值41.6，预期43.1，前值42.5；服务业PMI初值49.8，预期48.8，前值48.3；综合PMI初值47.4，预期47.0，前值46.3。</w:t>
      </w:r>
      <w:r>
        <w:rPr>
          <w:rFonts w:ascii="微软雅黑" w:hAnsi="微软雅黑" w:eastAsia="微软雅黑" w:cs="微软雅黑"/>
          <w:spacing w:val="-8"/>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56" w:firstLineChars="200"/>
        <w:jc w:val="both"/>
        <w:textAlignment w:val="baseline"/>
        <w:rPr>
          <w:rFonts w:hint="eastAsia" w:ascii="微软雅黑" w:hAnsi="微软雅黑" w:eastAsia="微软雅黑" w:cs="微软雅黑"/>
          <w:spacing w:val="-6"/>
          <w:sz w:val="24"/>
          <w:szCs w:val="24"/>
          <w:lang w:eastAsia="zh-CN"/>
        </w:rPr>
      </w:pPr>
      <w:r>
        <w:rPr>
          <w:rFonts w:ascii="微软雅黑" w:hAnsi="微软雅黑" w:eastAsia="微软雅黑" w:cs="微软雅黑"/>
          <w:spacing w:val="-6"/>
          <w:sz w:val="24"/>
          <w:szCs w:val="24"/>
        </w:rPr>
        <w:t>【</w:t>
      </w:r>
      <w:r>
        <w:rPr>
          <w:rFonts w:hint="eastAsia" w:ascii="微软雅黑" w:hAnsi="微软雅黑" w:eastAsia="微软雅黑" w:cs="微软雅黑"/>
          <w:spacing w:val="-6"/>
          <w:sz w:val="24"/>
          <w:szCs w:val="24"/>
        </w:rPr>
        <w:t>法国3月制造业PMI初值45.8，为2个月新低，预期47.5，前值47.1；服务业PMI初值47.8，为2个月新低，预期48.7，前值48.4；综合PMI初值47.7，为2个月新低，预期48.6，前值48.1</w:t>
      </w:r>
      <w:r>
        <w:rPr>
          <w:rFonts w:hint="eastAsia" w:ascii="微软雅黑" w:hAnsi="微软雅黑" w:eastAsia="微软雅黑" w:cs="微软雅黑"/>
          <w:spacing w:val="-6"/>
          <w:sz w:val="24"/>
          <w:szCs w:val="24"/>
          <w:lang w:eastAsia="zh-CN"/>
        </w:rPr>
        <w:t>。</w:t>
      </w:r>
      <w:r>
        <w:rPr>
          <w:rFonts w:ascii="微软雅黑" w:hAnsi="微软雅黑" w:eastAsia="微软雅黑" w:cs="微软雅黑"/>
          <w:spacing w:val="-8"/>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56" w:firstLineChars="200"/>
        <w:jc w:val="both"/>
        <w:textAlignment w:val="baseline"/>
        <w:rPr>
          <w:rFonts w:hint="eastAsia" w:ascii="微软雅黑" w:hAnsi="微软雅黑" w:eastAsia="微软雅黑" w:cs="微软雅黑"/>
          <w:spacing w:val="-6"/>
          <w:sz w:val="24"/>
          <w:szCs w:val="24"/>
          <w:lang w:eastAsia="zh-CN"/>
        </w:rPr>
      </w:pPr>
      <w:r>
        <w:rPr>
          <w:rFonts w:ascii="微软雅黑" w:hAnsi="微软雅黑" w:eastAsia="微软雅黑" w:cs="微软雅黑"/>
          <w:spacing w:val="-6"/>
          <w:sz w:val="24"/>
          <w:szCs w:val="24"/>
        </w:rPr>
        <w:t>【</w:t>
      </w:r>
      <w:r>
        <w:rPr>
          <w:rFonts w:hint="eastAsia" w:ascii="微软雅黑" w:hAnsi="微软雅黑" w:eastAsia="微软雅黑" w:cs="微软雅黑"/>
          <w:spacing w:val="-6"/>
          <w:sz w:val="24"/>
          <w:szCs w:val="24"/>
          <w:lang w:eastAsia="zh-CN"/>
        </w:rPr>
        <w:t>日本3月制造业PMI初值为48.2，2月初值及终值均为47.2；服务业PMI初值为54.9，2月终值52.9，初值52.5；综合PMI初值为52.3，2月终值50.6，初值50.3。</w:t>
      </w:r>
      <w:r>
        <w:rPr>
          <w:rFonts w:ascii="微软雅黑" w:hAnsi="微软雅黑" w:eastAsia="微软雅黑" w:cs="微软雅黑"/>
          <w:spacing w:val="-8"/>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56" w:firstLineChars="200"/>
        <w:jc w:val="both"/>
        <w:textAlignment w:val="baseline"/>
        <w:rPr>
          <w:rFonts w:ascii="微软雅黑" w:hAnsi="微软雅黑" w:eastAsia="微软雅黑" w:cs="微软雅黑"/>
          <w:spacing w:val="-6"/>
          <w:sz w:val="24"/>
          <w:szCs w:val="24"/>
        </w:rPr>
      </w:pPr>
      <w:r>
        <w:rPr>
          <w:rFonts w:ascii="微软雅黑" w:hAnsi="微软雅黑" w:eastAsia="微软雅黑" w:cs="微软雅黑"/>
          <w:spacing w:val="-6"/>
          <w:sz w:val="24"/>
          <w:szCs w:val="24"/>
        </w:rPr>
        <w:t>【澳大利亚2月就业人口增11.65万人，预期增4万人，前值增0.05万人；季调后失业率为3.7%</w:t>
      </w:r>
      <w:r>
        <w:rPr>
          <w:rFonts w:hint="eastAsia" w:ascii="微软雅黑" w:hAnsi="微软雅黑" w:eastAsia="微软雅黑" w:cs="微软雅黑"/>
          <w:spacing w:val="-6"/>
          <w:sz w:val="24"/>
          <w:szCs w:val="24"/>
          <w:lang w:eastAsia="zh-CN"/>
        </w:rPr>
        <w:t>，</w:t>
      </w:r>
      <w:r>
        <w:rPr>
          <w:rFonts w:ascii="微软雅黑" w:hAnsi="微软雅黑" w:eastAsia="微软雅黑" w:cs="微软雅黑"/>
          <w:spacing w:val="-6"/>
          <w:sz w:val="24"/>
          <w:szCs w:val="24"/>
        </w:rPr>
        <w:t>预期4%，前值4.1%。</w:t>
      </w:r>
      <w:r>
        <w:rPr>
          <w:rFonts w:ascii="微软雅黑" w:hAnsi="微软雅黑" w:eastAsia="微软雅黑" w:cs="微软雅黑"/>
          <w:spacing w:val="-8"/>
          <w:sz w:val="24"/>
          <w:szCs w:val="24"/>
        </w:rPr>
        <w:t>】</w:t>
      </w:r>
    </w:p>
    <w:p>
      <w:pPr>
        <w:spacing w:before="120" w:line="190" w:lineRule="auto"/>
        <w:rPr>
          <w:rFonts w:ascii="微软雅黑" w:hAnsi="微软雅黑" w:eastAsia="微软雅黑" w:cs="微软雅黑"/>
          <w:color w:val="036EB8"/>
          <w:position w:val="-4"/>
          <w:sz w:val="28"/>
          <w:szCs w:val="28"/>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1"/>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0"/>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0"/>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28"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22</w:t>
            </w:r>
          </w:p>
        </w:tc>
        <w:tc>
          <w:tcPr>
            <w:tcW w:w="1143" w:type="dxa"/>
            <w:vAlign w:val="top"/>
          </w:tcPr>
          <w:p>
            <w:pPr>
              <w:pStyle w:val="10"/>
              <w:spacing w:before="243" w:line="172" w:lineRule="auto"/>
              <w:ind w:left="94"/>
              <w:jc w:val="left"/>
              <w:rPr>
                <w:sz w:val="19"/>
                <w:szCs w:val="19"/>
              </w:rPr>
            </w:pPr>
            <w:r>
              <w:rPr>
                <w:rFonts w:hint="eastAsia"/>
                <w:b/>
                <w:bCs/>
                <w:spacing w:val="6"/>
                <w:sz w:val="19"/>
                <w:szCs w:val="19"/>
                <w:lang w:val="en-US" w:eastAsia="zh-CN"/>
              </w:rPr>
              <w:t>7：3</w:t>
            </w:r>
            <w:r>
              <w:rPr>
                <w:b/>
                <w:bCs/>
                <w:spacing w:val="6"/>
                <w:sz w:val="19"/>
                <w:szCs w:val="19"/>
              </w:rPr>
              <w:t>0</w:t>
            </w:r>
          </w:p>
        </w:tc>
        <w:tc>
          <w:tcPr>
            <w:tcW w:w="6679" w:type="dxa"/>
            <w:vAlign w:val="top"/>
          </w:tcPr>
          <w:p>
            <w:pPr>
              <w:pStyle w:val="10"/>
              <w:spacing w:before="221" w:line="180" w:lineRule="auto"/>
              <w:jc w:val="center"/>
              <w:rPr>
                <w:rFonts w:hint="default" w:eastAsia="微软雅黑"/>
                <w:sz w:val="19"/>
                <w:szCs w:val="19"/>
                <w:lang w:val="en-US" w:eastAsia="zh-CN"/>
              </w:rPr>
            </w:pPr>
            <w:r>
              <w:rPr>
                <w:rFonts w:hint="eastAsia"/>
                <w:sz w:val="19"/>
                <w:szCs w:val="19"/>
                <w:lang w:val="en-US" w:eastAsia="zh-CN"/>
              </w:rPr>
              <w:t>日本2月核心CPI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0"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22</w:t>
            </w:r>
          </w:p>
        </w:tc>
        <w:tc>
          <w:tcPr>
            <w:tcW w:w="1143" w:type="dxa"/>
            <w:shd w:val="clear" w:color="auto" w:fill="D3EAFF"/>
            <w:vAlign w:val="top"/>
          </w:tcPr>
          <w:p>
            <w:pPr>
              <w:pStyle w:val="10"/>
              <w:spacing w:before="245" w:line="172" w:lineRule="auto"/>
              <w:ind w:left="101"/>
              <w:jc w:val="left"/>
              <w:rPr>
                <w:sz w:val="19"/>
                <w:szCs w:val="19"/>
              </w:rPr>
            </w:pPr>
            <w:r>
              <w:rPr>
                <w:rFonts w:hint="eastAsia"/>
                <w:b/>
                <w:bCs/>
                <w:spacing w:val="5"/>
                <w:sz w:val="19"/>
                <w:szCs w:val="19"/>
                <w:lang w:val="en-US" w:eastAsia="zh-CN"/>
              </w:rPr>
              <w:t>7：5</w:t>
            </w:r>
            <w:r>
              <w:rPr>
                <w:b/>
                <w:bCs/>
                <w:spacing w:val="5"/>
                <w:sz w:val="19"/>
                <w:szCs w:val="19"/>
              </w:rPr>
              <w:t>0</w:t>
            </w:r>
          </w:p>
        </w:tc>
        <w:tc>
          <w:tcPr>
            <w:tcW w:w="6679" w:type="dxa"/>
            <w:shd w:val="clear" w:color="auto" w:fill="D3EAFF"/>
            <w:vAlign w:val="top"/>
          </w:tcPr>
          <w:p>
            <w:pPr>
              <w:pStyle w:val="10"/>
              <w:spacing w:before="224" w:line="179" w:lineRule="auto"/>
              <w:jc w:val="center"/>
              <w:rPr>
                <w:rFonts w:hint="default" w:eastAsia="微软雅黑"/>
                <w:sz w:val="19"/>
                <w:szCs w:val="19"/>
                <w:lang w:val="en-US" w:eastAsia="zh-CN"/>
              </w:rPr>
            </w:pPr>
            <w:r>
              <w:rPr>
                <w:rFonts w:hint="eastAsia"/>
                <w:sz w:val="19"/>
                <w:szCs w:val="19"/>
                <w:lang w:val="en-US" w:eastAsia="zh-CN"/>
              </w:rPr>
              <w:t>日本至3月15日当周买进外国债券/股票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0"/>
              <w:spacing w:before="231"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22</w:t>
            </w:r>
          </w:p>
        </w:tc>
        <w:tc>
          <w:tcPr>
            <w:tcW w:w="1143" w:type="dxa"/>
            <w:vAlign w:val="top"/>
          </w:tcPr>
          <w:p>
            <w:pPr>
              <w:pStyle w:val="10"/>
              <w:spacing w:before="245" w:line="172" w:lineRule="auto"/>
              <w:ind w:left="101"/>
              <w:jc w:val="left"/>
              <w:rPr>
                <w:rFonts w:hint="eastAsia" w:eastAsia="微软雅黑"/>
                <w:sz w:val="19"/>
                <w:szCs w:val="19"/>
                <w:lang w:val="en-US" w:eastAsia="zh-CN"/>
              </w:rPr>
            </w:pPr>
            <w:r>
              <w:rPr>
                <w:rFonts w:hint="eastAsia"/>
                <w:b/>
                <w:bCs/>
                <w:spacing w:val="5"/>
                <w:sz w:val="19"/>
                <w:szCs w:val="19"/>
                <w:lang w:val="en-US" w:eastAsia="zh-CN"/>
              </w:rPr>
              <w:t>8：</w:t>
            </w:r>
            <w:r>
              <w:rPr>
                <w:b/>
                <w:bCs/>
                <w:spacing w:val="5"/>
                <w:sz w:val="19"/>
                <w:szCs w:val="19"/>
              </w:rPr>
              <w:t>0</w:t>
            </w:r>
            <w:r>
              <w:rPr>
                <w:rFonts w:hint="eastAsia"/>
                <w:b/>
                <w:bCs/>
                <w:spacing w:val="5"/>
                <w:sz w:val="19"/>
                <w:szCs w:val="19"/>
                <w:lang w:val="en-US" w:eastAsia="zh-CN"/>
              </w:rPr>
              <w:t>1</w:t>
            </w:r>
          </w:p>
        </w:tc>
        <w:tc>
          <w:tcPr>
            <w:tcW w:w="6679" w:type="dxa"/>
            <w:vAlign w:val="top"/>
          </w:tcPr>
          <w:p>
            <w:pPr>
              <w:pStyle w:val="10"/>
              <w:spacing w:before="224" w:line="180" w:lineRule="auto"/>
              <w:jc w:val="center"/>
              <w:rPr>
                <w:rFonts w:hint="default" w:eastAsia="微软雅黑"/>
                <w:sz w:val="19"/>
                <w:szCs w:val="19"/>
                <w:lang w:val="en-US" w:eastAsia="zh-CN"/>
              </w:rPr>
            </w:pPr>
            <w:r>
              <w:rPr>
                <w:rFonts w:hint="eastAsia"/>
                <w:sz w:val="19"/>
                <w:szCs w:val="19"/>
                <w:lang w:val="en-US" w:eastAsia="zh-CN"/>
              </w:rPr>
              <w:t>英国3月GFK消费者信心指数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2"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22</w:t>
            </w:r>
          </w:p>
        </w:tc>
        <w:tc>
          <w:tcPr>
            <w:tcW w:w="1143" w:type="dxa"/>
            <w:shd w:val="clear" w:color="auto" w:fill="D3EAFF"/>
            <w:vAlign w:val="top"/>
          </w:tcPr>
          <w:p>
            <w:pPr>
              <w:pStyle w:val="10"/>
              <w:spacing w:before="246" w:line="172" w:lineRule="auto"/>
              <w:ind w:left="101"/>
              <w:jc w:val="left"/>
              <w:rPr>
                <w:rFonts w:hint="default" w:eastAsia="微软雅黑"/>
                <w:sz w:val="19"/>
                <w:szCs w:val="19"/>
                <w:lang w:val="en-US" w:eastAsia="zh-CN"/>
              </w:rPr>
            </w:pPr>
            <w:r>
              <w:rPr>
                <w:rFonts w:hint="eastAsia"/>
                <w:b/>
                <w:bCs/>
                <w:spacing w:val="5"/>
                <w:sz w:val="19"/>
                <w:szCs w:val="19"/>
                <w:lang w:val="en-US" w:eastAsia="zh-CN"/>
              </w:rPr>
              <w:t>15：00</w:t>
            </w:r>
          </w:p>
        </w:tc>
        <w:tc>
          <w:tcPr>
            <w:tcW w:w="6679" w:type="dxa"/>
            <w:shd w:val="clear" w:color="auto" w:fill="D3EAFF"/>
            <w:vAlign w:val="top"/>
          </w:tcPr>
          <w:p>
            <w:pPr>
              <w:pStyle w:val="10"/>
              <w:spacing w:before="224" w:line="180" w:lineRule="auto"/>
              <w:jc w:val="center"/>
              <w:rPr>
                <w:rFonts w:hint="default"/>
                <w:sz w:val="19"/>
                <w:szCs w:val="19"/>
                <w:lang w:val="en-US"/>
              </w:rPr>
            </w:pPr>
            <w:r>
              <w:rPr>
                <w:rFonts w:hint="eastAsia"/>
                <w:sz w:val="19"/>
                <w:szCs w:val="19"/>
                <w:lang w:val="en-US" w:eastAsia="zh-CN"/>
              </w:rPr>
              <w:t>德国1月进口物价指数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32"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22</w:t>
            </w:r>
          </w:p>
        </w:tc>
        <w:tc>
          <w:tcPr>
            <w:tcW w:w="1143" w:type="dxa"/>
            <w:vAlign w:val="top"/>
          </w:tcPr>
          <w:p>
            <w:pPr>
              <w:pStyle w:val="10"/>
              <w:spacing w:before="246" w:line="172" w:lineRule="auto"/>
              <w:ind w:left="94"/>
              <w:jc w:val="left"/>
              <w:rPr>
                <w:rFonts w:hint="default" w:eastAsia="微软雅黑"/>
                <w:sz w:val="19"/>
                <w:szCs w:val="19"/>
                <w:lang w:val="en-US" w:eastAsia="zh-CN"/>
              </w:rPr>
            </w:pPr>
            <w:r>
              <w:rPr>
                <w:rFonts w:hint="eastAsia"/>
                <w:b/>
                <w:bCs/>
                <w:spacing w:val="6"/>
                <w:sz w:val="19"/>
                <w:szCs w:val="19"/>
                <w:lang w:val="en-US" w:eastAsia="zh-CN"/>
              </w:rPr>
              <w:t>15：00</w:t>
            </w:r>
          </w:p>
        </w:tc>
        <w:tc>
          <w:tcPr>
            <w:tcW w:w="6679" w:type="dxa"/>
            <w:vAlign w:val="top"/>
          </w:tcPr>
          <w:p>
            <w:pPr>
              <w:pStyle w:val="10"/>
              <w:spacing w:before="225" w:line="179" w:lineRule="auto"/>
              <w:jc w:val="center"/>
              <w:rPr>
                <w:rFonts w:hint="default" w:eastAsia="微软雅黑"/>
                <w:sz w:val="19"/>
                <w:szCs w:val="19"/>
                <w:lang w:val="en-US" w:eastAsia="zh-CN"/>
              </w:rPr>
            </w:pPr>
            <w:r>
              <w:rPr>
                <w:rFonts w:hint="eastAsia"/>
                <w:sz w:val="19"/>
                <w:szCs w:val="19"/>
                <w:lang w:val="en-US" w:eastAsia="zh-CN"/>
              </w:rPr>
              <w:t>法国3月综合、服务业、制造业PMI初值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4"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22</w:t>
            </w:r>
          </w:p>
        </w:tc>
        <w:tc>
          <w:tcPr>
            <w:tcW w:w="1143" w:type="dxa"/>
            <w:shd w:val="clear" w:color="auto" w:fill="D3EAFF"/>
            <w:vAlign w:val="top"/>
          </w:tcPr>
          <w:p>
            <w:pPr>
              <w:pStyle w:val="10"/>
              <w:spacing w:before="248" w:line="172" w:lineRule="auto"/>
              <w:ind w:left="101"/>
              <w:jc w:val="left"/>
              <w:rPr>
                <w:sz w:val="19"/>
                <w:szCs w:val="19"/>
              </w:rPr>
            </w:pPr>
            <w:r>
              <w:rPr>
                <w:b/>
                <w:bCs/>
                <w:spacing w:val="5"/>
                <w:sz w:val="19"/>
                <w:szCs w:val="19"/>
              </w:rPr>
              <w:t>1</w:t>
            </w:r>
            <w:r>
              <w:rPr>
                <w:rFonts w:hint="eastAsia"/>
                <w:b/>
                <w:bCs/>
                <w:spacing w:val="5"/>
                <w:sz w:val="19"/>
                <w:szCs w:val="19"/>
                <w:lang w:val="en-US" w:eastAsia="zh-CN"/>
              </w:rPr>
              <w:t>6：3</w:t>
            </w:r>
            <w:r>
              <w:rPr>
                <w:b/>
                <w:bCs/>
                <w:spacing w:val="5"/>
                <w:sz w:val="19"/>
                <w:szCs w:val="19"/>
              </w:rPr>
              <w:t>0</w:t>
            </w:r>
          </w:p>
        </w:tc>
        <w:tc>
          <w:tcPr>
            <w:tcW w:w="6679" w:type="dxa"/>
            <w:shd w:val="clear" w:color="auto" w:fill="D3EAFF"/>
            <w:vAlign w:val="top"/>
          </w:tcPr>
          <w:p>
            <w:pPr>
              <w:pStyle w:val="10"/>
              <w:spacing w:before="228" w:line="179" w:lineRule="auto"/>
              <w:jc w:val="center"/>
              <w:rPr>
                <w:rFonts w:hint="default" w:eastAsia="微软雅黑"/>
                <w:sz w:val="19"/>
                <w:szCs w:val="19"/>
                <w:lang w:val="en-US" w:eastAsia="zh-CN"/>
              </w:rPr>
            </w:pPr>
            <w:r>
              <w:rPr>
                <w:rFonts w:hint="eastAsia"/>
                <w:sz w:val="19"/>
                <w:szCs w:val="19"/>
                <w:lang w:val="en-US" w:eastAsia="zh-CN"/>
              </w:rPr>
              <w:t>英国2月季调后零售销售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0"/>
              <w:spacing w:before="234"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22</w:t>
            </w:r>
          </w:p>
        </w:tc>
        <w:tc>
          <w:tcPr>
            <w:tcW w:w="1143" w:type="dxa"/>
            <w:vAlign w:val="top"/>
          </w:tcPr>
          <w:p>
            <w:pPr>
              <w:pStyle w:val="10"/>
              <w:spacing w:before="248" w:line="172" w:lineRule="auto"/>
              <w:ind w:left="92"/>
              <w:jc w:val="left"/>
              <w:rPr>
                <w:sz w:val="19"/>
                <w:szCs w:val="19"/>
              </w:rPr>
            </w:pPr>
            <w:r>
              <w:rPr>
                <w:rFonts w:hint="eastAsia"/>
                <w:b/>
                <w:bCs/>
                <w:spacing w:val="6"/>
                <w:sz w:val="19"/>
                <w:szCs w:val="19"/>
                <w:lang w:val="en-US" w:eastAsia="zh-CN"/>
              </w:rPr>
              <w:t>17：0</w:t>
            </w:r>
            <w:r>
              <w:rPr>
                <w:b/>
                <w:bCs/>
                <w:spacing w:val="6"/>
                <w:sz w:val="19"/>
                <w:szCs w:val="19"/>
              </w:rPr>
              <w:t>0</w:t>
            </w:r>
          </w:p>
        </w:tc>
        <w:tc>
          <w:tcPr>
            <w:tcW w:w="6679" w:type="dxa"/>
            <w:vAlign w:val="top"/>
          </w:tcPr>
          <w:p>
            <w:pPr>
              <w:pStyle w:val="10"/>
              <w:spacing w:before="227" w:line="185" w:lineRule="auto"/>
              <w:jc w:val="center"/>
              <w:rPr>
                <w:rFonts w:hint="default" w:eastAsia="微软雅黑"/>
                <w:sz w:val="19"/>
                <w:szCs w:val="19"/>
                <w:lang w:val="en-US" w:eastAsia="zh-CN"/>
              </w:rPr>
            </w:pPr>
            <w:r>
              <w:rPr>
                <w:rFonts w:hint="eastAsia"/>
                <w:sz w:val="19"/>
                <w:szCs w:val="19"/>
                <w:lang w:val="en-US" w:eastAsia="zh-CN"/>
              </w:rPr>
              <w:t>德国3月IFO商业景气指数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5"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22</w:t>
            </w:r>
          </w:p>
        </w:tc>
        <w:tc>
          <w:tcPr>
            <w:tcW w:w="1143" w:type="dxa"/>
            <w:shd w:val="clear" w:color="auto" w:fill="D3EAFF"/>
            <w:vAlign w:val="top"/>
          </w:tcPr>
          <w:p>
            <w:pPr>
              <w:pStyle w:val="10"/>
              <w:spacing w:before="252" w:line="170" w:lineRule="auto"/>
              <w:ind w:left="101"/>
              <w:jc w:val="left"/>
              <w:rPr>
                <w:rFonts w:hint="default" w:eastAsia="微软雅黑"/>
                <w:sz w:val="19"/>
                <w:szCs w:val="19"/>
                <w:lang w:val="en-US" w:eastAsia="zh-CN"/>
              </w:rPr>
            </w:pPr>
            <w:r>
              <w:rPr>
                <w:rFonts w:hint="eastAsia"/>
                <w:b/>
                <w:bCs/>
                <w:spacing w:val="5"/>
                <w:sz w:val="19"/>
                <w:szCs w:val="19"/>
                <w:lang w:val="en-US" w:eastAsia="zh-CN"/>
              </w:rPr>
              <w:t>19：00</w:t>
            </w:r>
          </w:p>
        </w:tc>
        <w:tc>
          <w:tcPr>
            <w:tcW w:w="6679" w:type="dxa"/>
            <w:shd w:val="clear" w:color="auto" w:fill="D3EAFF"/>
            <w:vAlign w:val="top"/>
          </w:tcPr>
          <w:p>
            <w:pPr>
              <w:pStyle w:val="10"/>
              <w:spacing w:before="229" w:line="179" w:lineRule="auto"/>
              <w:jc w:val="center"/>
              <w:rPr>
                <w:rFonts w:hint="default" w:eastAsia="微软雅黑"/>
                <w:sz w:val="19"/>
                <w:szCs w:val="19"/>
                <w:lang w:val="en-US" w:eastAsia="zh-CN"/>
              </w:rPr>
            </w:pPr>
            <w:r>
              <w:rPr>
                <w:rFonts w:hint="eastAsia"/>
                <w:sz w:val="19"/>
                <w:szCs w:val="19"/>
                <w:lang w:val="en-US" w:eastAsia="zh-CN"/>
              </w:rPr>
              <w:t>英国3月综CBI工业订单差值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5"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2024/3/</w:t>
            </w:r>
            <w:r>
              <w:rPr>
                <w:rFonts w:hint="eastAsia"/>
                <w:b/>
                <w:bCs/>
                <w:spacing w:val="3"/>
                <w:sz w:val="19"/>
                <w:szCs w:val="19"/>
                <w:lang w:val="en-US" w:eastAsia="zh-CN"/>
              </w:rPr>
              <w:t>22</w:t>
            </w:r>
          </w:p>
        </w:tc>
        <w:tc>
          <w:tcPr>
            <w:tcW w:w="1143" w:type="dxa"/>
            <w:shd w:val="clear" w:color="auto" w:fill="D3EAFF"/>
            <w:vAlign w:val="top"/>
          </w:tcPr>
          <w:p>
            <w:pPr>
              <w:pStyle w:val="10"/>
              <w:spacing w:before="252" w:line="170"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20：30</w:t>
            </w:r>
          </w:p>
        </w:tc>
        <w:tc>
          <w:tcPr>
            <w:tcW w:w="6679" w:type="dxa"/>
            <w:shd w:val="clear" w:color="auto" w:fill="D3EAFF"/>
            <w:vAlign w:val="top"/>
          </w:tcPr>
          <w:p>
            <w:pPr>
              <w:pStyle w:val="10"/>
              <w:spacing w:before="229" w:line="179" w:lineRule="auto"/>
              <w:jc w:val="center"/>
              <w:rPr>
                <w:rFonts w:hint="default"/>
                <w:spacing w:val="32"/>
                <w:sz w:val="19"/>
                <w:szCs w:val="19"/>
                <w:lang w:val="en-US" w:eastAsia="zh-CN"/>
              </w:rPr>
            </w:pPr>
            <w:r>
              <w:rPr>
                <w:rFonts w:hint="eastAsia"/>
                <w:sz w:val="19"/>
                <w:szCs w:val="19"/>
                <w:lang w:val="en-US" w:eastAsia="zh-CN"/>
              </w:rPr>
              <w:t>加拿大1月零售销售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5" w:line="191" w:lineRule="auto"/>
              <w:ind w:left="449" w:leftChars="0"/>
              <w:jc w:val="both"/>
              <w:rPr>
                <w:rFonts w:hint="eastAsia" w:eastAsia="微软雅黑"/>
                <w:b/>
                <w:bCs/>
                <w:spacing w:val="3"/>
                <w:sz w:val="19"/>
                <w:szCs w:val="19"/>
                <w:lang w:val="en-US" w:eastAsia="zh-CN"/>
              </w:rPr>
            </w:pPr>
            <w:r>
              <w:rPr>
                <w:rFonts w:hint="eastAsia"/>
                <w:b/>
                <w:bCs/>
                <w:spacing w:val="3"/>
                <w:sz w:val="19"/>
                <w:szCs w:val="19"/>
                <w:lang w:val="en-US" w:eastAsia="zh-CN"/>
              </w:rPr>
              <w:t>次日</w:t>
            </w:r>
          </w:p>
        </w:tc>
        <w:tc>
          <w:tcPr>
            <w:tcW w:w="1143" w:type="dxa"/>
            <w:shd w:val="clear" w:color="auto" w:fill="D3EAFF"/>
            <w:vAlign w:val="top"/>
          </w:tcPr>
          <w:p>
            <w:pPr>
              <w:pStyle w:val="10"/>
              <w:spacing w:before="252" w:line="170" w:lineRule="auto"/>
              <w:ind w:left="101" w:leftChars="0"/>
              <w:jc w:val="left"/>
              <w:rPr>
                <w:rFonts w:hint="default"/>
                <w:b/>
                <w:bCs/>
                <w:spacing w:val="5"/>
                <w:sz w:val="19"/>
                <w:szCs w:val="19"/>
                <w:lang w:val="en-US" w:eastAsia="zh-CN"/>
              </w:rPr>
            </w:pPr>
            <w:r>
              <w:rPr>
                <w:rFonts w:hint="eastAsia"/>
                <w:b/>
                <w:bCs/>
                <w:spacing w:val="5"/>
                <w:sz w:val="19"/>
                <w:szCs w:val="19"/>
                <w:lang w:val="en-US" w:eastAsia="zh-CN"/>
              </w:rPr>
              <w:t>01：00</w:t>
            </w:r>
          </w:p>
        </w:tc>
        <w:tc>
          <w:tcPr>
            <w:tcW w:w="6679" w:type="dxa"/>
            <w:shd w:val="clear" w:color="auto" w:fill="D3EAFF"/>
            <w:vAlign w:val="top"/>
          </w:tcPr>
          <w:p>
            <w:pPr>
              <w:pStyle w:val="10"/>
              <w:spacing w:before="229" w:line="179" w:lineRule="auto"/>
              <w:jc w:val="center"/>
              <w:rPr>
                <w:rFonts w:hint="default"/>
                <w:spacing w:val="32"/>
                <w:sz w:val="19"/>
                <w:szCs w:val="19"/>
                <w:lang w:val="en-US" w:eastAsia="zh-CN"/>
              </w:rPr>
            </w:pPr>
            <w:r>
              <w:rPr>
                <w:rFonts w:hint="eastAsia"/>
                <w:sz w:val="19"/>
                <w:szCs w:val="19"/>
                <w:lang w:val="en-US" w:eastAsia="zh-CN"/>
              </w:rPr>
              <w:t>美国至3月22日当周石油钻井总数</w:t>
            </w:r>
          </w:p>
        </w:tc>
      </w:tr>
    </w:tbl>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lang w:val="en-US" w:eastAsia="zh-CN"/>
        </w:rPr>
        <w:t>截至周五，美元指数涨0.58%报104.01，非美货币普遍下跌，欧元兑美元跌0.57%报1.0860，英镑兑美元跌1.05%报1.2655，澳元兑美元跌0.25%报0.6570，美元兑日元涨0.24%报151.62。昨日公布的美国PMI数据显示制造业经济活跃度再次走强，而服务业指标虽有所回落但仍处于扩张区间，反映整体经济韧性尚存。而欧元区制造业PMI则显著回落，服务业PMI小幅上升，整体经济数据略朝扩张区间靠近。昨日瑞士央行意外降息使美国与瑞士利差扩大，美元指数得到显著提振。往后看，短期内美国与非美国家经济走势差异或使市场提高非美央行提前降息的预期，美国与非美国家利差扩大或持续提振美元指数。</w:t>
      </w:r>
    </w:p>
    <w:p>
      <w:pPr>
        <w:spacing w:before="103" w:line="256" w:lineRule="auto"/>
        <w:ind w:right="743"/>
        <w:jc w:val="both"/>
      </w:pPr>
      <w:r>
        <w:drawing>
          <wp:inline distT="0" distB="0" distL="114300" distR="114300">
            <wp:extent cx="5262245" cy="2039620"/>
            <wp:effectExtent l="0" t="0" r="14605"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5262245" cy="2039620"/>
                    </a:xfrm>
                    <a:prstGeom prst="rect">
                      <a:avLst/>
                    </a:prstGeom>
                    <a:noFill/>
                    <a:ln>
                      <a:noFill/>
                    </a:ln>
                  </pic:spPr>
                </pic:pic>
              </a:graphicData>
            </a:graphic>
          </wp:inline>
        </w:drawing>
      </w:r>
    </w:p>
    <w:p>
      <w:pPr>
        <w:spacing w:before="103" w:line="256" w:lineRule="auto"/>
        <w:ind w:right="743"/>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图2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欧元兑美元主力合约走势图</w:t>
      </w:r>
    </w:p>
    <w:p>
      <w:pPr>
        <w:spacing w:before="235" w:line="176" w:lineRule="auto"/>
        <w:ind w:firstLine="224" w:firstLineChars="100"/>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pPr>
      <w:r>
        <w:rPr>
          <w:rFonts w:hint="eastAsia" w:ascii="微软雅黑" w:hAnsi="微软雅黑" w:eastAsia="微软雅黑" w:cs="微软雅黑"/>
          <w:spacing w:val="12"/>
          <w:sz w:val="24"/>
          <w:szCs w:val="24"/>
        </w:rPr>
        <w:t>截至截至3月22日，标普500指数收涨0.32%至5241.53点；迷你标普500主力合约收涨0.27%至5307.5点。美股周四收高，三大股指均再创历史最高收盘纪录。市场继续评估美国通胀状况与美联储的降息前景。策略上，逢低试多。详细支撑阻力位请见图表</w:t>
      </w:r>
      <w:r>
        <w:rPr>
          <w:rFonts w:hint="eastAsia" w:ascii="微软雅黑" w:hAnsi="微软雅黑" w:eastAsia="微软雅黑" w:cs="微软雅黑"/>
          <w:spacing w:val="12"/>
          <w:sz w:val="24"/>
          <w:szCs w:val="24"/>
          <w:lang w:val="en-US" w:eastAsia="zh-CN"/>
        </w:rPr>
        <w:t>3</w:t>
      </w:r>
      <w:r>
        <w:rPr>
          <w:rFonts w:hint="eastAsia" w:ascii="微软雅黑" w:hAnsi="微软雅黑" w:eastAsia="微软雅黑" w:cs="微软雅黑"/>
          <w:spacing w:val="12"/>
          <w:sz w:val="24"/>
          <w:szCs w:val="24"/>
        </w:rPr>
        <w:t>。</w:t>
      </w:r>
    </w:p>
    <w:p>
      <w:pPr>
        <w:spacing w:before="120" w:line="190" w:lineRule="auto"/>
        <w:jc w:val="both"/>
        <w:rPr>
          <w:rFonts w:ascii="新宋体" w:hAnsi="新宋体" w:eastAsia="新宋体"/>
          <w:b/>
        </w:rPr>
      </w:pPr>
      <w:r>
        <w:rPr>
          <w:rFonts w:ascii="新宋体" w:hAnsi="新宋体" w:eastAsia="新宋体"/>
          <w:b/>
        </w:rPr>
        <w:drawing>
          <wp:inline distT="0" distB="0" distL="0" distR="0">
            <wp:extent cx="5941060" cy="1893570"/>
            <wp:effectExtent l="0" t="0" r="2540" b="1143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tretch>
                      <a:fillRect/>
                    </a:stretch>
                  </pic:blipFill>
                  <pic:spPr>
                    <a:xfrm>
                      <a:off x="0" y="0"/>
                      <a:ext cx="5941060" cy="1893570"/>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235" w:line="176"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rPr>
        <w:t>截至3月21日，富时中国A50指数收涨0.12%至12209.30点；新交所富时A50期指主力合约收涨0.03%至12220点。政策平稳落地、与市场预期一致，财政政策力度中性、房地产延续弱势、经济持续修复但结构性改善仍需时间。目前市场对经济基本面预期边际改善，市场的结构性机会不断显现，短期市场聚焦的重点可能转向经济基本面改善情况。策略上，短线观望为主。详细支撑阻力位请见图表4。</w:t>
      </w:r>
    </w:p>
    <w:p>
      <w:pPr>
        <w:spacing w:before="103" w:line="256" w:lineRule="auto"/>
        <w:ind w:right="743"/>
        <w:jc w:val="both"/>
        <w:rPr>
          <w:rFonts w:ascii="新宋体" w:hAnsi="新宋体" w:eastAsia="新宋体"/>
        </w:rPr>
      </w:pPr>
      <w:r>
        <w:rPr>
          <w:rFonts w:ascii="新宋体" w:hAnsi="新宋体" w:eastAsia="新宋体"/>
        </w:rPr>
        <w:drawing>
          <wp:inline distT="0" distB="0" distL="0" distR="0">
            <wp:extent cx="5793740" cy="2115820"/>
            <wp:effectExtent l="0" t="0" r="16510" b="177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stretch>
                      <a:fillRect/>
                    </a:stretch>
                  </pic:blipFill>
                  <pic:spPr>
                    <a:xfrm>
                      <a:off x="0" y="0"/>
                      <a:ext cx="5793740" cy="2115820"/>
                    </a:xfrm>
                    <a:prstGeom prst="rect">
                      <a:avLst/>
                    </a:prstGeom>
                  </pic:spPr>
                </pic:pic>
              </a:graphicData>
            </a:graphic>
          </wp:inline>
        </w:drawing>
      </w:r>
    </w:p>
    <w:p>
      <w:pPr>
        <w:spacing w:before="235" w:line="176" w:lineRule="auto"/>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：富时中国A50指数</w:t>
      </w:r>
      <w:r>
        <w:rPr>
          <w:rFonts w:hint="eastAsia" w:ascii="微软雅黑" w:hAnsi="微软雅黑" w:eastAsia="微软雅黑" w:cs="微软雅黑"/>
          <w:spacing w:val="7"/>
          <w:sz w:val="21"/>
          <w:szCs w:val="21"/>
          <w:lang w:val="en-US" w:eastAsia="zh-CN"/>
        </w:rPr>
        <w:t>走势图</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新宋体" w:hAnsi="新宋体" w:eastAsia="新宋体"/>
        </w:rPr>
      </w:pPr>
      <w:bookmarkStart w:id="2" w:name="_GoBack"/>
      <w:bookmarkEnd w:id="2"/>
      <w:r>
        <w:rPr>
          <w:rFonts w:hint="eastAsia" w:ascii="微软雅黑" w:hAnsi="微软雅黑" w:eastAsia="微软雅黑" w:cs="微软雅黑"/>
          <w:b/>
          <w:bCs/>
          <w:spacing w:val="12"/>
          <w:sz w:val="24"/>
          <w:szCs w:val="24"/>
          <w:lang w:val="en-US" w:eastAsia="zh-CN"/>
        </w:rPr>
        <w:t>铜</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因瑞士央行意外降息提振了美元，叠加美国经济表现强劲，隔夜美元指数快速走强，交投于104.01。基准的10年期美债收益率收报4.2660%，对美联储政策利率最敏感的2年期美债收益率收报4.6430%。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库存方面：截至3月21日，LME铜库存为111325吨，环比-1000吨。3月15日当周，上海期货交易所阴极铜库存为286395吨，周环比+ 47150吨。</w:t>
      </w:r>
    </w:p>
    <w:p>
      <w:pPr>
        <w:spacing w:before="103" w:line="256" w:lineRule="auto"/>
        <w:ind w:left="3" w:right="743" w:firstLine="535"/>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spacing w:val="12"/>
          <w:sz w:val="24"/>
          <w:szCs w:val="24"/>
        </w:rPr>
        <w:t>外盘持仓方面：根据CFTC公布的最新数据显示，截止至3月5日当周，非商业多头持仓87439手，空头为82012手，净空持仓为5427手，较上周净多增加10754手</w:t>
      </w:r>
      <w:r>
        <w:rPr>
          <w:rFonts w:hint="eastAsia" w:ascii="微软雅黑" w:hAnsi="微软雅黑" w:eastAsia="微软雅黑" w:cs="微软雅黑"/>
          <w:spacing w:val="12"/>
          <w:sz w:val="24"/>
          <w:szCs w:val="24"/>
          <w:lang w:eastAsia="zh-CN"/>
        </w:rPr>
        <w:t>。</w:t>
      </w:r>
    </w:p>
    <w:p>
      <w:pPr>
        <w:spacing w:before="103" w:line="256" w:lineRule="auto"/>
        <w:ind w:left="3" w:right="743" w:firstLine="535"/>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spacing w:val="12"/>
          <w:sz w:val="24"/>
          <w:szCs w:val="24"/>
        </w:rPr>
        <w:t>隔夜COMEX铜先涨后跌，其中2405合约报收4.06美元/磅，涨跌幅+0.3%。国际方面，瑞士央行意外地将基准利率从1.75%下调至1.5%，超出市场预期，间接提振美元。国内方面，中国人民银行副行长宣昌能：法定存款准备金率仍有下降的空间。正加强监测资金空转问题，促进提高资金使用效率。国内流动性仍有释放空间</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偏宽货币政策亦将主力消费提升。基本面上，铜矿端供应偏紧在TC/RC费用持续走软的带动下表现更为明显，需求方面，4月即将迎来今年国内的第一波冶炼厂集中检修期，冶炼厂有提前备库需求。现货供给端减产预期提升，需求预期转好。操作上，建议COMEX铜2405合约轻仓逢低短多交易，注意交易节奏及风险控制。</w:t>
      </w:r>
    </w:p>
    <w:p>
      <w:pPr>
        <w:spacing w:before="103" w:line="256" w:lineRule="auto"/>
        <w:ind w:right="743"/>
        <w:jc w:val="center"/>
      </w:pPr>
      <w:r>
        <w:drawing>
          <wp:inline distT="0" distB="0" distL="0" distR="0">
            <wp:extent cx="6009640" cy="2180590"/>
            <wp:effectExtent l="0" t="0" r="10160"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6009640" cy="2180590"/>
                    </a:xfrm>
                    <a:prstGeom prst="rect">
                      <a:avLst/>
                    </a:prstGeom>
                  </pic:spPr>
                </pic:pic>
              </a:graphicData>
            </a:graphic>
          </wp:inline>
        </w:drawing>
      </w:r>
    </w:p>
    <w:p>
      <w:pPr>
        <w:spacing w:before="235" w:line="176" w:lineRule="auto"/>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COMEX铜日线走势图</w:t>
      </w:r>
    </w:p>
    <w:p>
      <w:pPr>
        <w:spacing w:before="103" w:line="256" w:lineRule="auto"/>
        <w:ind w:right="743"/>
        <w:jc w:val="both"/>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rPr>
        <w:t>消息面：</w:t>
      </w:r>
      <w:r>
        <w:rPr>
          <w:rFonts w:hint="eastAsia" w:ascii="微软雅黑" w:hAnsi="微软雅黑" w:eastAsia="微软雅黑" w:cs="微软雅黑"/>
          <w:spacing w:val="12"/>
          <w:sz w:val="24"/>
          <w:szCs w:val="24"/>
          <w:lang w:val="en-US" w:eastAsia="zh-CN"/>
        </w:rPr>
        <w:t>昨日公布的美国PMI数据显示制造业经济活跃度再次走强，而服务业指标虽有所回落但仍处于扩张区间，反映整体经济韧性尚存。而欧元区制造业PMI则显著回落，服务业PMI小幅上升，整体经济数据略朝扩张区间靠近。昨日瑞士央行意外降息使美国与瑞士利差扩大，美元指数得到显著提振。</w:t>
      </w:r>
    </w:p>
    <w:p>
      <w:pPr>
        <w:spacing w:before="103" w:line="256" w:lineRule="auto"/>
        <w:ind w:right="743" w:firstLine="528" w:firstLineChars="200"/>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外盘持仓方面：截至</w:t>
      </w:r>
      <w:r>
        <w:rPr>
          <w:rFonts w:hint="eastAsia" w:ascii="微软雅黑" w:hAnsi="微软雅黑" w:eastAsia="微软雅黑" w:cs="微软雅黑"/>
          <w:spacing w:val="12"/>
          <w:sz w:val="24"/>
          <w:szCs w:val="24"/>
          <w:lang w:val="en-US" w:eastAsia="zh-CN"/>
        </w:rPr>
        <w:t>3</w:t>
      </w:r>
      <w:r>
        <w:rPr>
          <w:rFonts w:hint="eastAsia" w:ascii="微软雅黑" w:hAnsi="微软雅黑" w:eastAsia="微软雅黑" w:cs="微软雅黑"/>
          <w:spacing w:val="12"/>
          <w:sz w:val="24"/>
          <w:szCs w:val="24"/>
        </w:rPr>
        <w:t>月</w:t>
      </w:r>
      <w:r>
        <w:rPr>
          <w:rFonts w:hint="eastAsia" w:ascii="微软雅黑" w:hAnsi="微软雅黑" w:eastAsia="微软雅黑" w:cs="微软雅黑"/>
          <w:spacing w:val="12"/>
          <w:sz w:val="24"/>
          <w:szCs w:val="24"/>
          <w:lang w:val="en-US" w:eastAsia="zh-CN"/>
        </w:rPr>
        <w:t>21</w:t>
      </w:r>
      <w:r>
        <w:rPr>
          <w:rFonts w:hint="eastAsia" w:ascii="微软雅黑" w:hAnsi="微软雅黑" w:eastAsia="微软雅黑" w:cs="微软雅黑"/>
          <w:spacing w:val="12"/>
          <w:sz w:val="24"/>
          <w:szCs w:val="24"/>
        </w:rPr>
        <w:t>日，SPDR Gold Trust黄金ETF持仓量为</w:t>
      </w:r>
      <w:r>
        <w:rPr>
          <w:rFonts w:hint="eastAsia" w:ascii="微软雅黑" w:hAnsi="微软雅黑" w:eastAsia="微软雅黑" w:cs="微软雅黑"/>
          <w:spacing w:val="12"/>
          <w:sz w:val="24"/>
          <w:szCs w:val="24"/>
          <w:lang w:val="en-US" w:eastAsia="zh-CN"/>
        </w:rPr>
        <w:t>838.5</w:t>
      </w:r>
      <w:r>
        <w:rPr>
          <w:rFonts w:hint="eastAsia" w:ascii="微软雅黑" w:hAnsi="微软雅黑" w:eastAsia="微软雅黑" w:cs="微软雅黑"/>
          <w:spacing w:val="12"/>
          <w:sz w:val="24"/>
          <w:szCs w:val="24"/>
        </w:rPr>
        <w:t>吨</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lang w:val="en-US" w:eastAsia="zh-CN"/>
        </w:rPr>
        <w:t>较</w:t>
      </w:r>
      <w:r>
        <w:rPr>
          <w:rFonts w:hint="eastAsia" w:ascii="微软雅黑" w:hAnsi="微软雅黑" w:eastAsia="微软雅黑" w:cs="微软雅黑"/>
          <w:spacing w:val="12"/>
          <w:sz w:val="24"/>
          <w:szCs w:val="24"/>
        </w:rPr>
        <w:t>上一交易</w:t>
      </w:r>
      <w:r>
        <w:rPr>
          <w:rFonts w:hint="eastAsia" w:ascii="微软雅黑" w:hAnsi="微软雅黑" w:eastAsia="微软雅黑" w:cs="微软雅黑"/>
          <w:spacing w:val="12"/>
          <w:sz w:val="24"/>
          <w:szCs w:val="24"/>
          <w:lang w:val="en-US" w:eastAsia="zh-CN"/>
        </w:rPr>
        <w:t>日持平</w:t>
      </w:r>
      <w:r>
        <w:rPr>
          <w:rFonts w:hint="eastAsia" w:ascii="微软雅黑" w:hAnsi="微软雅黑" w:eastAsia="微软雅黑" w:cs="微软雅黑"/>
          <w:spacing w:val="12"/>
          <w:sz w:val="24"/>
          <w:szCs w:val="24"/>
        </w:rPr>
        <w:t>。</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往后看，短期内美国与非美国家经济走势差异或使市场提高非美央行提前降息的预期，美国与非美国家利差扩大或持续提振美元指数及美债收益率，贵金属价格或相对承压。操作上建议，日内轻仓做空，请投资者注意风险控制。</w:t>
      </w:r>
    </w:p>
    <w:p>
      <w:pPr>
        <w:spacing w:before="103" w:line="256" w:lineRule="auto"/>
        <w:ind w:right="743"/>
        <w:jc w:val="both"/>
      </w:pPr>
      <w:r>
        <w:drawing>
          <wp:inline distT="0" distB="0" distL="114300" distR="114300">
            <wp:extent cx="6082665" cy="1623060"/>
            <wp:effectExtent l="0" t="0" r="13335"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6082665" cy="1623060"/>
                    </a:xfrm>
                    <a:prstGeom prst="rect">
                      <a:avLst/>
                    </a:prstGeom>
                    <a:noFill/>
                    <a:ln>
                      <a:noFill/>
                    </a:ln>
                  </pic:spPr>
                </pic:pic>
              </a:graphicData>
            </a:graphic>
          </wp:inline>
        </w:drawing>
      </w:r>
    </w:p>
    <w:p>
      <w:pPr>
        <w:spacing w:before="235" w:line="176" w:lineRule="auto"/>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7"/>
          <w:sz w:val="21"/>
          <w:szCs w:val="21"/>
          <w:lang w:val="en-US"/>
        </w:rPr>
      </w:pPr>
      <w:r>
        <w:rPr>
          <w:rFonts w:hint="eastAsia" w:ascii="微软雅黑" w:hAnsi="微软雅黑" w:eastAsia="微软雅黑" w:cs="微软雅黑"/>
          <w:b/>
          <w:bCs/>
          <w:spacing w:val="12"/>
          <w:sz w:val="24"/>
          <w:szCs w:val="24"/>
          <w:lang w:val="en-US" w:eastAsia="zh-CN"/>
        </w:rPr>
        <w:t>原油</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美国能源信息署（EIA）周三报告称，上周美国原油库存意外下降。尽管汽油库存减少330万桶至2.308亿桶，但是作为需求指标的汽油供应量却减少了23.5万桶至880万桶/日，这也是三周来首次低于900万桶/日。瑞穗能源期货总监鲍勃?亚戈尔表示，这表明支撑近期油价上涨的汽油市场可能已经超买。</w:t>
      </w:r>
      <w:r>
        <w:rPr>
          <w:rFonts w:hint="eastAsia" w:ascii="微软雅黑" w:hAnsi="微软雅黑" w:eastAsia="微软雅黑" w:cs="微软雅黑"/>
          <w:spacing w:val="12"/>
          <w:sz w:val="24"/>
          <w:szCs w:val="24"/>
        </w:rPr>
        <w:br w:type="textWrapping"/>
      </w:r>
      <w:r>
        <w:rPr>
          <w:rFonts w:hint="eastAsia" w:ascii="微软雅黑" w:hAnsi="微软雅黑" w:eastAsia="微软雅黑" w:cs="微软雅黑"/>
          <w:spacing w:val="12"/>
          <w:sz w:val="24"/>
          <w:szCs w:val="24"/>
        </w:rPr>
        <w:t>　　此外，美国起草了一项要求加沙停火的联合国决议，该决议将要求释放40名以色列人质，以换取被关押在以色列监狱中的数百名巴勒斯坦人。这也令油价承压。此前联合国要求巴以停火的联合国决议遭到美国一票否决。</w:t>
      </w:r>
      <w:r>
        <w:rPr>
          <w:rFonts w:hint="eastAsia" w:ascii="微软雅黑" w:hAnsi="微软雅黑" w:eastAsia="微软雅黑" w:cs="微软雅黑"/>
          <w:spacing w:val="12"/>
          <w:sz w:val="24"/>
          <w:szCs w:val="24"/>
        </w:rPr>
        <w:br w:type="textWrapping"/>
      </w:r>
      <w:r>
        <w:rPr>
          <w:rFonts w:hint="eastAsia" w:ascii="微软雅黑" w:hAnsi="微软雅黑" w:eastAsia="微软雅黑" w:cs="微软雅黑"/>
          <w:spacing w:val="12"/>
          <w:sz w:val="24"/>
          <w:szCs w:val="24"/>
        </w:rPr>
        <w:t>　　周三美联储将利率维持在5.25%至5.50%的区间，但是仍维持今年三次降息的预期，这也令投资者感到振奋。利率降低可能会促进经济和商品需求。</w:t>
      </w:r>
      <w:r>
        <w:rPr>
          <w:rFonts w:hint="eastAsia" w:ascii="微软雅黑" w:hAnsi="微软雅黑" w:eastAsia="微软雅黑" w:cs="微软雅黑"/>
          <w:spacing w:val="12"/>
          <w:sz w:val="24"/>
          <w:szCs w:val="24"/>
        </w:rPr>
        <w:br w:type="textWrapping"/>
      </w:r>
      <w:r>
        <w:rPr>
          <w:rFonts w:hint="eastAsia" w:ascii="微软雅黑" w:hAnsi="微软雅黑" w:eastAsia="微软雅黑" w:cs="微软雅黑"/>
          <w:spacing w:val="12"/>
          <w:sz w:val="24"/>
          <w:szCs w:val="24"/>
        </w:rPr>
        <w:t>　　3月份美国商业活动保持稳定，但是物价全面上涨，表明通胀可能继续保持高位</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br w:type="textWrapping"/>
      </w:r>
      <w:r>
        <w:rPr>
          <w:rFonts w:hint="eastAsia" w:ascii="微软雅黑" w:hAnsi="微软雅黑" w:eastAsia="微软雅黑" w:cs="微软雅黑"/>
          <w:spacing w:val="12"/>
          <w:sz w:val="24"/>
          <w:szCs w:val="24"/>
        </w:rPr>
        <w:t>　　交易商继续评估乌克兰袭击俄罗斯炼油厂对全球原油供应的影响。本月乌克兰无人机袭击了至少七家俄罗斯炼油厂，导致俄罗斯炼油能力下降7%，即每天约370,500桶。</w:t>
      </w:r>
      <w:r>
        <w:rPr>
          <w:rFonts w:hint="eastAsia" w:ascii="微软雅黑" w:hAnsi="微软雅黑" w:eastAsia="微软雅黑" w:cs="微软雅黑"/>
          <w:spacing w:val="12"/>
          <w:sz w:val="24"/>
          <w:szCs w:val="24"/>
        </w:rPr>
        <w:br w:type="textWrapping"/>
      </w:r>
      <w:r>
        <w:rPr>
          <w:rFonts w:hint="eastAsia" w:ascii="微软雅黑" w:hAnsi="微软雅黑" w:eastAsia="微软雅黑" w:cs="微软雅黑"/>
          <w:spacing w:val="12"/>
          <w:sz w:val="24"/>
          <w:szCs w:val="24"/>
        </w:rPr>
        <w:t>　　分析师表示，如果俄罗斯生产商无法出口原油并面临储存空间限制，长期中断可能会迫使俄罗斯生产商减少原油生产。</w:t>
      </w:r>
      <w:r>
        <w:rPr>
          <w:rFonts w:hint="eastAsia" w:ascii="微软雅黑" w:hAnsi="微软雅黑" w:eastAsia="微软雅黑" w:cs="微软雅黑"/>
          <w:spacing w:val="12"/>
          <w:sz w:val="24"/>
          <w:szCs w:val="24"/>
        </w:rPr>
        <w:br w:type="textWrapping"/>
      </w:r>
      <w:r>
        <w:rPr>
          <w:rFonts w:hint="eastAsia" w:ascii="微软雅黑" w:hAnsi="微软雅黑" w:eastAsia="微软雅黑" w:cs="微软雅黑"/>
          <w:spacing w:val="12"/>
          <w:sz w:val="24"/>
          <w:szCs w:val="24"/>
        </w:rPr>
        <w:t>　　其他消息包括，德国央行周四表示，2024年一季度德国经济可能陷入衰退，因为消费疲软和工业需求疲软。与此同时，英国央行行长周四表示，英国经济正</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rPr>
        <w:t>朝着正确的方向发展”，英国央行可以开始降息。</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纽约商品期货交易所（NYMEX）的西德克萨斯中质原油（WTI）5月合约较上一交易日下跌0.20美元或0.25%，报81.07美元/桶，短期呈现高位震荡走势。支撑位：80；压力位：82.6。</w:t>
      </w:r>
    </w:p>
    <w:p>
      <w:pPr>
        <w:spacing w:before="103" w:line="256" w:lineRule="auto"/>
        <w:ind w:right="743"/>
        <w:jc w:val="both"/>
        <w:rPr>
          <w:rFonts w:hint="default" w:ascii="微软雅黑" w:hAnsi="微软雅黑" w:eastAsia="微软雅黑" w:cs="微软雅黑"/>
          <w:spacing w:val="7"/>
          <w:sz w:val="21"/>
          <w:szCs w:val="21"/>
          <w:lang w:val="en-US" w:eastAsia="zh-CN"/>
        </w:rPr>
      </w:pPr>
      <w:r>
        <w:drawing>
          <wp:inline distT="0" distB="0" distL="0" distR="0">
            <wp:extent cx="6044565" cy="2757170"/>
            <wp:effectExtent l="0" t="0" r="1333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6044565" cy="2757170"/>
                    </a:xfrm>
                    <a:prstGeom prst="rect">
                      <a:avLst/>
                    </a:prstGeom>
                  </pic:spPr>
                </pic:pic>
              </a:graphicData>
            </a:graphic>
          </wp:inline>
        </w:drawing>
      </w:r>
      <w:r>
        <w:rPr>
          <w:rFonts w:hint="eastAsia" w:ascii="微软雅黑" w:hAnsi="微软雅黑" w:eastAsia="微软雅黑" w:cs="微软雅黑"/>
          <w:spacing w:val="7"/>
          <w:sz w:val="21"/>
          <w:szCs w:val="21"/>
          <w:lang w:val="en-US" w:eastAsia="zh-CN"/>
        </w:rPr>
        <w:t>图7：原油（WTI）</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bookmarkStart w:id="0" w:name="OLE_LINK4"/>
      <w:bookmarkStart w:id="1" w:name="OLE_LINK3"/>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洲际期货交易所（ICE）原糖期货周四收高，自逾一周低位反弹。交投最活跃的ICE</w:t>
      </w:r>
      <w:r>
        <w:rPr>
          <w:rFonts w:hint="eastAsia" w:ascii="微软雅黑" w:hAnsi="微软雅黑" w:eastAsia="微软雅黑" w:cs="微软雅黑"/>
          <w:spacing w:val="12"/>
          <w:sz w:val="24"/>
          <w:szCs w:val="24"/>
          <w:lang w:val="en-US" w:eastAsia="zh-CN"/>
        </w:rPr>
        <w:t xml:space="preserve"> </w:t>
      </w:r>
      <w:r>
        <w:rPr>
          <w:rFonts w:hint="eastAsia" w:ascii="微软雅黑" w:hAnsi="微软雅黑" w:eastAsia="微软雅黑" w:cs="微软雅黑"/>
          <w:spacing w:val="12"/>
          <w:sz w:val="24"/>
          <w:szCs w:val="24"/>
        </w:rPr>
        <w:t>5月原糖期货合约收盘收涨0.29美分或1.30%，结算价每磅22.06美分。操作上，建议5月</w:t>
      </w:r>
      <w:r>
        <w:rPr>
          <w:rFonts w:hint="eastAsia" w:ascii="微软雅黑" w:hAnsi="微软雅黑" w:eastAsia="微软雅黑" w:cs="微软雅黑"/>
          <w:spacing w:val="12"/>
          <w:sz w:val="24"/>
          <w:szCs w:val="24"/>
          <w:lang w:val="en-US" w:eastAsia="zh-CN"/>
        </w:rPr>
        <w:t xml:space="preserve"> </w:t>
      </w:r>
      <w:r>
        <w:rPr>
          <w:rFonts w:hint="eastAsia" w:ascii="微软雅黑" w:hAnsi="微软雅黑" w:eastAsia="微软雅黑" w:cs="微软雅黑"/>
          <w:spacing w:val="12"/>
          <w:sz w:val="24"/>
          <w:szCs w:val="24"/>
        </w:rPr>
        <w:t>ICE原糖短期暂且观望。</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12"/>
          <w:sz w:val="24"/>
          <w:szCs w:val="24"/>
          <w:lang w:eastAsia="zh-CN"/>
        </w:rPr>
        <w:drawing>
          <wp:inline distT="0" distB="0" distL="114300" distR="114300">
            <wp:extent cx="6200775" cy="2345055"/>
            <wp:effectExtent l="0" t="0" r="9525" b="17145"/>
            <wp:docPr id="13" name="图片 13" descr="6dd593c01f56526c01b7191e54a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dd593c01f56526c01b7191e54a5627"/>
                    <pic:cNvPicPr>
                      <a:picLocks noChangeAspect="1"/>
                    </pic:cNvPicPr>
                  </pic:nvPicPr>
                  <pic:blipFill>
                    <a:blip r:embed="rId19"/>
                    <a:stretch>
                      <a:fillRect/>
                    </a:stretch>
                  </pic:blipFill>
                  <pic:spPr>
                    <a:xfrm>
                      <a:off x="0" y="0"/>
                      <a:ext cx="6200775" cy="2345055"/>
                    </a:xfrm>
                    <a:prstGeom prst="rect">
                      <a:avLst/>
                    </a:prstGeom>
                  </pic:spPr>
                </pic:pic>
              </a:graphicData>
            </a:graphic>
          </wp:inline>
        </w:drawing>
      </w: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w:t>
      </w:r>
      <w:r>
        <w:rPr>
          <w:rFonts w:hint="eastAsia" w:ascii="微软雅黑" w:hAnsi="微软雅黑" w:eastAsia="微软雅黑" w:cs="微软雅黑"/>
          <w:spacing w:val="7"/>
          <w:sz w:val="21"/>
          <w:szCs w:val="21"/>
          <w:lang w:val="zh-CN" w:eastAsia="zh-CN"/>
        </w:rPr>
        <w:t>原糖期货主力合约日走势图及支撑位、阻力位</w:t>
      </w:r>
    </w:p>
    <w:p>
      <w:pPr>
        <w:spacing w:before="235" w:line="176"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lang w:eastAsia="zh-CN"/>
        </w:rPr>
      </w:pPr>
      <w:r>
        <w:rPr>
          <w:rFonts w:hint="eastAsia" w:ascii="微软雅黑" w:hAnsi="微软雅黑" w:eastAsia="微软雅黑" w:cs="微软雅黑"/>
          <w:b/>
          <w:bCs/>
          <w:spacing w:val="12"/>
          <w:sz w:val="24"/>
          <w:szCs w:val="24"/>
          <w:lang w:val="en-US" w:eastAsia="zh-CN"/>
        </w:rPr>
        <w:t>ICE棉花</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洲际交易所(ICE)棉花期货周四小幅收高，受美国农业部积极的出口销售数据及其他市场上涨支撑。交投最活跃的ICE 5月期棉收涨0.03美分或0.03%，结算价报92.21美分/磅。操作上，建议5月 ICE 期棉短期暂且观望为宜。</w:t>
      </w:r>
    </w:p>
    <w:p>
      <w:pPr>
        <w:spacing w:before="103" w:line="256" w:lineRule="auto"/>
        <w:ind w:right="743"/>
        <w:jc w:val="center"/>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drawing>
          <wp:inline distT="0" distB="0" distL="114300" distR="114300">
            <wp:extent cx="6009005" cy="2418715"/>
            <wp:effectExtent l="0" t="0" r="10795" b="635"/>
            <wp:docPr id="15" name="图片 15" descr="7b50d89595d178edd558d1d2349ad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50d89595d178edd558d1d2349add7"/>
                    <pic:cNvPicPr>
                      <a:picLocks noChangeAspect="1"/>
                    </pic:cNvPicPr>
                  </pic:nvPicPr>
                  <pic:blipFill>
                    <a:blip r:embed="rId20"/>
                    <a:stretch>
                      <a:fillRect/>
                    </a:stretch>
                  </pic:blipFill>
                  <pic:spPr>
                    <a:xfrm>
                      <a:off x="0" y="0"/>
                      <a:ext cx="6009005" cy="2418715"/>
                    </a:xfrm>
                    <a:prstGeom prst="rect">
                      <a:avLst/>
                    </a:prstGeom>
                  </pic:spPr>
                </pic:pic>
              </a:graphicData>
            </a:graphic>
          </wp:inline>
        </w:drawing>
      </w:r>
    </w:p>
    <w:p>
      <w:pPr>
        <w:spacing w:before="235" w:line="176" w:lineRule="auto"/>
        <w:jc w:val="both"/>
        <w:rPr>
          <w:rFonts w:hint="eastAsia" w:ascii="微软雅黑" w:hAnsi="微软雅黑" w:eastAsia="微软雅黑" w:cs="微软雅黑"/>
          <w:spacing w:val="7"/>
          <w:sz w:val="21"/>
          <w:szCs w:val="21"/>
          <w:lang w:val="zh-CN" w:eastAsia="zh-CN"/>
        </w:rPr>
      </w:pPr>
      <w:r>
        <w:rPr>
          <w:rFonts w:hint="eastAsia" w:ascii="微软雅黑" w:hAnsi="微软雅黑" w:eastAsia="微软雅黑" w:cs="微软雅黑"/>
          <w:spacing w:val="7"/>
          <w:sz w:val="21"/>
          <w:szCs w:val="21"/>
          <w:lang w:val="zh-CN" w:eastAsia="zh-CN"/>
        </w:rPr>
        <w:t>图9：ICE棉花期货主力合约日走势图及支撑位、阻力位</w:t>
      </w:r>
    </w:p>
    <w:p>
      <w:pPr>
        <w:spacing w:before="172" w:line="417" w:lineRule="exact"/>
        <w:rPr>
          <w:rFonts w:ascii="微软雅黑" w:hAnsi="微软雅黑" w:eastAsia="微软雅黑" w:cs="微软雅黑"/>
          <w:color w:val="CE393F"/>
          <w:spacing w:val="8"/>
          <w:position w:val="2"/>
          <w:sz w:val="40"/>
          <w:szCs w:val="40"/>
        </w:rPr>
      </w:pPr>
    </w:p>
    <w:p>
      <w:pPr>
        <w:spacing w:before="172" w:line="417" w:lineRule="exact"/>
        <w:rPr>
          <w:rFonts w:ascii="微软雅黑" w:hAnsi="微软雅黑" w:eastAsia="微软雅黑" w:cs="微软雅黑"/>
          <w:color w:val="CE393F"/>
          <w:spacing w:val="8"/>
          <w:position w:val="2"/>
          <w:sz w:val="40"/>
          <w:szCs w:val="40"/>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思源黑体 CN Bold">
    <w:altName w:val="黑体"/>
    <w:panose1 w:val="020B0800000000000000"/>
    <w:charset w:val="86"/>
    <w:family w:val="auto"/>
    <w:pitch w:val="default"/>
    <w:sig w:usb0="00000000" w:usb1="00000000" w:usb2="00000016" w:usb3="00000000" w:csb0="60060107"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593490"/>
    <w:rsid w:val="00CA7EEA"/>
    <w:rsid w:val="00D348C5"/>
    <w:rsid w:val="011E3D92"/>
    <w:rsid w:val="01486DF0"/>
    <w:rsid w:val="018F67B1"/>
    <w:rsid w:val="01B6046E"/>
    <w:rsid w:val="01FA65AD"/>
    <w:rsid w:val="02A97FD3"/>
    <w:rsid w:val="02B7624C"/>
    <w:rsid w:val="02BC7D06"/>
    <w:rsid w:val="033C0E47"/>
    <w:rsid w:val="03661A20"/>
    <w:rsid w:val="03AA4003"/>
    <w:rsid w:val="03D44348"/>
    <w:rsid w:val="03D64DF8"/>
    <w:rsid w:val="0402799B"/>
    <w:rsid w:val="04405814"/>
    <w:rsid w:val="04725735"/>
    <w:rsid w:val="0495080F"/>
    <w:rsid w:val="04CD0E7B"/>
    <w:rsid w:val="04E43544"/>
    <w:rsid w:val="04E55250"/>
    <w:rsid w:val="053D4696"/>
    <w:rsid w:val="056D52E8"/>
    <w:rsid w:val="05C869C2"/>
    <w:rsid w:val="06D860E7"/>
    <w:rsid w:val="06E91363"/>
    <w:rsid w:val="072919FB"/>
    <w:rsid w:val="07375BAD"/>
    <w:rsid w:val="07652B87"/>
    <w:rsid w:val="07950B26"/>
    <w:rsid w:val="07EB25E1"/>
    <w:rsid w:val="07F5280A"/>
    <w:rsid w:val="080F6B2A"/>
    <w:rsid w:val="089E2E0C"/>
    <w:rsid w:val="08B5322E"/>
    <w:rsid w:val="09174F67"/>
    <w:rsid w:val="09252A9B"/>
    <w:rsid w:val="093E76C7"/>
    <w:rsid w:val="09840E52"/>
    <w:rsid w:val="099A2423"/>
    <w:rsid w:val="09F02DF6"/>
    <w:rsid w:val="0A1470E4"/>
    <w:rsid w:val="0A2A37A7"/>
    <w:rsid w:val="0A533A62"/>
    <w:rsid w:val="0A7D5FCD"/>
    <w:rsid w:val="0A823CEB"/>
    <w:rsid w:val="0A8F399C"/>
    <w:rsid w:val="0A9B3267"/>
    <w:rsid w:val="0AA82AC5"/>
    <w:rsid w:val="0ABF0394"/>
    <w:rsid w:val="0AFD2C6A"/>
    <w:rsid w:val="0B0C10FF"/>
    <w:rsid w:val="0B775713"/>
    <w:rsid w:val="0BA87886"/>
    <w:rsid w:val="0C1E10EA"/>
    <w:rsid w:val="0C6311F3"/>
    <w:rsid w:val="0C7426EC"/>
    <w:rsid w:val="0D766D04"/>
    <w:rsid w:val="0D815DD4"/>
    <w:rsid w:val="0E211365"/>
    <w:rsid w:val="0E8A6F0A"/>
    <w:rsid w:val="0EC40C69"/>
    <w:rsid w:val="0F0E09E8"/>
    <w:rsid w:val="0F425337"/>
    <w:rsid w:val="0FB7564B"/>
    <w:rsid w:val="0FDC5544"/>
    <w:rsid w:val="101E5B5C"/>
    <w:rsid w:val="104135F9"/>
    <w:rsid w:val="105A46BB"/>
    <w:rsid w:val="10A51DDA"/>
    <w:rsid w:val="1126167A"/>
    <w:rsid w:val="115F642C"/>
    <w:rsid w:val="119A2EC2"/>
    <w:rsid w:val="12064AFA"/>
    <w:rsid w:val="12837EF9"/>
    <w:rsid w:val="12B72AC8"/>
    <w:rsid w:val="12DD56D0"/>
    <w:rsid w:val="12E453E1"/>
    <w:rsid w:val="130A686C"/>
    <w:rsid w:val="13914897"/>
    <w:rsid w:val="13E83022"/>
    <w:rsid w:val="145B4DEA"/>
    <w:rsid w:val="146B1AFA"/>
    <w:rsid w:val="148B7538"/>
    <w:rsid w:val="14E03753"/>
    <w:rsid w:val="15357EA3"/>
    <w:rsid w:val="1546345F"/>
    <w:rsid w:val="157A3DE6"/>
    <w:rsid w:val="15BF56EC"/>
    <w:rsid w:val="15FA0A52"/>
    <w:rsid w:val="162163A6"/>
    <w:rsid w:val="163007A4"/>
    <w:rsid w:val="16323E9D"/>
    <w:rsid w:val="16526560"/>
    <w:rsid w:val="16532BAF"/>
    <w:rsid w:val="167F4E7B"/>
    <w:rsid w:val="16AB5CAD"/>
    <w:rsid w:val="16B17A67"/>
    <w:rsid w:val="16C117E9"/>
    <w:rsid w:val="16E84EEA"/>
    <w:rsid w:val="16ED5F07"/>
    <w:rsid w:val="17231CAA"/>
    <w:rsid w:val="1750680B"/>
    <w:rsid w:val="17602EFE"/>
    <w:rsid w:val="179E5F3A"/>
    <w:rsid w:val="17A62F40"/>
    <w:rsid w:val="17C36FE9"/>
    <w:rsid w:val="17EF6030"/>
    <w:rsid w:val="181A30AD"/>
    <w:rsid w:val="188F46B1"/>
    <w:rsid w:val="18AB1F57"/>
    <w:rsid w:val="193957B5"/>
    <w:rsid w:val="19891B44"/>
    <w:rsid w:val="19E37FA1"/>
    <w:rsid w:val="1A1A3838"/>
    <w:rsid w:val="1A7F5449"/>
    <w:rsid w:val="1AB33345"/>
    <w:rsid w:val="1AEE342A"/>
    <w:rsid w:val="1AFE6CB6"/>
    <w:rsid w:val="1B143435"/>
    <w:rsid w:val="1BCC2910"/>
    <w:rsid w:val="1BE952E4"/>
    <w:rsid w:val="1BEC2FB3"/>
    <w:rsid w:val="1C220782"/>
    <w:rsid w:val="1C2F2E9F"/>
    <w:rsid w:val="1C3C502D"/>
    <w:rsid w:val="1C56667E"/>
    <w:rsid w:val="1C847E13"/>
    <w:rsid w:val="1C9871D4"/>
    <w:rsid w:val="1CB6711D"/>
    <w:rsid w:val="1CDB7F58"/>
    <w:rsid w:val="1D063C00"/>
    <w:rsid w:val="1D077978"/>
    <w:rsid w:val="1D5038FF"/>
    <w:rsid w:val="1DE026A3"/>
    <w:rsid w:val="1EDA46D4"/>
    <w:rsid w:val="1F047D4E"/>
    <w:rsid w:val="1F2E743E"/>
    <w:rsid w:val="1F43738D"/>
    <w:rsid w:val="1FBB3CE7"/>
    <w:rsid w:val="1FCF6E73"/>
    <w:rsid w:val="1FD955FC"/>
    <w:rsid w:val="1FE453E9"/>
    <w:rsid w:val="200B4005"/>
    <w:rsid w:val="201C373B"/>
    <w:rsid w:val="203B1E13"/>
    <w:rsid w:val="2040567B"/>
    <w:rsid w:val="213571AA"/>
    <w:rsid w:val="213836B0"/>
    <w:rsid w:val="213B4094"/>
    <w:rsid w:val="21893052"/>
    <w:rsid w:val="219E4C0D"/>
    <w:rsid w:val="22CF093F"/>
    <w:rsid w:val="22F20137"/>
    <w:rsid w:val="23476D20"/>
    <w:rsid w:val="23517B9F"/>
    <w:rsid w:val="23713D9D"/>
    <w:rsid w:val="23F24EDE"/>
    <w:rsid w:val="23F82635"/>
    <w:rsid w:val="24613C0B"/>
    <w:rsid w:val="24651B54"/>
    <w:rsid w:val="2490190B"/>
    <w:rsid w:val="24F212CA"/>
    <w:rsid w:val="25324D05"/>
    <w:rsid w:val="253B28B5"/>
    <w:rsid w:val="25472113"/>
    <w:rsid w:val="26591245"/>
    <w:rsid w:val="269C3827"/>
    <w:rsid w:val="26C708A4"/>
    <w:rsid w:val="27104DCE"/>
    <w:rsid w:val="27196C26"/>
    <w:rsid w:val="274912B9"/>
    <w:rsid w:val="275639D6"/>
    <w:rsid w:val="27BA1634"/>
    <w:rsid w:val="27D03788"/>
    <w:rsid w:val="287265EE"/>
    <w:rsid w:val="28D450EA"/>
    <w:rsid w:val="28D5055F"/>
    <w:rsid w:val="28FC39E6"/>
    <w:rsid w:val="29895F83"/>
    <w:rsid w:val="2AA841F2"/>
    <w:rsid w:val="2AF43C32"/>
    <w:rsid w:val="2BCA04EF"/>
    <w:rsid w:val="2C5030EA"/>
    <w:rsid w:val="2C7C5C8D"/>
    <w:rsid w:val="2C934D84"/>
    <w:rsid w:val="2CC413E2"/>
    <w:rsid w:val="2CE028C6"/>
    <w:rsid w:val="2D012F66"/>
    <w:rsid w:val="2D771923"/>
    <w:rsid w:val="2D776454"/>
    <w:rsid w:val="2D7B5F44"/>
    <w:rsid w:val="2DA84860"/>
    <w:rsid w:val="2DFB5908"/>
    <w:rsid w:val="2E0065CE"/>
    <w:rsid w:val="2E312AA7"/>
    <w:rsid w:val="2E746294"/>
    <w:rsid w:val="2EF22236"/>
    <w:rsid w:val="2F1F6DA3"/>
    <w:rsid w:val="2F391C13"/>
    <w:rsid w:val="2F666780"/>
    <w:rsid w:val="2FA63021"/>
    <w:rsid w:val="2FAA2B11"/>
    <w:rsid w:val="2FF41FDE"/>
    <w:rsid w:val="2FFB511A"/>
    <w:rsid w:val="30155912"/>
    <w:rsid w:val="3070283C"/>
    <w:rsid w:val="309A4933"/>
    <w:rsid w:val="30C9346B"/>
    <w:rsid w:val="30FF50DE"/>
    <w:rsid w:val="311D7312"/>
    <w:rsid w:val="313E79B5"/>
    <w:rsid w:val="318A49A8"/>
    <w:rsid w:val="31D644AB"/>
    <w:rsid w:val="32554509"/>
    <w:rsid w:val="32A24300"/>
    <w:rsid w:val="32E92FB9"/>
    <w:rsid w:val="33526CEF"/>
    <w:rsid w:val="33F8661C"/>
    <w:rsid w:val="34945433"/>
    <w:rsid w:val="354B627A"/>
    <w:rsid w:val="36C26992"/>
    <w:rsid w:val="36EF34FF"/>
    <w:rsid w:val="3710594F"/>
    <w:rsid w:val="375D66BB"/>
    <w:rsid w:val="381474C6"/>
    <w:rsid w:val="38183E1B"/>
    <w:rsid w:val="38295077"/>
    <w:rsid w:val="38613F89"/>
    <w:rsid w:val="38D37AC3"/>
    <w:rsid w:val="38E30E42"/>
    <w:rsid w:val="38F66DC7"/>
    <w:rsid w:val="39AB195F"/>
    <w:rsid w:val="3A1439A9"/>
    <w:rsid w:val="3A357A7E"/>
    <w:rsid w:val="3A6B10EF"/>
    <w:rsid w:val="3A8F494D"/>
    <w:rsid w:val="3AAA7E69"/>
    <w:rsid w:val="3AEB650A"/>
    <w:rsid w:val="3AF5356F"/>
    <w:rsid w:val="3AF61300"/>
    <w:rsid w:val="3B3460C0"/>
    <w:rsid w:val="3B755158"/>
    <w:rsid w:val="3B837F8F"/>
    <w:rsid w:val="3B862684"/>
    <w:rsid w:val="3BA90120"/>
    <w:rsid w:val="3BEB0739"/>
    <w:rsid w:val="3C241E9D"/>
    <w:rsid w:val="3C485465"/>
    <w:rsid w:val="3C4E5B21"/>
    <w:rsid w:val="3C540EF7"/>
    <w:rsid w:val="3CBA010B"/>
    <w:rsid w:val="3CC11038"/>
    <w:rsid w:val="3D255ECD"/>
    <w:rsid w:val="3D7824A0"/>
    <w:rsid w:val="3D932E36"/>
    <w:rsid w:val="3DEB0EC4"/>
    <w:rsid w:val="3DF02037"/>
    <w:rsid w:val="3DF638A0"/>
    <w:rsid w:val="3E167563"/>
    <w:rsid w:val="3E4F69BB"/>
    <w:rsid w:val="3E7964D0"/>
    <w:rsid w:val="3E891DA4"/>
    <w:rsid w:val="3EA52668"/>
    <w:rsid w:val="3EBD0EE2"/>
    <w:rsid w:val="3F141D55"/>
    <w:rsid w:val="3FAF7CCF"/>
    <w:rsid w:val="3FE43E1D"/>
    <w:rsid w:val="4004305D"/>
    <w:rsid w:val="40EE65D6"/>
    <w:rsid w:val="416F7716"/>
    <w:rsid w:val="419B49AF"/>
    <w:rsid w:val="41A73354"/>
    <w:rsid w:val="41C757A4"/>
    <w:rsid w:val="41D41C6F"/>
    <w:rsid w:val="42162288"/>
    <w:rsid w:val="428B1AA5"/>
    <w:rsid w:val="429D02B3"/>
    <w:rsid w:val="429F1251"/>
    <w:rsid w:val="43004B7A"/>
    <w:rsid w:val="430F539D"/>
    <w:rsid w:val="43212C92"/>
    <w:rsid w:val="43574906"/>
    <w:rsid w:val="43972F54"/>
    <w:rsid w:val="443A0129"/>
    <w:rsid w:val="450308A1"/>
    <w:rsid w:val="45131232"/>
    <w:rsid w:val="45401AF6"/>
    <w:rsid w:val="457804D5"/>
    <w:rsid w:val="45EC3A2B"/>
    <w:rsid w:val="45EC7588"/>
    <w:rsid w:val="45F20916"/>
    <w:rsid w:val="463236F2"/>
    <w:rsid w:val="463D7DE3"/>
    <w:rsid w:val="4694464B"/>
    <w:rsid w:val="46954ED9"/>
    <w:rsid w:val="46A61E2C"/>
    <w:rsid w:val="46FB5788"/>
    <w:rsid w:val="475A2C17"/>
    <w:rsid w:val="47A83982"/>
    <w:rsid w:val="47D26C51"/>
    <w:rsid w:val="47DE55F6"/>
    <w:rsid w:val="483D056E"/>
    <w:rsid w:val="485422E0"/>
    <w:rsid w:val="486C49B0"/>
    <w:rsid w:val="486F10A5"/>
    <w:rsid w:val="487565D5"/>
    <w:rsid w:val="48C42A3E"/>
    <w:rsid w:val="4921579A"/>
    <w:rsid w:val="493354CD"/>
    <w:rsid w:val="49341FF9"/>
    <w:rsid w:val="493556E9"/>
    <w:rsid w:val="49725FF6"/>
    <w:rsid w:val="49F04DE4"/>
    <w:rsid w:val="4A0B01F8"/>
    <w:rsid w:val="4A175E73"/>
    <w:rsid w:val="4A216F8B"/>
    <w:rsid w:val="4A954A5F"/>
    <w:rsid w:val="4ADF52C2"/>
    <w:rsid w:val="4B1355B6"/>
    <w:rsid w:val="4B2E23F0"/>
    <w:rsid w:val="4B7E2B72"/>
    <w:rsid w:val="4B8244EA"/>
    <w:rsid w:val="4BDE5BC4"/>
    <w:rsid w:val="4C225B2C"/>
    <w:rsid w:val="4C8C4B93"/>
    <w:rsid w:val="4CA010CC"/>
    <w:rsid w:val="4CEC6287"/>
    <w:rsid w:val="4D5325E2"/>
    <w:rsid w:val="4DF0398D"/>
    <w:rsid w:val="4DFE3442"/>
    <w:rsid w:val="4EA053B3"/>
    <w:rsid w:val="4EAB2916"/>
    <w:rsid w:val="4ED908C5"/>
    <w:rsid w:val="4F053A58"/>
    <w:rsid w:val="4F471CD3"/>
    <w:rsid w:val="4F590025"/>
    <w:rsid w:val="4F960564"/>
    <w:rsid w:val="50200DCA"/>
    <w:rsid w:val="506D5769"/>
    <w:rsid w:val="50924895"/>
    <w:rsid w:val="512236AA"/>
    <w:rsid w:val="51552C9C"/>
    <w:rsid w:val="52025B23"/>
    <w:rsid w:val="520B6FE7"/>
    <w:rsid w:val="527E5B61"/>
    <w:rsid w:val="528A2602"/>
    <w:rsid w:val="52EB11E0"/>
    <w:rsid w:val="536912CC"/>
    <w:rsid w:val="536C09D1"/>
    <w:rsid w:val="53963CFA"/>
    <w:rsid w:val="540C0A08"/>
    <w:rsid w:val="543B5442"/>
    <w:rsid w:val="54E12D87"/>
    <w:rsid w:val="55055F70"/>
    <w:rsid w:val="55124B31"/>
    <w:rsid w:val="556829A3"/>
    <w:rsid w:val="557A3281"/>
    <w:rsid w:val="55D50038"/>
    <w:rsid w:val="561641AD"/>
    <w:rsid w:val="56C85EF8"/>
    <w:rsid w:val="56CD6F61"/>
    <w:rsid w:val="570341F8"/>
    <w:rsid w:val="575B27BF"/>
    <w:rsid w:val="57B67C8D"/>
    <w:rsid w:val="57EF4CB5"/>
    <w:rsid w:val="58346B6C"/>
    <w:rsid w:val="589D1393"/>
    <w:rsid w:val="58E70221"/>
    <w:rsid w:val="58F22CAF"/>
    <w:rsid w:val="59314975"/>
    <w:rsid w:val="59C10AB4"/>
    <w:rsid w:val="59D56296"/>
    <w:rsid w:val="59D95C1D"/>
    <w:rsid w:val="59DE62A0"/>
    <w:rsid w:val="59EA1BD8"/>
    <w:rsid w:val="5AA955EF"/>
    <w:rsid w:val="5AE605F2"/>
    <w:rsid w:val="5AF54CD9"/>
    <w:rsid w:val="5AFD593B"/>
    <w:rsid w:val="5B8A42EF"/>
    <w:rsid w:val="5BBC1352"/>
    <w:rsid w:val="5BFB631F"/>
    <w:rsid w:val="5C003935"/>
    <w:rsid w:val="5C0351D3"/>
    <w:rsid w:val="5C3F3891"/>
    <w:rsid w:val="5C484871"/>
    <w:rsid w:val="5C967DF5"/>
    <w:rsid w:val="5CFF1E3E"/>
    <w:rsid w:val="5D7A3273"/>
    <w:rsid w:val="5DDF5B1F"/>
    <w:rsid w:val="5DE352BC"/>
    <w:rsid w:val="5E253BAB"/>
    <w:rsid w:val="5ED21F55"/>
    <w:rsid w:val="5EDA6D5D"/>
    <w:rsid w:val="5F0D76A3"/>
    <w:rsid w:val="5F117C07"/>
    <w:rsid w:val="5F230066"/>
    <w:rsid w:val="5F2931A3"/>
    <w:rsid w:val="5F3538F6"/>
    <w:rsid w:val="5F381638"/>
    <w:rsid w:val="5F385194"/>
    <w:rsid w:val="5F3F6522"/>
    <w:rsid w:val="5F73441E"/>
    <w:rsid w:val="5F8D1984"/>
    <w:rsid w:val="5FAD7930"/>
    <w:rsid w:val="5FC829BC"/>
    <w:rsid w:val="5FCF3D4A"/>
    <w:rsid w:val="5FEA2B00"/>
    <w:rsid w:val="60883EF9"/>
    <w:rsid w:val="608B2C81"/>
    <w:rsid w:val="608F34D9"/>
    <w:rsid w:val="60AF3879"/>
    <w:rsid w:val="60EF149E"/>
    <w:rsid w:val="61693230"/>
    <w:rsid w:val="61FD5295"/>
    <w:rsid w:val="62E83E16"/>
    <w:rsid w:val="631F28F3"/>
    <w:rsid w:val="636E5E0F"/>
    <w:rsid w:val="637349EC"/>
    <w:rsid w:val="639C3F43"/>
    <w:rsid w:val="63DF2082"/>
    <w:rsid w:val="63ED479F"/>
    <w:rsid w:val="63F10999"/>
    <w:rsid w:val="6509385A"/>
    <w:rsid w:val="653D1756"/>
    <w:rsid w:val="656C55D4"/>
    <w:rsid w:val="65AD4482"/>
    <w:rsid w:val="65B25CA0"/>
    <w:rsid w:val="66B5531C"/>
    <w:rsid w:val="66DB2FD4"/>
    <w:rsid w:val="670B7AEA"/>
    <w:rsid w:val="671E1113"/>
    <w:rsid w:val="672A3F5C"/>
    <w:rsid w:val="6756421A"/>
    <w:rsid w:val="67780EDA"/>
    <w:rsid w:val="67A4786A"/>
    <w:rsid w:val="67FA392E"/>
    <w:rsid w:val="688A7DAC"/>
    <w:rsid w:val="68A5389A"/>
    <w:rsid w:val="68AF1D6D"/>
    <w:rsid w:val="68B161D3"/>
    <w:rsid w:val="68D93544"/>
    <w:rsid w:val="690C3CE7"/>
    <w:rsid w:val="69416EAD"/>
    <w:rsid w:val="694C3FC0"/>
    <w:rsid w:val="69F66377"/>
    <w:rsid w:val="6A2627B9"/>
    <w:rsid w:val="6A503CD9"/>
    <w:rsid w:val="6A696B49"/>
    <w:rsid w:val="6AC65D4A"/>
    <w:rsid w:val="6AD46A66"/>
    <w:rsid w:val="6B621F16"/>
    <w:rsid w:val="6B7D161D"/>
    <w:rsid w:val="6B9023FF"/>
    <w:rsid w:val="6BD41C61"/>
    <w:rsid w:val="6C1D4188"/>
    <w:rsid w:val="6CF9407C"/>
    <w:rsid w:val="6D194017"/>
    <w:rsid w:val="6D837F22"/>
    <w:rsid w:val="6DD10C8D"/>
    <w:rsid w:val="6DEF55B7"/>
    <w:rsid w:val="6DFA6436"/>
    <w:rsid w:val="6E22773B"/>
    <w:rsid w:val="6E602011"/>
    <w:rsid w:val="6E761835"/>
    <w:rsid w:val="6E8126B3"/>
    <w:rsid w:val="6E82467D"/>
    <w:rsid w:val="6EA6211A"/>
    <w:rsid w:val="6EC23191"/>
    <w:rsid w:val="6F5837CB"/>
    <w:rsid w:val="6F6D5423"/>
    <w:rsid w:val="6F7C0E3D"/>
    <w:rsid w:val="6F8E41A4"/>
    <w:rsid w:val="6FA32AFD"/>
    <w:rsid w:val="6FEC0000"/>
    <w:rsid w:val="6FEE70E9"/>
    <w:rsid w:val="703235D5"/>
    <w:rsid w:val="70705949"/>
    <w:rsid w:val="70744007"/>
    <w:rsid w:val="710650F2"/>
    <w:rsid w:val="71431EA2"/>
    <w:rsid w:val="715C2F64"/>
    <w:rsid w:val="71804EA4"/>
    <w:rsid w:val="722F68CA"/>
    <w:rsid w:val="724D08F0"/>
    <w:rsid w:val="72A5093A"/>
    <w:rsid w:val="73634A7D"/>
    <w:rsid w:val="73682094"/>
    <w:rsid w:val="737C169B"/>
    <w:rsid w:val="739C3AEB"/>
    <w:rsid w:val="73C343E4"/>
    <w:rsid w:val="73F25E01"/>
    <w:rsid w:val="74117C8D"/>
    <w:rsid w:val="74806F69"/>
    <w:rsid w:val="75717E89"/>
    <w:rsid w:val="758331B5"/>
    <w:rsid w:val="762A27DA"/>
    <w:rsid w:val="76524935"/>
    <w:rsid w:val="76816FC9"/>
    <w:rsid w:val="76832D41"/>
    <w:rsid w:val="773D1603"/>
    <w:rsid w:val="774A6156"/>
    <w:rsid w:val="77D71596"/>
    <w:rsid w:val="78C4148F"/>
    <w:rsid w:val="7924080B"/>
    <w:rsid w:val="792D540E"/>
    <w:rsid w:val="798F3644"/>
    <w:rsid w:val="79D10450"/>
    <w:rsid w:val="7A286917"/>
    <w:rsid w:val="7A290118"/>
    <w:rsid w:val="7A5C2227"/>
    <w:rsid w:val="7A97688D"/>
    <w:rsid w:val="7AF256B6"/>
    <w:rsid w:val="7AF449C4"/>
    <w:rsid w:val="7B051225"/>
    <w:rsid w:val="7B0846E3"/>
    <w:rsid w:val="7B914268"/>
    <w:rsid w:val="7B965AB3"/>
    <w:rsid w:val="7C444D20"/>
    <w:rsid w:val="7C7C0DEA"/>
    <w:rsid w:val="7CB00608"/>
    <w:rsid w:val="7D07647A"/>
    <w:rsid w:val="7D3935CB"/>
    <w:rsid w:val="7D9A4AFF"/>
    <w:rsid w:val="7DAC5273"/>
    <w:rsid w:val="7DB14637"/>
    <w:rsid w:val="7DBF464A"/>
    <w:rsid w:val="7DF84014"/>
    <w:rsid w:val="7E074257"/>
    <w:rsid w:val="7E795155"/>
    <w:rsid w:val="7EAD3051"/>
    <w:rsid w:val="7EB20667"/>
    <w:rsid w:val="7EF94618"/>
    <w:rsid w:val="7F211349"/>
    <w:rsid w:val="7F2C21C7"/>
    <w:rsid w:val="7F405C73"/>
    <w:rsid w:val="7F460DAF"/>
    <w:rsid w:val="7FC9626B"/>
    <w:rsid w:val="7FD0349B"/>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rPr>
      <w:sz w:val="24"/>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paragraph" w:customStyle="1" w:styleId="10">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1">
    <w:name w:val="Table Normal"/>
    <w:autoRedefine/>
    <w:semiHidden/>
    <w:unhideWhenUsed/>
    <w:qFormat/>
    <w:uiPriority w:val="0"/>
    <w:tblPr>
      <w:tblCellMar>
        <w:top w:w="0" w:type="dxa"/>
        <w:left w:w="0" w:type="dxa"/>
        <w:bottom w:w="0" w:type="dxa"/>
        <w:right w:w="0" w:type="dxa"/>
      </w:tblCellMar>
    </w:tblPr>
  </w:style>
  <w:style w:type="paragraph" w:customStyle="1" w:styleId="12">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2024-03-22T01:19:11Z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D23AE21371AD4B2A936F48373C5D0EDD_13</vt:lpwstr>
  </property>
</Properties>
</file>