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56" w:lineRule="auto"/>
      </w:pPr>
      <w: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upright="0"/>
                    </wps:wsp>
                  </a:graphicData>
                </a:graphic>
              </wp:anchor>
            </w:drawing>
          </mc:Choice>
          <mc:Fallback>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x&#10;SUMJ2AAAAAsBAAAPAAAAAAAAAAEAIAAAACIAAABkcnMvZG93bnJldi54bWxQSwECFAAUAAAACACH&#10;TuJAiyX8T7IBAABgAwAADgAAAAAAAAABACAAAAAnAQAAZHJzL2Uyb0RvYy54bWxQSwUGAAAAAAYA&#10;BgBZAQAASwUAAAAA&#10;">
                <v:fill on="t" focussize="0,0"/>
                <v:stroke on="f"/>
                <v:imagedata o:title=""/>
                <o:lock v:ext="edit" aspectratio="f"/>
              </v:rect>
            </w:pict>
          </mc:Fallback>
        </mc:AlternateContent>
      </w: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spacing w:line="240" w:lineRule="auto"/>
        <w:ind w:firstLine="1421"/>
        <w:rPr>
          <w:rFonts w:hint="eastAsia" w:eastAsia="宋体"/>
          <w:lang w:eastAsia="zh-CN"/>
        </w:rPr>
      </w:pPr>
      <w:r>
        <w:rPr>
          <w:rFonts w:hint="eastAsia" w:eastAsia="宋体"/>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pPr>
        <w:spacing w:line="240" w:lineRule="auto"/>
        <w:ind w:firstLine="1421"/>
        <w:rPr>
          <w:rFonts w:ascii="微软雅黑" w:hAnsi="微软雅黑" w:eastAsia="微软雅黑" w:cs="微软雅黑"/>
          <w:sz w:val="96"/>
          <w:szCs w:val="96"/>
        </w:rPr>
      </w:pPr>
      <w:r>
        <w:rPr>
          <w:rFonts w:hint="eastAsia" w:ascii="微软雅黑" w:hAnsi="微软雅黑" w:eastAsia="微软雅黑" w:cs="微软雅黑"/>
          <w:b/>
          <w:bCs/>
          <w:color w:val="FFFFFF"/>
          <w:spacing w:val="6"/>
          <w:sz w:val="96"/>
          <w:szCs w:val="96"/>
          <w:lang w:val="en-US" w:eastAsia="zh-CN"/>
        </w:rPr>
        <w:t>每日</w:t>
      </w:r>
      <w:r>
        <w:rPr>
          <w:rFonts w:ascii="微软雅黑" w:hAnsi="微软雅黑" w:eastAsia="微软雅黑" w:cs="微软雅黑"/>
          <w:b/>
          <w:bCs/>
          <w:color w:val="FFFFFF"/>
          <w:spacing w:val="6"/>
          <w:sz w:val="96"/>
          <w:szCs w:val="96"/>
        </w:rPr>
        <w:t>市场报告</w:t>
      </w: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spacing w:before="206" w:line="204" w:lineRule="auto"/>
        <w:ind w:left="7323"/>
        <w:rPr>
          <w:sz w:val="48"/>
          <w:szCs w:val="48"/>
        </w:rPr>
      </w:pPr>
      <w:r>
        <w:rPr>
          <w:rFonts w:ascii="微软雅黑" w:hAnsi="微软雅黑" w:eastAsia="微软雅黑" w:cs="微软雅黑"/>
          <w:b/>
          <w:bCs/>
          <w:color w:val="005D97"/>
          <w:spacing w:val="-22"/>
          <w:sz w:val="48"/>
          <w:szCs w:val="48"/>
        </w:rPr>
        <w:t>2024年3月</w:t>
      </w:r>
      <w:r>
        <w:rPr>
          <w:rFonts w:hint="eastAsia" w:ascii="微软雅黑" w:hAnsi="微软雅黑" w:eastAsia="微软雅黑" w:cs="微软雅黑"/>
          <w:b/>
          <w:bCs/>
          <w:color w:val="005D97"/>
          <w:spacing w:val="-22"/>
          <w:sz w:val="48"/>
          <w:szCs w:val="48"/>
          <w:lang w:val="en-US" w:eastAsia="zh-CN"/>
        </w:rPr>
        <w:t>26</w:t>
      </w:r>
      <w:r>
        <w:rPr>
          <w:rFonts w:ascii="微软雅黑" w:hAnsi="微软雅黑" w:eastAsia="微软雅黑" w:cs="微软雅黑"/>
          <w:b/>
          <w:bCs/>
          <w:color w:val="005D97"/>
          <w:spacing w:val="-22"/>
          <w:sz w:val="48"/>
          <w:szCs w:val="48"/>
        </w:rPr>
        <w:t>日</w:t>
      </w:r>
      <w:r>
        <w:rPr>
          <w:rFonts w:ascii="微软雅黑" w:hAnsi="微软雅黑" w:eastAsia="微软雅黑" w:cs="微软雅黑"/>
          <w:b/>
          <w:bCs/>
          <w:color w:val="005D97"/>
          <w:spacing w:val="38"/>
          <w:sz w:val="48"/>
          <w:szCs w:val="48"/>
        </w:rPr>
        <w:t xml:space="preserve"> </w:t>
      </w:r>
      <w:r>
        <w:rPr>
          <w:position w:val="-3"/>
          <w:sz w:val="48"/>
          <w:szCs w:val="48"/>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pPr>
        <w:spacing w:line="204" w:lineRule="auto"/>
        <w:rPr>
          <w:sz w:val="48"/>
          <w:szCs w:val="48"/>
        </w:rPr>
        <w:sectPr>
          <w:headerReference r:id="rId5" w:type="default"/>
          <w:pgSz w:w="11906" w:h="16838"/>
          <w:pgMar w:top="400" w:right="0" w:bottom="0" w:left="0" w:header="0" w:footer="340" w:gutter="0"/>
          <w:pgBorders>
            <w:top w:val="none" w:sz="0" w:space="0"/>
            <w:left w:val="none" w:sz="0" w:space="0"/>
            <w:bottom w:val="none" w:sz="0" w:space="0"/>
            <w:right w:val="none" w:sz="0" w:space="0"/>
          </w:pgBorders>
          <w:pgNumType w:fmt="decimal"/>
          <w:cols w:space="720" w:num="1"/>
        </w:sectPr>
      </w:pPr>
    </w:p>
    <w:p>
      <w:pPr>
        <w:pBdr>
          <w:top w:val="none" w:color="auto" w:sz="0" w:space="1"/>
          <w:left w:val="none" w:color="auto" w:sz="0" w:space="4"/>
          <w:bottom w:val="none" w:color="auto" w:sz="0" w:space="1"/>
          <w:right w:val="none" w:color="auto" w:sz="0" w:space="4"/>
          <w:between w:val="none" w:color="auto" w:sz="0" w:space="0"/>
        </w:pBdr>
        <w:kinsoku w:val="0"/>
        <w:autoSpaceDE w:val="0"/>
        <w:autoSpaceDN w:val="0"/>
        <w:adjustRightInd w:val="0"/>
        <w:snapToGrid w:val="0"/>
        <w:spacing w:line="240" w:lineRule="auto"/>
        <w:ind w:right="420" w:rightChars="200" w:firstLine="0" w:firstLineChars="0"/>
        <w:jc w:val="left"/>
        <w:textAlignment w:val="baseline"/>
        <w:rPr>
          <w:rFonts w:hint="eastAsia" w:eastAsia="宋体"/>
          <w:lang w:eastAsia="zh-CN"/>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市场综述</w:t>
      </w:r>
    </w:p>
    <w:p>
      <w:pPr>
        <w:keepNext w:val="0"/>
        <w:keepLines w:val="0"/>
        <w:pageBreakBefore w:val="0"/>
        <w:widowControl/>
        <w:kinsoku w:val="0"/>
        <w:wordWrap/>
        <w:overflowPunct/>
        <w:topLinePunct w:val="0"/>
        <w:autoSpaceDE w:val="0"/>
        <w:autoSpaceDN w:val="0"/>
        <w:bidi w:val="0"/>
        <w:adjustRightInd w:val="0"/>
        <w:snapToGrid w:val="0"/>
        <w:spacing w:before="103" w:line="257" w:lineRule="auto"/>
        <w:ind w:right="584" w:firstLine="496" w:firstLineChars="200"/>
        <w:jc w:val="both"/>
        <w:textAlignment w:val="baseline"/>
        <w:rPr>
          <w:rFonts w:hint="eastAsia" w:ascii="微软雅黑" w:hAnsi="微软雅黑" w:eastAsia="微软雅黑" w:cs="微软雅黑"/>
          <w:spacing w:val="12"/>
          <w:sz w:val="24"/>
          <w:szCs w:val="24"/>
          <w:lang w:eastAsia="zh-CN"/>
        </w:rPr>
      </w:pPr>
      <w:r>
        <w:rPr>
          <w:rFonts w:ascii="微软雅黑" w:hAnsi="微软雅黑" w:eastAsia="微软雅黑" w:cs="微软雅黑"/>
          <w:spacing w:val="4"/>
          <w:sz w:val="24"/>
          <w:szCs w:val="24"/>
        </w:rPr>
        <w:t>截至3月</w:t>
      </w:r>
      <w:r>
        <w:rPr>
          <w:rFonts w:hint="eastAsia" w:ascii="微软雅黑" w:hAnsi="微软雅黑" w:eastAsia="微软雅黑" w:cs="微软雅黑"/>
          <w:spacing w:val="4"/>
          <w:sz w:val="24"/>
          <w:szCs w:val="24"/>
          <w:lang w:val="en-US" w:eastAsia="zh-CN"/>
        </w:rPr>
        <w:t>26</w:t>
      </w:r>
      <w:r>
        <w:rPr>
          <w:rFonts w:ascii="微软雅黑" w:hAnsi="微软雅黑" w:eastAsia="微软雅黑" w:cs="微软雅黑"/>
          <w:spacing w:val="4"/>
          <w:sz w:val="24"/>
          <w:szCs w:val="24"/>
        </w:rPr>
        <w:t>日，美国三大股指小幅收跌</w:t>
      </w:r>
      <w:r>
        <w:rPr>
          <w:rFonts w:hint="eastAsia" w:ascii="微软雅黑" w:hAnsi="微软雅黑" w:eastAsia="微软雅黑" w:cs="微软雅黑"/>
          <w:spacing w:val="4"/>
          <w:sz w:val="24"/>
          <w:szCs w:val="24"/>
        </w:rPr>
        <w:t>，</w:t>
      </w:r>
      <w:r>
        <w:rPr>
          <w:rFonts w:ascii="微软雅黑" w:hAnsi="微软雅黑" w:eastAsia="微软雅黑" w:cs="微软雅黑"/>
          <w:spacing w:val="4"/>
          <w:sz w:val="24"/>
          <w:szCs w:val="24"/>
        </w:rPr>
        <w:t>道指</w:t>
      </w:r>
      <w:r>
        <w:rPr>
          <w:rFonts w:hint="eastAsia" w:ascii="微软雅黑" w:hAnsi="微软雅黑" w:eastAsia="微软雅黑" w:cs="微软雅黑"/>
          <w:spacing w:val="4"/>
          <w:sz w:val="24"/>
          <w:szCs w:val="24"/>
        </w:rPr>
        <w:t>跌0.41%，</w:t>
      </w:r>
      <w:r>
        <w:rPr>
          <w:rFonts w:ascii="微软雅黑" w:hAnsi="微软雅黑" w:eastAsia="微软雅黑" w:cs="微软雅黑"/>
          <w:spacing w:val="4"/>
          <w:sz w:val="24"/>
          <w:szCs w:val="24"/>
        </w:rPr>
        <w:t>标普500指数</w:t>
      </w:r>
      <w:r>
        <w:rPr>
          <w:rFonts w:hint="eastAsia" w:ascii="微软雅黑" w:hAnsi="微软雅黑" w:eastAsia="微软雅黑" w:cs="微软雅黑"/>
          <w:spacing w:val="4"/>
          <w:sz w:val="24"/>
          <w:szCs w:val="24"/>
        </w:rPr>
        <w:t>跌0.31%，</w:t>
      </w:r>
      <w:r>
        <w:rPr>
          <w:rFonts w:ascii="微软雅黑" w:hAnsi="微软雅黑" w:eastAsia="微软雅黑" w:cs="微软雅黑"/>
          <w:spacing w:val="4"/>
          <w:sz w:val="24"/>
          <w:szCs w:val="24"/>
        </w:rPr>
        <w:t>纳指</w:t>
      </w:r>
      <w:r>
        <w:rPr>
          <w:rFonts w:hint="eastAsia" w:ascii="微软雅黑" w:hAnsi="微软雅黑" w:eastAsia="微软雅黑" w:cs="微软雅黑"/>
          <w:spacing w:val="4"/>
          <w:sz w:val="24"/>
          <w:szCs w:val="24"/>
        </w:rPr>
        <w:t>跌0.27%</w:t>
      </w:r>
      <w:r>
        <w:rPr>
          <w:rFonts w:hint="eastAsia" w:ascii="微软雅黑" w:hAnsi="微软雅黑" w:eastAsia="微软雅黑" w:cs="微软雅黑"/>
          <w:spacing w:val="4"/>
          <w:sz w:val="24"/>
          <w:szCs w:val="24"/>
          <w:lang w:eastAsia="zh-CN"/>
        </w:rPr>
        <w:t>。美元指数跌0.19%报104.23，非美货币多数上涨，离岸人民币</w:t>
      </w:r>
      <w:r>
        <w:rPr>
          <w:rFonts w:hint="eastAsia" w:ascii="微软雅黑" w:hAnsi="微软雅黑" w:eastAsia="微软雅黑" w:cs="微软雅黑"/>
          <w:spacing w:val="4"/>
          <w:sz w:val="24"/>
          <w:szCs w:val="24"/>
          <w:lang w:val="en-US" w:eastAsia="zh-CN"/>
        </w:rPr>
        <w:t>兑</w:t>
      </w:r>
      <w:r>
        <w:rPr>
          <w:rFonts w:hint="eastAsia" w:ascii="微软雅黑" w:hAnsi="微软雅黑" w:eastAsia="微软雅黑" w:cs="微软雅黑"/>
          <w:spacing w:val="4"/>
          <w:sz w:val="24"/>
          <w:szCs w:val="24"/>
          <w:lang w:eastAsia="zh-CN"/>
        </w:rPr>
        <w:t>美元涨232个基点报7.2529。国际油价全线上涨，美油5月合约涨1.7%，报82.00美元/桶；布油6月合约涨1.41%，报86.03美元/桶。国际贵金属期货</w:t>
      </w:r>
      <w:r>
        <w:rPr>
          <w:rFonts w:hint="eastAsia" w:ascii="微软雅黑" w:hAnsi="微软雅黑" w:eastAsia="微软雅黑" w:cs="微软雅黑"/>
          <w:spacing w:val="4"/>
          <w:sz w:val="24"/>
          <w:szCs w:val="24"/>
          <w:lang w:val="en-US" w:eastAsia="zh-CN"/>
        </w:rPr>
        <w:t>收盘涨跌不一</w:t>
      </w:r>
      <w:r>
        <w:rPr>
          <w:rFonts w:hint="eastAsia" w:ascii="微软雅黑" w:hAnsi="微软雅黑" w:eastAsia="微软雅黑" w:cs="微软雅黑"/>
          <w:spacing w:val="4"/>
          <w:sz w:val="24"/>
          <w:szCs w:val="24"/>
          <w:lang w:eastAsia="zh-CN"/>
        </w:rPr>
        <w:t>，</w:t>
      </w:r>
      <w:r>
        <w:rPr>
          <w:rFonts w:ascii="微软雅黑" w:hAnsi="微软雅黑" w:eastAsia="微软雅黑" w:cs="微软雅黑"/>
          <w:sz w:val="24"/>
          <w:szCs w:val="24"/>
        </w:rPr>
        <w:t>LME</w:t>
      </w:r>
      <w:r>
        <w:rPr>
          <w:rFonts w:ascii="微软雅黑" w:hAnsi="微软雅黑" w:eastAsia="微软雅黑" w:cs="微软雅黑"/>
          <w:spacing w:val="4"/>
          <w:sz w:val="24"/>
          <w:szCs w:val="24"/>
        </w:rPr>
        <w:t>期铜跌0.04%报8863美元/吨</w:t>
      </w:r>
      <w:r>
        <w:rPr>
          <w:rFonts w:hint="eastAsia" w:ascii="微软雅黑" w:hAnsi="微软雅黑" w:eastAsia="微软雅黑" w:cs="微软雅黑"/>
          <w:spacing w:val="4"/>
          <w:sz w:val="24"/>
          <w:szCs w:val="24"/>
          <w:lang w:eastAsia="zh-CN"/>
        </w:rPr>
        <w:t>，</w:t>
      </w:r>
      <w:r>
        <w:rPr>
          <w:rFonts w:ascii="微软雅黑" w:hAnsi="微软雅黑" w:eastAsia="微软雅黑" w:cs="微软雅黑"/>
          <w:sz w:val="24"/>
          <w:szCs w:val="24"/>
        </w:rPr>
        <w:t>COMEX</w:t>
      </w:r>
      <w:r>
        <w:rPr>
          <w:rFonts w:ascii="微软雅黑" w:hAnsi="微软雅黑" w:eastAsia="微软雅黑" w:cs="微软雅黑"/>
          <w:spacing w:val="2"/>
          <w:sz w:val="24"/>
          <w:szCs w:val="24"/>
        </w:rPr>
        <w:t>黄金期货涨0.6%报2173美元/盎司，</w:t>
      </w:r>
      <w:r>
        <w:rPr>
          <w:rFonts w:ascii="微软雅黑" w:hAnsi="微软雅黑" w:eastAsia="微软雅黑" w:cs="微软雅黑"/>
          <w:sz w:val="24"/>
          <w:szCs w:val="24"/>
        </w:rPr>
        <w:t>COMEX</w:t>
      </w:r>
      <w:r>
        <w:rPr>
          <w:rFonts w:ascii="微软雅黑" w:hAnsi="微软雅黑" w:eastAsia="微软雅黑" w:cs="微软雅黑"/>
          <w:spacing w:val="2"/>
          <w:sz w:val="24"/>
          <w:szCs w:val="24"/>
        </w:rPr>
        <w:t>白银期货跌0.03%报24.835美元/盎司。</w:t>
      </w:r>
      <w:r>
        <w:rPr>
          <w:rFonts w:hint="eastAsia" w:ascii="微软雅黑" w:hAnsi="微软雅黑" w:eastAsia="微软雅黑" w:cs="微软雅黑"/>
          <w:spacing w:val="2"/>
          <w:sz w:val="24"/>
          <w:szCs w:val="24"/>
          <w:lang w:eastAsia="zh-CN"/>
        </w:rPr>
        <w:t>5月 ICE 原糖</w:t>
      </w:r>
      <w:r>
        <w:rPr>
          <w:rFonts w:hint="eastAsia" w:ascii="微软雅黑" w:hAnsi="微软雅黑" w:eastAsia="微软雅黑" w:cs="微软雅黑"/>
          <w:spacing w:val="2"/>
          <w:sz w:val="24"/>
          <w:szCs w:val="24"/>
          <w:lang w:val="en-US" w:eastAsia="zh-CN"/>
        </w:rPr>
        <w:t>期货合约</w:t>
      </w:r>
      <w:r>
        <w:rPr>
          <w:rFonts w:hint="eastAsia" w:ascii="微软雅黑" w:hAnsi="微软雅黑" w:eastAsia="微软雅黑" w:cs="微软雅黑"/>
          <w:spacing w:val="12"/>
          <w:sz w:val="24"/>
          <w:szCs w:val="24"/>
        </w:rPr>
        <w:t>收涨</w:t>
      </w:r>
      <w:r>
        <w:rPr>
          <w:rFonts w:hint="eastAsia" w:ascii="微软雅黑" w:hAnsi="微软雅黑" w:eastAsia="微软雅黑" w:cs="微软雅黑"/>
          <w:spacing w:val="12"/>
          <w:sz w:val="24"/>
          <w:szCs w:val="24"/>
          <w:lang w:val="en-US" w:eastAsia="zh-CN"/>
        </w:rPr>
        <w:t>0.5</w:t>
      </w:r>
      <w:r>
        <w:rPr>
          <w:rFonts w:hint="eastAsia" w:ascii="微软雅黑" w:hAnsi="微软雅黑" w:eastAsia="微软雅黑" w:cs="微软雅黑"/>
          <w:spacing w:val="12"/>
          <w:sz w:val="24"/>
          <w:szCs w:val="24"/>
        </w:rPr>
        <w:t>%</w:t>
      </w:r>
      <w:r>
        <w:rPr>
          <w:rFonts w:hint="eastAsia" w:ascii="微软雅黑" w:hAnsi="微软雅黑" w:eastAsia="微软雅黑" w:cs="微软雅黑"/>
          <w:spacing w:val="12"/>
          <w:sz w:val="24"/>
          <w:szCs w:val="24"/>
          <w:lang w:eastAsia="zh-CN"/>
        </w:rPr>
        <w:t>，</w:t>
      </w:r>
      <w:r>
        <w:rPr>
          <w:rFonts w:hint="eastAsia" w:ascii="微软雅黑" w:hAnsi="微软雅黑" w:eastAsia="微软雅黑" w:cs="微软雅黑"/>
          <w:spacing w:val="12"/>
          <w:sz w:val="24"/>
          <w:szCs w:val="24"/>
        </w:rPr>
        <w:t>结算价报2</w:t>
      </w:r>
      <w:r>
        <w:rPr>
          <w:rFonts w:hint="eastAsia" w:ascii="微软雅黑" w:hAnsi="微软雅黑" w:eastAsia="微软雅黑" w:cs="微软雅黑"/>
          <w:spacing w:val="12"/>
          <w:sz w:val="24"/>
          <w:szCs w:val="24"/>
          <w:lang w:val="en-US" w:eastAsia="zh-CN"/>
        </w:rPr>
        <w:t>1.95</w:t>
      </w:r>
      <w:r>
        <w:rPr>
          <w:rFonts w:ascii="微软雅黑" w:hAnsi="微软雅黑" w:eastAsia="微软雅黑" w:cs="微软雅黑"/>
          <w:spacing w:val="12"/>
          <w:sz w:val="24"/>
          <w:szCs w:val="24"/>
        </w:rPr>
        <w:t>美分/磅</w:t>
      </w:r>
      <w:r>
        <w:rPr>
          <w:rFonts w:hint="eastAsia" w:ascii="微软雅黑" w:hAnsi="微软雅黑" w:eastAsia="微软雅黑" w:cs="微软雅黑"/>
          <w:spacing w:val="12"/>
          <w:sz w:val="24"/>
          <w:szCs w:val="24"/>
          <w:lang w:eastAsia="zh-CN"/>
        </w:rPr>
        <w:t>。ICE 5月期棉</w:t>
      </w:r>
      <w:r>
        <w:rPr>
          <w:rFonts w:hint="eastAsia" w:ascii="微软雅黑" w:hAnsi="微软雅黑" w:eastAsia="微软雅黑" w:cs="微软雅黑"/>
          <w:spacing w:val="12"/>
          <w:sz w:val="24"/>
          <w:szCs w:val="24"/>
          <w:lang w:val="en-US" w:eastAsia="zh-CN"/>
        </w:rPr>
        <w:t>期货合约</w:t>
      </w:r>
      <w:r>
        <w:rPr>
          <w:rFonts w:hint="eastAsia" w:ascii="微软雅黑" w:hAnsi="微软雅黑" w:eastAsia="微软雅黑" w:cs="微软雅黑"/>
          <w:spacing w:val="12"/>
          <w:sz w:val="24"/>
          <w:szCs w:val="24"/>
        </w:rPr>
        <w:t>收</w:t>
      </w:r>
      <w:r>
        <w:rPr>
          <w:rFonts w:hint="eastAsia" w:ascii="微软雅黑" w:hAnsi="微软雅黑" w:eastAsia="微软雅黑" w:cs="微软雅黑"/>
          <w:spacing w:val="12"/>
          <w:sz w:val="24"/>
          <w:szCs w:val="24"/>
          <w:lang w:val="en-US" w:eastAsia="zh-CN"/>
        </w:rPr>
        <w:t>涨0.5</w:t>
      </w:r>
      <w:r>
        <w:rPr>
          <w:rFonts w:hint="eastAsia" w:ascii="微软雅黑" w:hAnsi="微软雅黑" w:eastAsia="微软雅黑" w:cs="微软雅黑"/>
          <w:spacing w:val="12"/>
          <w:sz w:val="24"/>
          <w:szCs w:val="24"/>
        </w:rPr>
        <w:t>%，结算价报9</w:t>
      </w:r>
      <w:r>
        <w:rPr>
          <w:rFonts w:hint="eastAsia" w:ascii="微软雅黑" w:hAnsi="微软雅黑" w:eastAsia="微软雅黑" w:cs="微软雅黑"/>
          <w:spacing w:val="12"/>
          <w:sz w:val="24"/>
          <w:szCs w:val="24"/>
          <w:lang w:val="en-US" w:eastAsia="zh-CN"/>
        </w:rPr>
        <w:t>2.02</w:t>
      </w:r>
      <w:r>
        <w:rPr>
          <w:rFonts w:hint="eastAsia" w:ascii="微软雅黑" w:hAnsi="微软雅黑" w:eastAsia="微软雅黑" w:cs="微软雅黑"/>
          <w:spacing w:val="12"/>
          <w:sz w:val="24"/>
          <w:szCs w:val="24"/>
        </w:rPr>
        <w:t>美分/磅</w:t>
      </w:r>
      <w:r>
        <w:rPr>
          <w:rFonts w:hint="eastAsia" w:ascii="微软雅黑" w:hAnsi="微软雅黑" w:eastAsia="微软雅黑" w:cs="微软雅黑"/>
          <w:spacing w:val="12"/>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103" w:line="257" w:lineRule="auto"/>
        <w:ind w:right="584"/>
        <w:jc w:val="both"/>
        <w:textAlignment w:val="baseline"/>
        <w:rPr>
          <w:rFonts w:hint="eastAsia" w:ascii="微软雅黑" w:hAnsi="微软雅黑" w:eastAsia="微软雅黑" w:cs="微软雅黑"/>
          <w:spacing w:val="12"/>
          <w:sz w:val="24"/>
          <w:szCs w:val="24"/>
        </w:rPr>
      </w:pPr>
      <w:r>
        <w:drawing>
          <wp:inline distT="0" distB="0" distL="114300" distR="114300">
            <wp:extent cx="6184900" cy="3427095"/>
            <wp:effectExtent l="0" t="0" r="6350" b="190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2"/>
                    <a:stretch>
                      <a:fillRect/>
                    </a:stretch>
                  </pic:blipFill>
                  <pic:spPr>
                    <a:xfrm>
                      <a:off x="0" y="0"/>
                      <a:ext cx="6184900" cy="3427095"/>
                    </a:xfrm>
                    <a:prstGeom prst="rect">
                      <a:avLst/>
                    </a:prstGeom>
                    <a:noFill/>
                    <a:ln>
                      <a:noFill/>
                    </a:ln>
                  </pic:spPr>
                </pic:pic>
              </a:graphicData>
            </a:graphic>
          </wp:inline>
        </w:drawing>
      </w:r>
    </w:p>
    <w:p>
      <w:pPr>
        <w:spacing w:before="235" w:line="176" w:lineRule="auto"/>
        <w:jc w:val="both"/>
        <w:rPr>
          <w:rFonts w:ascii="微软雅黑" w:hAnsi="微软雅黑" w:eastAsia="微软雅黑" w:cs="微软雅黑"/>
          <w:spacing w:val="7"/>
          <w:sz w:val="21"/>
          <w:szCs w:val="21"/>
        </w:rPr>
      </w:pPr>
      <w:r>
        <w:rPr>
          <w:rFonts w:ascii="微软雅黑" w:hAnsi="微软雅黑" w:eastAsia="微软雅黑" w:cs="微软雅黑"/>
          <w:spacing w:val="7"/>
          <w:sz w:val="21"/>
          <w:szCs w:val="21"/>
        </w:rPr>
        <w:t>图表1</w:t>
      </w:r>
      <w:r>
        <w:rPr>
          <w:rFonts w:hint="eastAsia" w:ascii="微软雅黑" w:hAnsi="微软雅黑" w:eastAsia="微软雅黑" w:cs="微软雅黑"/>
          <w:spacing w:val="7"/>
          <w:sz w:val="21"/>
          <w:szCs w:val="21"/>
          <w:lang w:eastAsia="zh-CN"/>
        </w:rPr>
        <w:t>：</w:t>
      </w:r>
      <w:r>
        <w:rPr>
          <w:rFonts w:ascii="微软雅黑" w:hAnsi="微软雅黑" w:eastAsia="微软雅黑" w:cs="微软雅黑"/>
          <w:spacing w:val="7"/>
          <w:sz w:val="21"/>
          <w:szCs w:val="21"/>
        </w:rPr>
        <w:t>全球</w:t>
      </w:r>
      <w:r>
        <w:rPr>
          <w:rFonts w:hint="eastAsia" w:ascii="微软雅黑" w:hAnsi="微软雅黑" w:eastAsia="微软雅黑" w:cs="微软雅黑"/>
          <w:spacing w:val="7"/>
          <w:sz w:val="21"/>
          <w:szCs w:val="21"/>
          <w:lang w:val="en-US" w:eastAsia="zh-CN"/>
        </w:rPr>
        <w:t>主要股指</w:t>
      </w:r>
      <w:r>
        <w:rPr>
          <w:rFonts w:ascii="微软雅黑" w:hAnsi="微软雅黑" w:eastAsia="微软雅黑" w:cs="微软雅黑"/>
          <w:spacing w:val="7"/>
          <w:sz w:val="21"/>
          <w:szCs w:val="21"/>
        </w:rPr>
        <w:t>涨跌幅</w:t>
      </w:r>
    </w:p>
    <w:p>
      <w:pPr>
        <w:spacing w:before="235" w:line="176" w:lineRule="auto"/>
        <w:jc w:val="both"/>
        <w:rPr>
          <w:rFonts w:ascii="微软雅黑" w:hAnsi="微软雅黑" w:eastAsia="微软雅黑" w:cs="微软雅黑"/>
          <w:spacing w:val="7"/>
          <w:sz w:val="21"/>
          <w:szCs w:val="21"/>
        </w:rPr>
      </w:pPr>
    </w:p>
    <w:p>
      <w:pPr>
        <w:pStyle w:val="2"/>
        <w:spacing w:line="282" w:lineRule="auto"/>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消息回顾</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ascii="微软雅黑" w:hAnsi="微软雅黑" w:eastAsia="微软雅黑" w:cs="微软雅黑"/>
          <w:spacing w:val="4"/>
          <w:sz w:val="24"/>
          <w:szCs w:val="24"/>
        </w:rPr>
      </w:pPr>
      <w:r>
        <w:rPr>
          <w:rFonts w:ascii="微软雅黑" w:hAnsi="微软雅黑" w:eastAsia="微软雅黑" w:cs="微软雅黑"/>
          <w:spacing w:val="4"/>
          <w:sz w:val="24"/>
          <w:szCs w:val="24"/>
        </w:rPr>
        <w:t>【美联储理事库克：谨慎逐步放松政策可以确保通胀可持续回归2%，</w:t>
      </w:r>
      <w:r>
        <w:rPr>
          <w:rFonts w:hint="eastAsia" w:ascii="微软雅黑" w:hAnsi="微软雅黑" w:eastAsia="微软雅黑" w:cs="微软雅黑"/>
          <w:spacing w:val="4"/>
          <w:sz w:val="24"/>
          <w:szCs w:val="24"/>
        </w:rPr>
        <w:t>同时努力维持强劲劳动力市场</w:t>
      </w:r>
      <w:r>
        <w:rPr>
          <w:rFonts w:hint="eastAsia" w:ascii="微软雅黑" w:hAnsi="微软雅黑" w:eastAsia="微软雅黑" w:cs="微软雅黑"/>
          <w:spacing w:val="4"/>
          <w:sz w:val="24"/>
          <w:szCs w:val="24"/>
          <w:lang w:eastAsia="zh-CN"/>
        </w:rPr>
        <w:t>，</w:t>
      </w:r>
      <w:r>
        <w:rPr>
          <w:rFonts w:hint="eastAsia" w:ascii="微软雅黑" w:hAnsi="微软雅黑" w:eastAsia="微软雅黑" w:cs="微软雅黑"/>
          <w:spacing w:val="4"/>
          <w:sz w:val="24"/>
          <w:szCs w:val="24"/>
        </w:rPr>
        <w:t>强劲的生产率增长可能意味着工资增长加快，而不是通胀</w:t>
      </w:r>
      <w:r>
        <w:rPr>
          <w:rFonts w:hint="eastAsia" w:ascii="微软雅黑" w:hAnsi="微软雅黑" w:eastAsia="微软雅黑" w:cs="微软雅黑"/>
          <w:spacing w:val="4"/>
          <w:sz w:val="24"/>
          <w:szCs w:val="24"/>
          <w:lang w:eastAsia="zh-CN"/>
        </w:rPr>
        <w:t>。</w:t>
      </w:r>
      <w:r>
        <w:rPr>
          <w:rFonts w:ascii="微软雅黑" w:hAnsi="微软雅黑" w:eastAsia="微软雅黑" w:cs="微软雅黑"/>
          <w:spacing w:val="4"/>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ascii="微软雅黑" w:hAnsi="微软雅黑" w:eastAsia="微软雅黑" w:cs="微软雅黑"/>
          <w:spacing w:val="4"/>
          <w:sz w:val="24"/>
          <w:szCs w:val="24"/>
        </w:rPr>
      </w:pPr>
      <w:r>
        <w:rPr>
          <w:rFonts w:ascii="微软雅黑" w:hAnsi="微软雅黑" w:eastAsia="微软雅黑" w:cs="微软雅黑"/>
          <w:spacing w:val="4"/>
          <w:sz w:val="24"/>
          <w:szCs w:val="24"/>
        </w:rPr>
        <w:t>【美国2月季调后新屋销售年化总数</w:t>
      </w:r>
      <w:r>
        <w:rPr>
          <w:rFonts w:hint="eastAsia" w:ascii="微软雅黑" w:hAnsi="微软雅黑" w:eastAsia="微软雅黑" w:cs="微软雅黑"/>
          <w:spacing w:val="4"/>
          <w:sz w:val="24"/>
          <w:szCs w:val="24"/>
          <w:lang w:val="en-US" w:eastAsia="zh-CN"/>
        </w:rPr>
        <w:t>为</w:t>
      </w:r>
      <w:r>
        <w:rPr>
          <w:rFonts w:ascii="微软雅黑" w:hAnsi="微软雅黑" w:eastAsia="微软雅黑" w:cs="微软雅黑"/>
          <w:spacing w:val="4"/>
          <w:sz w:val="24"/>
          <w:szCs w:val="24"/>
        </w:rPr>
        <w:t>66.2万户，预期</w:t>
      </w:r>
      <w:r>
        <w:rPr>
          <w:rFonts w:hint="eastAsia" w:ascii="微软雅黑" w:hAnsi="微软雅黑" w:eastAsia="微软雅黑" w:cs="微软雅黑"/>
          <w:spacing w:val="4"/>
          <w:sz w:val="24"/>
          <w:szCs w:val="24"/>
          <w:lang w:val="en-US" w:eastAsia="zh-CN"/>
        </w:rPr>
        <w:t>为</w:t>
      </w:r>
      <w:r>
        <w:rPr>
          <w:rFonts w:ascii="微软雅黑" w:hAnsi="微软雅黑" w:eastAsia="微软雅黑" w:cs="微软雅黑"/>
          <w:spacing w:val="4"/>
          <w:sz w:val="24"/>
          <w:szCs w:val="24"/>
        </w:rPr>
        <w:t>68.0万户，前值66.1万户</w:t>
      </w:r>
      <w:r>
        <w:rPr>
          <w:rFonts w:hint="eastAsia" w:ascii="微软雅黑" w:hAnsi="微软雅黑" w:eastAsia="微软雅黑" w:cs="微软雅黑"/>
          <w:spacing w:val="4"/>
          <w:sz w:val="24"/>
          <w:szCs w:val="24"/>
          <w:lang w:eastAsia="zh-CN"/>
        </w:rPr>
        <w:t>。</w:t>
      </w:r>
      <w:r>
        <w:rPr>
          <w:rFonts w:ascii="微软雅黑" w:hAnsi="微软雅黑" w:eastAsia="微软雅黑" w:cs="微软雅黑"/>
          <w:spacing w:val="4"/>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ascii="微软雅黑" w:hAnsi="微软雅黑" w:eastAsia="微软雅黑" w:cs="微软雅黑"/>
          <w:spacing w:val="4"/>
          <w:sz w:val="24"/>
          <w:szCs w:val="24"/>
        </w:rPr>
      </w:pPr>
      <w:r>
        <w:rPr>
          <w:rFonts w:ascii="微软雅黑" w:hAnsi="微软雅黑" w:eastAsia="微软雅黑" w:cs="微软雅黑"/>
          <w:spacing w:val="4"/>
          <w:sz w:val="24"/>
          <w:szCs w:val="24"/>
        </w:rPr>
        <w:t>【美国3月达拉斯联储商业活动指数为-14.4，预期-11.5，前值-11.3。】</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48" w:firstLineChars="200"/>
        <w:jc w:val="both"/>
        <w:textAlignment w:val="baseline"/>
        <w:rPr>
          <w:rFonts w:ascii="微软雅黑" w:hAnsi="微软雅黑" w:eastAsia="微软雅黑" w:cs="微软雅黑"/>
          <w:spacing w:val="-8"/>
          <w:sz w:val="24"/>
          <w:szCs w:val="24"/>
        </w:rPr>
      </w:pP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64" w:firstLineChars="200"/>
        <w:jc w:val="both"/>
        <w:textAlignment w:val="baseline"/>
        <w:rPr>
          <w:rFonts w:ascii="微软雅黑" w:hAnsi="微软雅黑" w:eastAsia="微软雅黑" w:cs="微软雅黑"/>
          <w:spacing w:val="-4"/>
          <w:sz w:val="24"/>
          <w:szCs w:val="24"/>
        </w:rPr>
      </w:pPr>
    </w:p>
    <w:p>
      <w:pPr>
        <w:keepNext w:val="0"/>
        <w:keepLines w:val="0"/>
        <w:pageBreakBefore w:val="0"/>
        <w:widowControl/>
        <w:kinsoku w:val="0"/>
        <w:wordWrap/>
        <w:overflowPunct/>
        <w:topLinePunct w:val="0"/>
        <w:autoSpaceDE w:val="0"/>
        <w:autoSpaceDN w:val="0"/>
        <w:bidi w:val="0"/>
        <w:adjustRightInd w:val="0"/>
        <w:snapToGrid w:val="0"/>
        <w:spacing w:before="103" w:line="257" w:lineRule="auto"/>
        <w:ind w:right="584"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【德国主要研究机构预计，2024年德国GDP将增长0.1%，低于此前的预测；预计2025年德国GDP增速为1.4%。】</w:t>
      </w:r>
    </w:p>
    <w:p>
      <w:pPr>
        <w:keepNext w:val="0"/>
        <w:keepLines w:val="0"/>
        <w:pageBreakBefore w:val="0"/>
        <w:widowControl/>
        <w:kinsoku w:val="0"/>
        <w:wordWrap/>
        <w:overflowPunct/>
        <w:topLinePunct w:val="0"/>
        <w:autoSpaceDE w:val="0"/>
        <w:autoSpaceDN w:val="0"/>
        <w:bidi w:val="0"/>
        <w:adjustRightInd w:val="0"/>
        <w:snapToGrid w:val="0"/>
        <w:spacing w:before="103" w:line="257" w:lineRule="auto"/>
        <w:ind w:right="584"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【英国3月CBI零售销售差值2，为去年4月以来新高，预期-14，前值-7。】</w:t>
      </w:r>
    </w:p>
    <w:p>
      <w:pPr>
        <w:keepNext w:val="0"/>
        <w:keepLines w:val="0"/>
        <w:pageBreakBefore w:val="0"/>
        <w:widowControl/>
        <w:kinsoku w:val="0"/>
        <w:wordWrap/>
        <w:overflowPunct/>
        <w:topLinePunct w:val="0"/>
        <w:autoSpaceDE w:val="0"/>
        <w:autoSpaceDN w:val="0"/>
        <w:bidi w:val="0"/>
        <w:adjustRightInd w:val="0"/>
        <w:snapToGrid w:val="0"/>
        <w:spacing w:before="103" w:line="257" w:lineRule="auto"/>
        <w:ind w:right="584"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【贝恩公司报告显示，2023年亚太地区私募股权交易总额下降逾23%至1470亿美元，创2014年以来最低，比2018年至2022年均值低35%，比2021年3590亿美元峰值低近60%</w:t>
      </w:r>
      <w:r>
        <w:rPr>
          <w:rFonts w:hint="eastAsia" w:ascii="微软雅黑" w:hAnsi="微软雅黑" w:eastAsia="微软雅黑" w:cs="微软雅黑"/>
          <w:spacing w:val="4"/>
          <w:sz w:val="24"/>
          <w:szCs w:val="24"/>
          <w:lang w:eastAsia="zh-CN"/>
        </w:rPr>
        <w:t>。日本2023年的交易价值同比增长183%，首次成为亚太地区最大的私募股权市场</w:t>
      </w:r>
      <w:r>
        <w:rPr>
          <w:rFonts w:hint="eastAsia" w:ascii="微软雅黑" w:hAnsi="微软雅黑" w:eastAsia="微软雅黑" w:cs="微软雅黑"/>
          <w:spacing w:val="4"/>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103" w:line="257" w:lineRule="auto"/>
        <w:ind w:right="584"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【韩国和欧盟启动了双边数字协议第三轮会谈，双方正在数字领域寻求更广泛的合作伙伴关系。】</w:t>
      </w:r>
    </w:p>
    <w:p>
      <w:pPr>
        <w:keepNext w:val="0"/>
        <w:keepLines w:val="0"/>
        <w:pageBreakBefore w:val="0"/>
        <w:widowControl/>
        <w:kinsoku w:val="0"/>
        <w:wordWrap/>
        <w:overflowPunct/>
        <w:topLinePunct w:val="0"/>
        <w:autoSpaceDE w:val="0"/>
        <w:autoSpaceDN w:val="0"/>
        <w:bidi w:val="0"/>
        <w:adjustRightInd w:val="0"/>
        <w:snapToGrid w:val="0"/>
        <w:spacing w:before="103" w:line="257" w:lineRule="auto"/>
        <w:ind w:right="584"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【日本财务大臣铃木俊一表示，将尽可能减轻日元疲软的负面影响，汇率过度波动是不可取的。】</w:t>
      </w:r>
    </w:p>
    <w:p>
      <w:pPr>
        <w:keepNext w:val="0"/>
        <w:keepLines w:val="0"/>
        <w:pageBreakBefore w:val="0"/>
        <w:widowControl/>
        <w:kinsoku w:val="0"/>
        <w:wordWrap/>
        <w:overflowPunct/>
        <w:topLinePunct w:val="0"/>
        <w:autoSpaceDE w:val="0"/>
        <w:autoSpaceDN w:val="0"/>
        <w:bidi w:val="0"/>
        <w:adjustRightInd w:val="0"/>
        <w:snapToGrid w:val="0"/>
        <w:spacing w:before="103" w:line="257" w:lineRule="auto"/>
        <w:ind w:right="584"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【日本2月企业服务价格指数同比升2.1%，预期升2.1%，前值升2.1%；环比升0.2%，前值降0.5%。】</w:t>
      </w:r>
    </w:p>
    <w:p>
      <w:pPr>
        <w:spacing w:before="120" w:line="190" w:lineRule="auto"/>
        <w:rPr>
          <w:rFonts w:ascii="微软雅黑" w:hAnsi="微软雅黑" w:eastAsia="微软雅黑" w:cs="微软雅黑"/>
          <w:color w:val="036EB8"/>
          <w:position w:val="-4"/>
          <w:sz w:val="28"/>
          <w:szCs w:val="28"/>
        </w:rPr>
      </w:pPr>
    </w:p>
    <w:p>
      <w:pPr>
        <w:spacing w:before="120" w:line="190" w:lineRule="auto"/>
        <w:rPr>
          <w:rFonts w:ascii="微软雅黑" w:hAnsi="微软雅黑" w:eastAsia="微软雅黑" w:cs="微软雅黑"/>
          <w:color w:val="036EB8"/>
          <w:position w:val="-4"/>
          <w:sz w:val="28"/>
          <w:szCs w:val="28"/>
        </w:rPr>
      </w:pPr>
    </w:p>
    <w:p>
      <w:pPr>
        <w:spacing w:before="120" w:line="190" w:lineRule="auto"/>
        <w:ind w:left="6"/>
        <w:rPr>
          <w:rFonts w:hint="default" w:ascii="微软雅黑" w:hAnsi="微软雅黑" w:eastAsia="微软雅黑" w:cs="微软雅黑"/>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9"/>
          <w:sz w:val="28"/>
          <w:szCs w:val="28"/>
          <w:lang w:val="en-US" w:eastAsia="zh-CN"/>
        </w:rPr>
        <w:t>今日关注</w:t>
      </w:r>
    </w:p>
    <w:p>
      <w:pPr>
        <w:spacing w:before="84"/>
      </w:pPr>
    </w:p>
    <w:tbl>
      <w:tblPr>
        <w:tblStyle w:val="11"/>
        <w:tblW w:w="9389" w:type="dxa"/>
        <w:tblInd w:w="25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567"/>
        <w:gridCol w:w="1143"/>
        <w:gridCol w:w="667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2710" w:type="dxa"/>
            <w:gridSpan w:val="2"/>
            <w:shd w:val="clear" w:color="auto" w:fill="3D85C1"/>
            <w:vAlign w:val="top"/>
          </w:tcPr>
          <w:p>
            <w:pPr>
              <w:pStyle w:val="10"/>
              <w:spacing w:before="221" w:line="182" w:lineRule="auto"/>
              <w:ind w:left="1142"/>
              <w:rPr>
                <w:sz w:val="19"/>
                <w:szCs w:val="19"/>
              </w:rPr>
            </w:pPr>
            <w:r>
              <w:rPr>
                <w:b/>
                <w:bCs/>
                <w:color w:val="FFFFFF"/>
                <w:spacing w:val="4"/>
                <w:sz w:val="19"/>
                <w:szCs w:val="19"/>
              </w:rPr>
              <w:t>时间</w:t>
            </w:r>
          </w:p>
        </w:tc>
        <w:tc>
          <w:tcPr>
            <w:tcW w:w="6679" w:type="dxa"/>
            <w:shd w:val="clear" w:color="auto" w:fill="3D85C1"/>
            <w:vAlign w:val="top"/>
          </w:tcPr>
          <w:p>
            <w:pPr>
              <w:pStyle w:val="10"/>
              <w:spacing w:before="221" w:line="195" w:lineRule="auto"/>
              <w:ind w:left="2866"/>
              <w:rPr>
                <w:sz w:val="19"/>
                <w:szCs w:val="19"/>
              </w:rPr>
            </w:pPr>
            <w:r>
              <w:rPr>
                <w:b/>
                <w:bCs/>
                <w:color w:val="FFFFFF"/>
                <w:spacing w:val="16"/>
                <w:sz w:val="19"/>
                <w:szCs w:val="19"/>
              </w:rPr>
              <w:t>数据/事件</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0"/>
              <w:spacing w:before="228" w:line="191" w:lineRule="auto"/>
              <w:ind w:left="449"/>
              <w:rPr>
                <w:rFonts w:hint="default" w:eastAsia="微软雅黑"/>
                <w:sz w:val="19"/>
                <w:szCs w:val="19"/>
                <w:lang w:val="en-US" w:eastAsia="zh-CN"/>
              </w:rPr>
            </w:pPr>
            <w:r>
              <w:rPr>
                <w:b/>
                <w:bCs/>
                <w:spacing w:val="3"/>
                <w:sz w:val="19"/>
                <w:szCs w:val="19"/>
              </w:rPr>
              <w:t>2024/3/</w:t>
            </w:r>
            <w:r>
              <w:rPr>
                <w:rFonts w:hint="eastAsia"/>
                <w:b/>
                <w:bCs/>
                <w:spacing w:val="3"/>
                <w:sz w:val="19"/>
                <w:szCs w:val="19"/>
                <w:lang w:val="en-US" w:eastAsia="zh-CN"/>
              </w:rPr>
              <w:t>26</w:t>
            </w:r>
          </w:p>
        </w:tc>
        <w:tc>
          <w:tcPr>
            <w:tcW w:w="1143" w:type="dxa"/>
            <w:vAlign w:val="top"/>
          </w:tcPr>
          <w:p>
            <w:pPr>
              <w:pStyle w:val="10"/>
              <w:spacing w:before="243" w:line="172" w:lineRule="auto"/>
              <w:ind w:left="94"/>
              <w:jc w:val="left"/>
              <w:rPr>
                <w:sz w:val="19"/>
                <w:szCs w:val="19"/>
              </w:rPr>
            </w:pPr>
            <w:r>
              <w:rPr>
                <w:rFonts w:hint="eastAsia"/>
                <w:b/>
                <w:bCs/>
                <w:spacing w:val="6"/>
                <w:sz w:val="19"/>
                <w:szCs w:val="19"/>
                <w:lang w:val="en-US" w:eastAsia="zh-CN"/>
              </w:rPr>
              <w:t>15：0</w:t>
            </w:r>
            <w:r>
              <w:rPr>
                <w:b/>
                <w:bCs/>
                <w:spacing w:val="6"/>
                <w:sz w:val="19"/>
                <w:szCs w:val="19"/>
              </w:rPr>
              <w:t>0</w:t>
            </w:r>
          </w:p>
        </w:tc>
        <w:tc>
          <w:tcPr>
            <w:tcW w:w="6679" w:type="dxa"/>
            <w:vAlign w:val="top"/>
          </w:tcPr>
          <w:p>
            <w:pPr>
              <w:pStyle w:val="10"/>
              <w:spacing w:before="221" w:line="180" w:lineRule="auto"/>
              <w:jc w:val="center"/>
              <w:rPr>
                <w:rFonts w:hint="default" w:eastAsia="微软雅黑"/>
                <w:sz w:val="19"/>
                <w:szCs w:val="19"/>
                <w:lang w:val="en-US" w:eastAsia="zh-CN"/>
              </w:rPr>
            </w:pPr>
            <w:r>
              <w:rPr>
                <w:rFonts w:hint="eastAsia"/>
                <w:sz w:val="19"/>
                <w:szCs w:val="19"/>
                <w:lang w:val="en-US" w:eastAsia="zh-CN"/>
              </w:rPr>
              <w:t>德国4月GFK消费者信心指数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0" w:line="191" w:lineRule="auto"/>
              <w:ind w:left="449"/>
              <w:rPr>
                <w:rFonts w:hint="default" w:eastAsia="微软雅黑"/>
                <w:sz w:val="19"/>
                <w:szCs w:val="19"/>
                <w:lang w:val="en-US" w:eastAsia="zh-CN"/>
              </w:rPr>
            </w:pPr>
            <w:r>
              <w:rPr>
                <w:b/>
                <w:bCs/>
                <w:spacing w:val="3"/>
                <w:sz w:val="19"/>
                <w:szCs w:val="19"/>
              </w:rPr>
              <w:t>2024/3/</w:t>
            </w:r>
            <w:r>
              <w:rPr>
                <w:rFonts w:hint="eastAsia"/>
                <w:b/>
                <w:bCs/>
                <w:spacing w:val="3"/>
                <w:sz w:val="19"/>
                <w:szCs w:val="19"/>
                <w:lang w:val="en-US" w:eastAsia="zh-CN"/>
              </w:rPr>
              <w:t>26</w:t>
            </w:r>
          </w:p>
        </w:tc>
        <w:tc>
          <w:tcPr>
            <w:tcW w:w="1143" w:type="dxa"/>
            <w:shd w:val="clear" w:color="auto" w:fill="D3EAFF"/>
            <w:vAlign w:val="top"/>
          </w:tcPr>
          <w:p>
            <w:pPr>
              <w:pStyle w:val="10"/>
              <w:spacing w:before="245" w:line="172" w:lineRule="auto"/>
              <w:ind w:left="101"/>
              <w:jc w:val="left"/>
              <w:rPr>
                <w:sz w:val="19"/>
                <w:szCs w:val="19"/>
              </w:rPr>
            </w:pPr>
            <w:r>
              <w:rPr>
                <w:rFonts w:hint="eastAsia"/>
                <w:b/>
                <w:bCs/>
                <w:spacing w:val="5"/>
                <w:sz w:val="19"/>
                <w:szCs w:val="19"/>
                <w:lang w:val="en-US" w:eastAsia="zh-CN"/>
              </w:rPr>
              <w:t>20：3</w:t>
            </w:r>
            <w:r>
              <w:rPr>
                <w:b/>
                <w:bCs/>
                <w:spacing w:val="5"/>
                <w:sz w:val="19"/>
                <w:szCs w:val="19"/>
              </w:rPr>
              <w:t>0</w:t>
            </w:r>
          </w:p>
        </w:tc>
        <w:tc>
          <w:tcPr>
            <w:tcW w:w="6679" w:type="dxa"/>
            <w:shd w:val="clear" w:color="auto" w:fill="D3EAFF"/>
            <w:vAlign w:val="top"/>
          </w:tcPr>
          <w:p>
            <w:pPr>
              <w:pStyle w:val="10"/>
              <w:spacing w:before="224" w:line="179" w:lineRule="auto"/>
              <w:jc w:val="center"/>
              <w:rPr>
                <w:rFonts w:hint="default" w:eastAsia="微软雅黑"/>
                <w:sz w:val="19"/>
                <w:szCs w:val="19"/>
                <w:lang w:val="en-US" w:eastAsia="zh-CN"/>
              </w:rPr>
            </w:pPr>
            <w:r>
              <w:rPr>
                <w:rFonts w:hint="eastAsia"/>
                <w:sz w:val="19"/>
                <w:szCs w:val="19"/>
                <w:lang w:val="en-US" w:eastAsia="zh-CN"/>
              </w:rPr>
              <w:t>美国2月耐用品订单</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vAlign w:val="top"/>
          </w:tcPr>
          <w:p>
            <w:pPr>
              <w:pStyle w:val="10"/>
              <w:spacing w:before="231" w:line="191" w:lineRule="auto"/>
              <w:ind w:left="449"/>
              <w:rPr>
                <w:rFonts w:hint="default" w:eastAsia="微软雅黑"/>
                <w:sz w:val="19"/>
                <w:szCs w:val="19"/>
                <w:lang w:val="en-US" w:eastAsia="zh-CN"/>
              </w:rPr>
            </w:pPr>
            <w:r>
              <w:rPr>
                <w:b/>
                <w:bCs/>
                <w:spacing w:val="3"/>
                <w:sz w:val="19"/>
                <w:szCs w:val="19"/>
              </w:rPr>
              <w:t>2024/3/</w:t>
            </w:r>
            <w:r>
              <w:rPr>
                <w:rFonts w:hint="eastAsia"/>
                <w:b/>
                <w:bCs/>
                <w:spacing w:val="3"/>
                <w:sz w:val="19"/>
                <w:szCs w:val="19"/>
                <w:lang w:val="en-US" w:eastAsia="zh-CN"/>
              </w:rPr>
              <w:t>26</w:t>
            </w:r>
          </w:p>
        </w:tc>
        <w:tc>
          <w:tcPr>
            <w:tcW w:w="1143" w:type="dxa"/>
            <w:vAlign w:val="top"/>
          </w:tcPr>
          <w:p>
            <w:pPr>
              <w:pStyle w:val="10"/>
              <w:spacing w:before="245" w:line="172" w:lineRule="auto"/>
              <w:ind w:left="101"/>
              <w:jc w:val="left"/>
              <w:rPr>
                <w:rFonts w:hint="default" w:eastAsia="微软雅黑"/>
                <w:sz w:val="19"/>
                <w:szCs w:val="19"/>
                <w:lang w:val="en-US" w:eastAsia="zh-CN"/>
              </w:rPr>
            </w:pPr>
            <w:r>
              <w:rPr>
                <w:rFonts w:hint="eastAsia"/>
                <w:b/>
                <w:bCs/>
                <w:spacing w:val="5"/>
                <w:sz w:val="19"/>
                <w:szCs w:val="19"/>
                <w:lang w:val="en-US" w:eastAsia="zh-CN"/>
              </w:rPr>
              <w:t>20：55</w:t>
            </w:r>
          </w:p>
        </w:tc>
        <w:tc>
          <w:tcPr>
            <w:tcW w:w="6679" w:type="dxa"/>
            <w:vAlign w:val="top"/>
          </w:tcPr>
          <w:p>
            <w:pPr>
              <w:pStyle w:val="10"/>
              <w:spacing w:before="224" w:line="180" w:lineRule="auto"/>
              <w:jc w:val="center"/>
              <w:rPr>
                <w:rFonts w:hint="default" w:eastAsia="微软雅黑"/>
                <w:sz w:val="19"/>
                <w:szCs w:val="19"/>
                <w:lang w:val="en-US" w:eastAsia="zh-CN"/>
              </w:rPr>
            </w:pPr>
            <w:r>
              <w:rPr>
                <w:rFonts w:hint="eastAsia"/>
                <w:sz w:val="19"/>
                <w:szCs w:val="19"/>
                <w:lang w:val="en-US" w:eastAsia="zh-CN"/>
              </w:rPr>
              <w:t>美国至3月23日当周红皮书商业零销售</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1" w:line="191" w:lineRule="auto"/>
              <w:ind w:left="449" w:leftChars="0"/>
              <w:rPr>
                <w:rFonts w:hint="default" w:eastAsia="微软雅黑"/>
                <w:sz w:val="19"/>
                <w:szCs w:val="19"/>
                <w:lang w:val="en-US" w:eastAsia="zh-CN"/>
              </w:rPr>
            </w:pPr>
            <w:r>
              <w:rPr>
                <w:b/>
                <w:bCs/>
                <w:spacing w:val="3"/>
                <w:sz w:val="19"/>
                <w:szCs w:val="19"/>
              </w:rPr>
              <w:t>2024/3/</w:t>
            </w:r>
            <w:r>
              <w:rPr>
                <w:rFonts w:hint="eastAsia"/>
                <w:b/>
                <w:bCs/>
                <w:spacing w:val="3"/>
                <w:sz w:val="19"/>
                <w:szCs w:val="19"/>
                <w:lang w:val="en-US" w:eastAsia="zh-CN"/>
              </w:rPr>
              <w:t>26</w:t>
            </w:r>
          </w:p>
        </w:tc>
        <w:tc>
          <w:tcPr>
            <w:tcW w:w="1143" w:type="dxa"/>
            <w:shd w:val="clear" w:color="auto" w:fill="D3EAFF"/>
            <w:vAlign w:val="top"/>
          </w:tcPr>
          <w:p>
            <w:pPr>
              <w:pStyle w:val="10"/>
              <w:spacing w:before="245" w:line="172" w:lineRule="auto"/>
              <w:ind w:left="101" w:leftChars="0"/>
              <w:jc w:val="left"/>
              <w:rPr>
                <w:rFonts w:hint="default" w:eastAsia="微软雅黑"/>
                <w:sz w:val="19"/>
                <w:szCs w:val="19"/>
                <w:lang w:val="en-US" w:eastAsia="zh-CN"/>
              </w:rPr>
            </w:pPr>
            <w:r>
              <w:rPr>
                <w:rFonts w:hint="eastAsia"/>
                <w:b/>
                <w:bCs/>
                <w:spacing w:val="5"/>
                <w:sz w:val="19"/>
                <w:szCs w:val="19"/>
                <w:lang w:val="en-US" w:eastAsia="zh-CN"/>
              </w:rPr>
              <w:t>21：00</w:t>
            </w:r>
          </w:p>
        </w:tc>
        <w:tc>
          <w:tcPr>
            <w:tcW w:w="6679" w:type="dxa"/>
            <w:shd w:val="clear" w:color="auto" w:fill="D3EAFF"/>
            <w:vAlign w:val="top"/>
          </w:tcPr>
          <w:p>
            <w:pPr>
              <w:pStyle w:val="10"/>
              <w:spacing w:before="224" w:line="180" w:lineRule="auto"/>
              <w:jc w:val="center"/>
              <w:rPr>
                <w:rFonts w:hint="default"/>
                <w:sz w:val="19"/>
                <w:szCs w:val="19"/>
                <w:lang w:val="en-US"/>
              </w:rPr>
            </w:pPr>
            <w:r>
              <w:rPr>
                <w:rFonts w:hint="eastAsia"/>
                <w:sz w:val="19"/>
                <w:szCs w:val="19"/>
                <w:lang w:val="en-US" w:eastAsia="zh-CN"/>
              </w:rPr>
              <w:t>美国1月FHFA房价指数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0"/>
              <w:spacing w:before="232" w:line="191" w:lineRule="auto"/>
              <w:ind w:left="449"/>
              <w:rPr>
                <w:rFonts w:hint="default" w:eastAsia="微软雅黑"/>
                <w:sz w:val="19"/>
                <w:szCs w:val="19"/>
                <w:lang w:val="en-US" w:eastAsia="zh-CN"/>
              </w:rPr>
            </w:pPr>
            <w:r>
              <w:rPr>
                <w:b/>
                <w:bCs/>
                <w:spacing w:val="3"/>
                <w:sz w:val="19"/>
                <w:szCs w:val="19"/>
              </w:rPr>
              <w:t>2024/3/</w:t>
            </w:r>
            <w:r>
              <w:rPr>
                <w:rFonts w:hint="eastAsia"/>
                <w:b/>
                <w:bCs/>
                <w:spacing w:val="3"/>
                <w:sz w:val="19"/>
                <w:szCs w:val="19"/>
                <w:lang w:val="en-US" w:eastAsia="zh-CN"/>
              </w:rPr>
              <w:t>26</w:t>
            </w:r>
          </w:p>
        </w:tc>
        <w:tc>
          <w:tcPr>
            <w:tcW w:w="1143" w:type="dxa"/>
            <w:vAlign w:val="top"/>
          </w:tcPr>
          <w:p>
            <w:pPr>
              <w:pStyle w:val="10"/>
              <w:spacing w:before="246" w:line="172" w:lineRule="auto"/>
              <w:ind w:left="94"/>
              <w:jc w:val="left"/>
              <w:rPr>
                <w:rFonts w:hint="default" w:eastAsia="微软雅黑"/>
                <w:sz w:val="19"/>
                <w:szCs w:val="19"/>
                <w:lang w:val="en-US" w:eastAsia="zh-CN"/>
              </w:rPr>
            </w:pPr>
            <w:r>
              <w:rPr>
                <w:rFonts w:hint="eastAsia"/>
                <w:b/>
                <w:bCs/>
                <w:spacing w:val="6"/>
                <w:sz w:val="19"/>
                <w:szCs w:val="19"/>
                <w:lang w:val="en-US" w:eastAsia="zh-CN"/>
              </w:rPr>
              <w:t>21：00</w:t>
            </w:r>
          </w:p>
        </w:tc>
        <w:tc>
          <w:tcPr>
            <w:tcW w:w="6679" w:type="dxa"/>
            <w:vAlign w:val="top"/>
          </w:tcPr>
          <w:p>
            <w:pPr>
              <w:pStyle w:val="10"/>
              <w:spacing w:before="225" w:line="179" w:lineRule="auto"/>
              <w:jc w:val="center"/>
              <w:rPr>
                <w:rFonts w:hint="default" w:eastAsia="微软雅黑"/>
                <w:sz w:val="19"/>
                <w:szCs w:val="19"/>
                <w:lang w:val="en-US" w:eastAsia="zh-CN"/>
              </w:rPr>
            </w:pPr>
            <w:r>
              <w:rPr>
                <w:rFonts w:hint="eastAsia"/>
                <w:sz w:val="19"/>
                <w:szCs w:val="19"/>
                <w:lang w:val="en-US" w:eastAsia="zh-CN"/>
              </w:rPr>
              <w:t>美国1月S&amp;P/CS20座大城市房价指数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4" w:line="191" w:lineRule="auto"/>
              <w:ind w:left="449"/>
              <w:rPr>
                <w:rFonts w:hint="default" w:eastAsia="微软雅黑"/>
                <w:sz w:val="19"/>
                <w:szCs w:val="19"/>
                <w:lang w:val="en-US" w:eastAsia="zh-CN"/>
              </w:rPr>
            </w:pPr>
            <w:r>
              <w:rPr>
                <w:b/>
                <w:bCs/>
                <w:spacing w:val="3"/>
                <w:sz w:val="19"/>
                <w:szCs w:val="19"/>
              </w:rPr>
              <w:t>2024/3/</w:t>
            </w:r>
            <w:r>
              <w:rPr>
                <w:rFonts w:hint="eastAsia"/>
                <w:b/>
                <w:bCs/>
                <w:spacing w:val="3"/>
                <w:sz w:val="19"/>
                <w:szCs w:val="19"/>
                <w:lang w:val="en-US" w:eastAsia="zh-CN"/>
              </w:rPr>
              <w:t>26</w:t>
            </w:r>
          </w:p>
        </w:tc>
        <w:tc>
          <w:tcPr>
            <w:tcW w:w="1143" w:type="dxa"/>
            <w:shd w:val="clear" w:color="auto" w:fill="D3EAFF"/>
            <w:vAlign w:val="top"/>
          </w:tcPr>
          <w:p>
            <w:pPr>
              <w:pStyle w:val="10"/>
              <w:spacing w:before="248" w:line="172" w:lineRule="auto"/>
              <w:ind w:left="101"/>
              <w:jc w:val="left"/>
              <w:rPr>
                <w:sz w:val="19"/>
                <w:szCs w:val="19"/>
              </w:rPr>
            </w:pPr>
            <w:r>
              <w:rPr>
                <w:rFonts w:hint="eastAsia"/>
                <w:b/>
                <w:bCs/>
                <w:spacing w:val="5"/>
                <w:sz w:val="19"/>
                <w:szCs w:val="19"/>
                <w:lang w:val="en-US" w:eastAsia="zh-CN"/>
              </w:rPr>
              <w:t>22：0</w:t>
            </w:r>
            <w:r>
              <w:rPr>
                <w:b/>
                <w:bCs/>
                <w:spacing w:val="5"/>
                <w:sz w:val="19"/>
                <w:szCs w:val="19"/>
              </w:rPr>
              <w:t>0</w:t>
            </w:r>
          </w:p>
        </w:tc>
        <w:tc>
          <w:tcPr>
            <w:tcW w:w="6679" w:type="dxa"/>
            <w:shd w:val="clear" w:color="auto" w:fill="D3EAFF"/>
            <w:vAlign w:val="top"/>
          </w:tcPr>
          <w:p>
            <w:pPr>
              <w:pStyle w:val="10"/>
              <w:spacing w:before="228" w:line="179" w:lineRule="auto"/>
              <w:jc w:val="center"/>
              <w:rPr>
                <w:rFonts w:hint="default" w:eastAsia="微软雅黑"/>
                <w:sz w:val="19"/>
                <w:szCs w:val="19"/>
                <w:lang w:val="en-US" w:eastAsia="zh-CN"/>
              </w:rPr>
            </w:pPr>
            <w:r>
              <w:rPr>
                <w:rFonts w:hint="eastAsia"/>
                <w:sz w:val="19"/>
                <w:szCs w:val="19"/>
                <w:lang w:val="en-US" w:eastAsia="zh-CN"/>
              </w:rPr>
              <w:t>美国3月谘商会消费者信心指数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vAlign w:val="top"/>
          </w:tcPr>
          <w:p>
            <w:pPr>
              <w:pStyle w:val="10"/>
              <w:spacing w:before="234" w:line="191" w:lineRule="auto"/>
              <w:ind w:left="449"/>
              <w:rPr>
                <w:rFonts w:hint="default" w:eastAsia="微软雅黑"/>
                <w:sz w:val="19"/>
                <w:szCs w:val="19"/>
                <w:lang w:val="en-US" w:eastAsia="zh-CN"/>
              </w:rPr>
            </w:pPr>
            <w:r>
              <w:rPr>
                <w:rFonts w:hint="eastAsia"/>
                <w:b/>
                <w:bCs/>
                <w:spacing w:val="3"/>
                <w:sz w:val="19"/>
                <w:szCs w:val="19"/>
                <w:lang w:val="en-US" w:eastAsia="zh-CN"/>
              </w:rPr>
              <w:t>次日</w:t>
            </w:r>
          </w:p>
        </w:tc>
        <w:tc>
          <w:tcPr>
            <w:tcW w:w="1143" w:type="dxa"/>
            <w:vAlign w:val="top"/>
          </w:tcPr>
          <w:p>
            <w:pPr>
              <w:pStyle w:val="10"/>
              <w:spacing w:before="248" w:line="172" w:lineRule="auto"/>
              <w:ind w:left="92"/>
              <w:jc w:val="left"/>
              <w:rPr>
                <w:sz w:val="19"/>
                <w:szCs w:val="19"/>
              </w:rPr>
            </w:pPr>
            <w:r>
              <w:rPr>
                <w:rFonts w:hint="eastAsia"/>
                <w:b/>
                <w:bCs/>
                <w:spacing w:val="6"/>
                <w:sz w:val="19"/>
                <w:szCs w:val="19"/>
                <w:lang w:val="en-US" w:eastAsia="zh-CN"/>
              </w:rPr>
              <w:t>4：3</w:t>
            </w:r>
            <w:r>
              <w:rPr>
                <w:b/>
                <w:bCs/>
                <w:spacing w:val="6"/>
                <w:sz w:val="19"/>
                <w:szCs w:val="19"/>
              </w:rPr>
              <w:t>0</w:t>
            </w:r>
          </w:p>
        </w:tc>
        <w:tc>
          <w:tcPr>
            <w:tcW w:w="6679" w:type="dxa"/>
            <w:vAlign w:val="top"/>
          </w:tcPr>
          <w:p>
            <w:pPr>
              <w:pStyle w:val="10"/>
              <w:spacing w:before="227" w:line="185" w:lineRule="auto"/>
              <w:jc w:val="center"/>
              <w:rPr>
                <w:rFonts w:hint="default" w:eastAsia="微软雅黑"/>
                <w:sz w:val="19"/>
                <w:szCs w:val="19"/>
                <w:lang w:val="en-US" w:eastAsia="zh-CN"/>
              </w:rPr>
            </w:pPr>
            <w:r>
              <w:rPr>
                <w:rFonts w:hint="eastAsia"/>
                <w:sz w:val="19"/>
                <w:szCs w:val="19"/>
                <w:lang w:val="en-US" w:eastAsia="zh-CN"/>
              </w:rPr>
              <w:t>美国至3月22日当周API原油库存</w:t>
            </w:r>
          </w:p>
        </w:tc>
      </w:tr>
    </w:tbl>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8" name="IM 14"/>
            <wp:cNvGraphicFramePr/>
            <a:graphic xmlns:a="http://schemas.openxmlformats.org/drawingml/2006/main">
              <a:graphicData uri="http://schemas.openxmlformats.org/drawingml/2006/picture">
                <pic:pic xmlns:pic="http://schemas.openxmlformats.org/drawingml/2006/picture">
                  <pic:nvPicPr>
                    <pic:cNvPr id="8"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观点汇总</w:t>
      </w: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美元指数</w:t>
      </w:r>
    </w:p>
    <w:p>
      <w:pPr>
        <w:spacing w:before="103" w:line="256" w:lineRule="auto"/>
        <w:ind w:left="3" w:right="743" w:firstLine="535"/>
        <w:jc w:val="both"/>
        <w:rPr>
          <w:rFonts w:hint="eastAsia" w:ascii="Microsoft YaHei UI" w:hAnsi="Microsoft YaHei UI" w:eastAsia="Microsoft YaHei UI" w:cs="Microsoft YaHei UI"/>
          <w:i w:val="0"/>
          <w:iCs w:val="0"/>
          <w:caps w:val="0"/>
          <w:spacing w:val="8"/>
          <w:sz w:val="25"/>
          <w:szCs w:val="25"/>
          <w:shd w:val="clear" w:fill="FFFFFF"/>
        </w:rPr>
      </w:pPr>
      <w:r>
        <w:rPr>
          <w:rFonts w:hint="eastAsia" w:ascii="微软雅黑" w:hAnsi="微软雅黑" w:eastAsia="微软雅黑" w:cs="微软雅黑"/>
          <w:spacing w:val="12"/>
          <w:sz w:val="24"/>
          <w:szCs w:val="24"/>
          <w:lang w:val="en-US" w:eastAsia="zh-CN"/>
        </w:rPr>
        <w:t>截至周二美元指数跌0.19%报104.23，非美货币多数上涨，欧元兑美元涨0.27%报1.0837，英镑兑美元涨0.28%报1.2635，澳元兑美元涨0.39%报0.6540，美元兑日元跌0.02%报151.42。昨日美联储理事库克表示，谨慎的逐步放松政策可以确保通胀可持续回归2%，同时努力维持强劲劳动力市场；过早降息可能会造成通胀变得根深蒂固的风险；而过晚降息则将不必要地伤害到美国经济；通胀已大幅下降，但劳动力市场仍然强劲；强劲的生产率增长可能意味着工资增长加快，而不是通胀。整体发言相对中性，侧面反映当前美联储对降息幅度决策或仍摇摆不定。往后看，短期内美国经济数据仍显示整体经济韧性尚存，叠加市场对非美国家降息预期升高，利差预期或持续扩大，美元指数或持续得到一定支撑。</w:t>
      </w:r>
    </w:p>
    <w:p>
      <w:pPr>
        <w:spacing w:before="103" w:line="256" w:lineRule="auto"/>
        <w:ind w:right="743"/>
        <w:jc w:val="both"/>
      </w:pPr>
      <w:r>
        <w:drawing>
          <wp:inline distT="0" distB="0" distL="114300" distR="114300">
            <wp:extent cx="6004560" cy="2315210"/>
            <wp:effectExtent l="0" t="0" r="15240"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3"/>
                    <a:stretch>
                      <a:fillRect/>
                    </a:stretch>
                  </pic:blipFill>
                  <pic:spPr>
                    <a:xfrm>
                      <a:off x="0" y="0"/>
                      <a:ext cx="6004560" cy="2315210"/>
                    </a:xfrm>
                    <a:prstGeom prst="rect">
                      <a:avLst/>
                    </a:prstGeom>
                    <a:noFill/>
                    <a:ln>
                      <a:noFill/>
                    </a:ln>
                  </pic:spPr>
                </pic:pic>
              </a:graphicData>
            </a:graphic>
          </wp:inline>
        </w:drawing>
      </w:r>
    </w:p>
    <w:p>
      <w:pPr>
        <w:spacing w:before="103" w:line="256" w:lineRule="auto"/>
        <w:ind w:right="743"/>
        <w:jc w:val="both"/>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图2</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rPr>
        <w:t>欧元兑美元主力合约走势图</w:t>
      </w:r>
    </w:p>
    <w:p>
      <w:pPr>
        <w:spacing w:before="103" w:line="256" w:lineRule="auto"/>
        <w:ind w:right="743"/>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S&amp;P500</w:t>
      </w:r>
    </w:p>
    <w:p>
      <w:pPr>
        <w:spacing w:before="103" w:line="256" w:lineRule="auto"/>
        <w:ind w:left="3" w:right="743" w:firstLine="535"/>
        <w:jc w:val="both"/>
        <w:rPr>
          <w:rFonts w:hint="default" w:eastAsia="微软雅黑"/>
          <w:lang w:val="en-US" w:eastAsia="zh-CN"/>
        </w:rPr>
      </w:pPr>
      <w:r>
        <w:rPr>
          <w:rFonts w:hint="eastAsia" w:ascii="微软雅黑" w:hAnsi="微软雅黑" w:eastAsia="微软雅黑" w:cs="微软雅黑"/>
          <w:spacing w:val="12"/>
          <w:sz w:val="24"/>
          <w:szCs w:val="24"/>
        </w:rPr>
        <w:t>截至3月26日，标普500指数收跌0.31%至5218.19点；迷你标普500主力合约收跌0.17%至5280.75点。美股周一收跌。本周美股交易时间因节假日缩短，投资者将从美联储首选的2月个人消费支出（PCE）价格指数中进一步了解通胀路径与美联储的降息前景。策略上，逢低试多。详细支撑阻力位请见图表</w:t>
      </w:r>
      <w:r>
        <w:rPr>
          <w:rFonts w:hint="eastAsia" w:ascii="微软雅黑" w:hAnsi="微软雅黑" w:eastAsia="微软雅黑" w:cs="微软雅黑"/>
          <w:spacing w:val="12"/>
          <w:sz w:val="24"/>
          <w:szCs w:val="24"/>
          <w:lang w:val="en-US" w:eastAsia="zh-CN"/>
        </w:rPr>
        <w:t>3。</w:t>
      </w:r>
    </w:p>
    <w:p>
      <w:pPr>
        <w:spacing w:before="120" w:line="190" w:lineRule="auto"/>
        <w:jc w:val="both"/>
      </w:pPr>
    </w:p>
    <w:p>
      <w:pPr>
        <w:spacing w:before="120" w:line="190" w:lineRule="auto"/>
        <w:jc w:val="both"/>
      </w:pPr>
    </w:p>
    <w:p>
      <w:pPr>
        <w:spacing w:before="120" w:line="190" w:lineRule="auto"/>
        <w:jc w:val="both"/>
      </w:pPr>
    </w:p>
    <w:p>
      <w:pPr>
        <w:spacing w:before="120" w:line="190" w:lineRule="auto"/>
        <w:jc w:val="both"/>
        <w:rPr>
          <w:rFonts w:ascii="新宋体" w:hAnsi="新宋体" w:eastAsia="新宋体"/>
          <w:b/>
        </w:rPr>
      </w:pPr>
      <w:r>
        <w:drawing>
          <wp:inline distT="0" distB="0" distL="0" distR="0">
            <wp:extent cx="6188075" cy="2065655"/>
            <wp:effectExtent l="0" t="0" r="3175" b="1079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4"/>
                    <a:stretch>
                      <a:fillRect/>
                    </a:stretch>
                  </pic:blipFill>
                  <pic:spPr>
                    <a:xfrm>
                      <a:off x="0" y="0"/>
                      <a:ext cx="6188075" cy="2065655"/>
                    </a:xfrm>
                    <a:prstGeom prst="rect">
                      <a:avLst/>
                    </a:prstGeom>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3</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S&amp;P500走势图</w:t>
      </w:r>
    </w:p>
    <w:p>
      <w:pPr>
        <w:spacing w:before="235" w:line="176"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富时中国A50</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rPr>
        <w:t>截至3月25日，富时中国A50指数收跌0.28%至12083.87点；新交所富时A50期指主力合约收跌0.06%至12125点。政海外预期波动，美股降息时点及幅度不确定性上升，扩大全球风险资产波动，离岸人民币亦波动放大，叠加短线资金获利兑现，市场做多情绪近日明显降温。基本面上，政策平稳落地、与市场预期一致，财政政策力度中性、房地产延续弱势、经济持续修复但结构性改善仍需时间。策略上，短线观望为主。详细支撑阻力位请见图表4。</w:t>
      </w:r>
    </w:p>
    <w:p>
      <w:pPr>
        <w:spacing w:before="103" w:line="256" w:lineRule="auto"/>
        <w:ind w:right="743"/>
        <w:jc w:val="both"/>
        <w:rPr>
          <w:rFonts w:ascii="新宋体" w:hAnsi="新宋体" w:eastAsia="新宋体"/>
        </w:rPr>
      </w:pPr>
      <w:r>
        <w:drawing>
          <wp:inline distT="0" distB="0" distL="0" distR="0">
            <wp:extent cx="6169660" cy="1964055"/>
            <wp:effectExtent l="0" t="0" r="2540" b="171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5"/>
                    <a:stretch>
                      <a:fillRect/>
                    </a:stretch>
                  </pic:blipFill>
                  <pic:spPr>
                    <a:xfrm>
                      <a:off x="0" y="0"/>
                      <a:ext cx="6169660" cy="1964055"/>
                    </a:xfrm>
                    <a:prstGeom prst="rect">
                      <a:avLst/>
                    </a:prstGeom>
                  </pic:spPr>
                </pic:pic>
              </a:graphicData>
            </a:graphic>
          </wp:inline>
        </w:drawing>
      </w:r>
    </w:p>
    <w:p>
      <w:pPr>
        <w:spacing w:before="235" w:line="176" w:lineRule="auto"/>
        <w:jc w:val="both"/>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4</w:t>
      </w:r>
      <w:r>
        <w:rPr>
          <w:rFonts w:hint="eastAsia" w:ascii="微软雅黑" w:hAnsi="微软雅黑" w:eastAsia="微软雅黑" w:cs="微软雅黑"/>
          <w:spacing w:val="7"/>
          <w:sz w:val="21"/>
          <w:szCs w:val="21"/>
          <w:lang w:eastAsia="zh-CN"/>
        </w:rPr>
        <w:t>：富时中国A50指数</w:t>
      </w:r>
      <w:r>
        <w:rPr>
          <w:rFonts w:hint="eastAsia" w:ascii="微软雅黑" w:hAnsi="微软雅黑" w:eastAsia="微软雅黑" w:cs="微软雅黑"/>
          <w:spacing w:val="7"/>
          <w:sz w:val="21"/>
          <w:szCs w:val="21"/>
          <w:lang w:val="en-US" w:eastAsia="zh-CN"/>
        </w:rPr>
        <w:t>走势图</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新宋体" w:hAnsi="新宋体" w:eastAsia="新宋体"/>
        </w:rPr>
      </w:pPr>
      <w:r>
        <w:rPr>
          <w:rFonts w:hint="eastAsia" w:ascii="微软雅黑" w:hAnsi="微软雅黑" w:eastAsia="微软雅黑" w:cs="微软雅黑"/>
          <w:b/>
          <w:bCs/>
          <w:spacing w:val="12"/>
          <w:sz w:val="24"/>
          <w:szCs w:val="24"/>
          <w:lang w:val="en-US" w:eastAsia="zh-CN"/>
        </w:rPr>
        <w:t>铜</w:t>
      </w:r>
    </w:p>
    <w:p>
      <w:pPr>
        <w:spacing w:before="103" w:line="256" w:lineRule="auto"/>
        <w:ind w:left="3" w:right="743" w:firstLine="535"/>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隔夜美元指数震荡走弱，交投于104.22。基准10年期美债收益率重回4.2%关口上方，收报4.246%，对美联储政策利率最敏感的2年期美债收益率收报4.63%。</w:t>
      </w:r>
    </w:p>
    <w:p>
      <w:pPr>
        <w:spacing w:before="103" w:line="256" w:lineRule="auto"/>
        <w:ind w:left="3" w:right="743" w:firstLine="535"/>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库存方面：截至3月25日，LME铜库存为117900吨，环比+4050吨。3月22日当周，上海期货交易所阴极铜库存为285090吨，周环比-1305吨。</w:t>
      </w:r>
    </w:p>
    <w:p>
      <w:pPr>
        <w:spacing w:before="103" w:line="256" w:lineRule="auto"/>
        <w:ind w:left="3" w:right="743" w:firstLine="535"/>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外盘持仓方面：根据CFTC公布的最新数据显示，截止至3月19日当周，非商业多头持仓124316手，空头为92391手，净多持仓为31925手，较上周净多增加26498手。</w:t>
      </w:r>
    </w:p>
    <w:p>
      <w:pPr>
        <w:spacing w:before="103" w:line="256" w:lineRule="auto"/>
        <w:ind w:left="3" w:right="743" w:firstLine="535"/>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隔夜COMEX铜震荡偏强，其中2405合约报收4.011美元/磅，涨跌幅+0.07%。国际方面，亚特兰大联储主席博斯蒂克重申预计今年只会有一次降息；“大鸽派”古尔斯比继续坚守2024年进行三次降息的预期；美联储理事库克认为住房通胀将继续下降，但需要在降息方面谨慎行事。多为官员在降息次数上出现分歧，不确定性开始加剧。国内方面，央行行长潘功胜：未来仍有充足的政策空间和丰富的工具储备。目前法定存款准备金率平均为7%，后续仍有降准空间。基本面上，供给端1-2月表观消费量整体小幅下降，加之铜矿端的偏紧供应会致使冶炼厂减产预期提升，需求上来看，下游铜材加工厂对精铜的价格接受度和外采情况或因价格的走高而有所影响。整体来看，宏观环境呈现偏暖局面，供给预期偏紧，而需求在政策指引下预期提振。操作上，建议COMEX铜2405合约轻仓逢低短多交易，注意交易节奏及风险控制。</w:t>
      </w:r>
    </w:p>
    <w:p>
      <w:pPr>
        <w:spacing w:before="103" w:line="256" w:lineRule="auto"/>
        <w:ind w:right="743"/>
        <w:jc w:val="both"/>
      </w:pPr>
      <w:r>
        <w:drawing>
          <wp:inline distT="0" distB="0" distL="0" distR="0">
            <wp:extent cx="6248400" cy="2195830"/>
            <wp:effectExtent l="0" t="0" r="0" b="139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6"/>
                    <a:stretch>
                      <a:fillRect/>
                    </a:stretch>
                  </pic:blipFill>
                  <pic:spPr>
                    <a:xfrm>
                      <a:off x="0" y="0"/>
                      <a:ext cx="6248400" cy="2195830"/>
                    </a:xfrm>
                    <a:prstGeom prst="rect">
                      <a:avLst/>
                    </a:prstGeom>
                  </pic:spPr>
                </pic:pic>
              </a:graphicData>
            </a:graphic>
          </wp:inline>
        </w:drawing>
      </w:r>
    </w:p>
    <w:p>
      <w:pPr>
        <w:spacing w:before="235" w:line="176" w:lineRule="auto"/>
        <w:jc w:val="both"/>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5：</w:t>
      </w:r>
      <w:r>
        <w:rPr>
          <w:rFonts w:hint="eastAsia" w:ascii="微软雅黑" w:hAnsi="微软雅黑" w:eastAsia="微软雅黑" w:cs="微软雅黑"/>
          <w:spacing w:val="7"/>
          <w:sz w:val="21"/>
          <w:szCs w:val="21"/>
        </w:rPr>
        <w:t>COMEX铜日线走势图</w:t>
      </w:r>
    </w:p>
    <w:p>
      <w:pPr>
        <w:spacing w:before="103" w:line="256" w:lineRule="auto"/>
        <w:ind w:right="743"/>
        <w:jc w:val="both"/>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黄金</w:t>
      </w:r>
    </w:p>
    <w:p>
      <w:pPr>
        <w:spacing w:before="103" w:line="256" w:lineRule="auto"/>
        <w:ind w:right="743" w:firstLine="528" w:firstLineChars="200"/>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消息面：昨日美联储理事库克表示，谨慎的逐步放松政策可以确保通胀可持续回归2%，同时努力维持强劲劳动力市场；过早降息可能会造成通胀变得根深蒂固的风险；而过晚降息则将不必要地伤害到美国经济；通胀已大幅下降，但劳动力市场仍然强劲；强劲的生产率增长可能意味着工资增长加快，而不是通胀。整体发言相对中性</w:t>
      </w:r>
      <w:r>
        <w:rPr>
          <w:rFonts w:hint="eastAsia" w:ascii="微软雅黑" w:hAnsi="微软雅黑" w:eastAsia="微软雅黑" w:cs="微软雅黑"/>
          <w:spacing w:val="12"/>
          <w:sz w:val="24"/>
          <w:szCs w:val="24"/>
          <w:lang w:eastAsia="zh-CN"/>
        </w:rPr>
        <w:t>，</w:t>
      </w:r>
      <w:r>
        <w:rPr>
          <w:rFonts w:hint="eastAsia" w:ascii="微软雅黑" w:hAnsi="微软雅黑" w:eastAsia="微软雅黑" w:cs="微软雅黑"/>
          <w:spacing w:val="12"/>
          <w:sz w:val="24"/>
          <w:szCs w:val="24"/>
        </w:rPr>
        <w:t>侧面反映当前美联储对降息幅度决策或仍摇摆不定。</w:t>
      </w:r>
      <w:bookmarkStart w:id="2" w:name="_GoBack"/>
      <w:bookmarkEnd w:id="2"/>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短期内美国经济数据仍显示整体经济韧性尚存，叠加市场对非美国家降息预期升高，利差预期或持续扩大，美元指数及美债收益率或持续得到一定支撑，贵金属价格或相对承压。操作上建议，日内轻仓做空，请投资者注意风险控制。</w:t>
      </w:r>
    </w:p>
    <w:p>
      <w:pPr>
        <w:spacing w:before="103" w:line="256" w:lineRule="auto"/>
        <w:ind w:right="743"/>
        <w:jc w:val="both"/>
      </w:pPr>
      <w:r>
        <w:drawing>
          <wp:inline distT="0" distB="0" distL="114300" distR="114300">
            <wp:extent cx="6082665" cy="1623060"/>
            <wp:effectExtent l="0" t="0" r="13335" b="152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a:stretch>
                      <a:fillRect/>
                    </a:stretch>
                  </pic:blipFill>
                  <pic:spPr>
                    <a:xfrm>
                      <a:off x="0" y="0"/>
                      <a:ext cx="6082665" cy="1623060"/>
                    </a:xfrm>
                    <a:prstGeom prst="rect">
                      <a:avLst/>
                    </a:prstGeom>
                    <a:noFill/>
                    <a:ln>
                      <a:noFill/>
                    </a:ln>
                  </pic:spPr>
                </pic:pic>
              </a:graphicData>
            </a:graphic>
          </wp:inline>
        </w:drawing>
      </w:r>
    </w:p>
    <w:p>
      <w:pPr>
        <w:spacing w:before="235" w:line="176" w:lineRule="auto"/>
        <w:jc w:val="both"/>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图6</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rPr>
        <w:t>COMEX黄金日线走势图</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default" w:ascii="微软雅黑" w:hAnsi="微软雅黑" w:eastAsia="微软雅黑" w:cs="微软雅黑"/>
          <w:spacing w:val="7"/>
          <w:sz w:val="21"/>
          <w:szCs w:val="21"/>
          <w:lang w:val="en-US"/>
        </w:rPr>
      </w:pPr>
      <w:r>
        <w:rPr>
          <w:rFonts w:hint="eastAsia" w:ascii="微软雅黑" w:hAnsi="微软雅黑" w:eastAsia="微软雅黑" w:cs="微软雅黑"/>
          <w:b/>
          <w:bCs/>
          <w:spacing w:val="12"/>
          <w:sz w:val="24"/>
          <w:szCs w:val="24"/>
          <w:lang w:val="en-US" w:eastAsia="zh-CN"/>
        </w:rPr>
        <w:t>原油</w:t>
      </w:r>
    </w:p>
    <w:p>
      <w:pPr>
        <w:spacing w:before="103" w:line="256" w:lineRule="auto"/>
        <w:ind w:left="3" w:right="743" w:firstLine="535"/>
        <w:jc w:val="both"/>
        <w:rPr>
          <w:rFonts w:hint="eastAsia" w:ascii="微软雅黑" w:hAnsi="微软雅黑" w:eastAsia="微软雅黑" w:cs="微软雅黑"/>
          <w:spacing w:val="12"/>
          <w:sz w:val="24"/>
          <w:szCs w:val="24"/>
          <w:lang w:eastAsia="zh-CN"/>
        </w:rPr>
      </w:pPr>
      <w:r>
        <w:rPr>
          <w:rFonts w:hint="eastAsia" w:ascii="微软雅黑" w:hAnsi="微软雅黑" w:eastAsia="微软雅黑" w:cs="微软雅黑"/>
          <w:spacing w:val="12"/>
          <w:sz w:val="24"/>
          <w:szCs w:val="24"/>
        </w:rPr>
        <w:t>由于预计西方主要经济体将在夏季开始降息，加上东欧和中东的地缘政治紧张局势持续升级，而欧佩克联盟延长减产计划，有助于推动原油期货稳步上涨。</w:t>
      </w:r>
      <w:r>
        <w:rPr>
          <w:rFonts w:hint="eastAsia" w:ascii="微软雅黑" w:hAnsi="微软雅黑" w:eastAsia="微软雅黑" w:cs="微软雅黑"/>
          <w:spacing w:val="12"/>
          <w:sz w:val="24"/>
          <w:szCs w:val="24"/>
        </w:rPr>
        <w:br w:type="textWrapping"/>
      </w:r>
      <w:r>
        <w:rPr>
          <w:rFonts w:hint="eastAsia" w:ascii="微软雅黑" w:hAnsi="微软雅黑" w:eastAsia="微软雅黑" w:cs="微软雅黑"/>
          <w:spacing w:val="12"/>
          <w:sz w:val="24"/>
          <w:szCs w:val="24"/>
        </w:rPr>
        <w:t>　　消息人士称，俄罗斯已下令生产商在第二季度减少原油产量，以便履行对欧佩克联盟的减产承诺，在6月底之前将产量降至900万桶/日的目标。分析师表示，俄罗斯致力于履行减产承诺，主要是着眼于欧佩克联盟的团结。</w:t>
      </w:r>
      <w:r>
        <w:rPr>
          <w:rFonts w:hint="eastAsia" w:ascii="微软雅黑" w:hAnsi="微软雅黑" w:eastAsia="微软雅黑" w:cs="微软雅黑"/>
          <w:spacing w:val="12"/>
          <w:sz w:val="24"/>
          <w:szCs w:val="24"/>
        </w:rPr>
        <w:br w:type="textWrapping"/>
      </w:r>
      <w:r>
        <w:rPr>
          <w:rFonts w:hint="eastAsia" w:ascii="微软雅黑" w:hAnsi="微软雅黑" w:eastAsia="微软雅黑" w:cs="微软雅黑"/>
          <w:spacing w:val="12"/>
          <w:sz w:val="24"/>
          <w:szCs w:val="24"/>
        </w:rPr>
        <w:t>　　日产证券旗下NS交易公司总裁菊川弘之表示，乌克兰和俄罗斯针对能源设施的袭击引发了供应担忧。周末期间，乌克兰对俄罗斯一家炼油厂的无人机袭击导致该炼油厂损失了一半的产能。乌克兰的袭击已经导致俄罗斯总炼油产能的7%下线。俄罗斯在上周和周末也对乌克兰的发电和输电设施实施报复性冬季，导致乌克兰许多地区停电。</w:t>
      </w:r>
      <w:r>
        <w:rPr>
          <w:rFonts w:hint="eastAsia" w:ascii="微软雅黑" w:hAnsi="微软雅黑" w:eastAsia="微软雅黑" w:cs="微软雅黑"/>
          <w:spacing w:val="12"/>
          <w:sz w:val="24"/>
          <w:szCs w:val="24"/>
        </w:rPr>
        <w:br w:type="textWrapping"/>
      </w:r>
      <w:r>
        <w:rPr>
          <w:rFonts w:hint="eastAsia" w:ascii="微软雅黑" w:hAnsi="微软雅黑" w:eastAsia="微软雅黑" w:cs="微软雅黑"/>
          <w:spacing w:val="12"/>
          <w:sz w:val="24"/>
          <w:szCs w:val="24"/>
        </w:rPr>
        <w:t>　　周一联合国安理会通过一项决议，要求以色列和哈马斯立即停火，并释放所有人质，此前一直支持以色列的美国在此次投票中没有像以往那样使用否决权，而是投了弃权票，这标志着以色列遭遇国际社会的空前孤立。以色列随后宣布取消一个政府代表团对美国的访问。在持续数月的巴以冲突中，迄今已有三万多巴勒斯坦人丧生，一半以上为儿童。</w:t>
      </w:r>
      <w:r>
        <w:rPr>
          <w:rFonts w:hint="eastAsia" w:ascii="微软雅黑" w:hAnsi="微软雅黑" w:eastAsia="微软雅黑" w:cs="微软雅黑"/>
          <w:spacing w:val="12"/>
          <w:sz w:val="24"/>
          <w:szCs w:val="24"/>
        </w:rPr>
        <w:br w:type="textWrapping"/>
      </w:r>
      <w:r>
        <w:rPr>
          <w:rFonts w:hint="eastAsia" w:ascii="微软雅黑" w:hAnsi="微软雅黑" w:eastAsia="微软雅黑" w:cs="微软雅黑"/>
          <w:spacing w:val="12"/>
          <w:sz w:val="24"/>
          <w:szCs w:val="24"/>
        </w:rPr>
        <w:t>　　美国利波石油合伙人公司总裁安德鲁利波表示，接下来需要观察联合国停火决议在加沙的实际效果如何，以及这是否最终会导致胡塞武装停止对红海油轮的袭击</w:t>
      </w:r>
      <w:r>
        <w:rPr>
          <w:rFonts w:hint="eastAsia" w:ascii="微软雅黑" w:hAnsi="微软雅黑" w:eastAsia="微软雅黑" w:cs="微软雅黑"/>
          <w:spacing w:val="12"/>
          <w:sz w:val="24"/>
          <w:szCs w:val="24"/>
          <w:lang w:eastAsia="zh-CN"/>
        </w:rPr>
        <w:t>。</w:t>
      </w:r>
      <w:r>
        <w:rPr>
          <w:rFonts w:hint="eastAsia" w:ascii="微软雅黑" w:hAnsi="微软雅黑" w:eastAsia="微软雅黑" w:cs="微软雅黑"/>
          <w:spacing w:val="12"/>
          <w:sz w:val="24"/>
          <w:szCs w:val="24"/>
        </w:rPr>
        <w:br w:type="textWrapping"/>
      </w:r>
      <w:r>
        <w:rPr>
          <w:rFonts w:hint="eastAsia" w:ascii="微软雅黑" w:hAnsi="微软雅黑" w:eastAsia="微软雅黑" w:cs="微软雅黑"/>
          <w:spacing w:val="12"/>
          <w:sz w:val="24"/>
          <w:szCs w:val="24"/>
        </w:rPr>
        <w:t>　　也门胡塞武装一直在加大对穿越红海的船只的攻击力度，以支持深陷人道主义危机的加沙巴勒斯坦人。如果胡塞武装通过允许船只使用苏伊士运河，意味着美国等国家的船只不再需要绕道非洲好望角，有助于缓解供应瓶颈</w:t>
      </w:r>
      <w:r>
        <w:rPr>
          <w:rFonts w:hint="eastAsia" w:ascii="微软雅黑" w:hAnsi="微软雅黑" w:eastAsia="微软雅黑" w:cs="微软雅黑"/>
          <w:spacing w:val="12"/>
          <w:sz w:val="24"/>
          <w:szCs w:val="24"/>
          <w:lang w:eastAsia="zh-CN"/>
        </w:rPr>
        <w:t>。</w:t>
      </w:r>
    </w:p>
    <w:p>
      <w:pPr>
        <w:spacing w:before="103" w:line="256" w:lineRule="auto"/>
        <w:ind w:left="3" w:right="743" w:firstLine="535"/>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纽约商品期货交易所（NYMEX）的西德克萨斯中质原油（WTI）5月合约较上一交易日上涨1.32美元或1.64%，报收81.95美元/桶，短期呈现高位震荡走势。支撑位</w:t>
      </w:r>
      <w:r>
        <w:rPr>
          <w:rFonts w:hint="eastAsia" w:ascii="微软雅黑" w:hAnsi="微软雅黑" w:eastAsia="微软雅黑" w:cs="微软雅黑"/>
          <w:spacing w:val="12"/>
          <w:sz w:val="24"/>
          <w:szCs w:val="24"/>
          <w:lang w:eastAsia="zh-CN"/>
        </w:rPr>
        <w:t>：</w:t>
      </w:r>
      <w:r>
        <w:rPr>
          <w:rFonts w:hint="eastAsia" w:ascii="微软雅黑" w:hAnsi="微软雅黑" w:eastAsia="微软雅黑" w:cs="微软雅黑"/>
          <w:spacing w:val="12"/>
          <w:sz w:val="24"/>
          <w:szCs w:val="24"/>
        </w:rPr>
        <w:t>79.9；压力位：83。</w:t>
      </w:r>
    </w:p>
    <w:p>
      <w:pPr>
        <w:spacing w:before="103" w:line="256" w:lineRule="auto"/>
        <w:ind w:right="743"/>
        <w:jc w:val="both"/>
        <w:rPr>
          <w:rFonts w:hint="eastAsia" w:ascii="微软雅黑" w:hAnsi="微软雅黑" w:eastAsia="微软雅黑" w:cs="微软雅黑"/>
          <w:spacing w:val="12"/>
          <w:sz w:val="24"/>
          <w:szCs w:val="24"/>
        </w:rPr>
      </w:pPr>
      <w:r>
        <w:drawing>
          <wp:inline distT="0" distB="0" distL="0" distR="0">
            <wp:extent cx="6092825" cy="2653030"/>
            <wp:effectExtent l="0" t="0" r="3175" b="139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6092825" cy="2653030"/>
                    </a:xfrm>
                    <a:prstGeom prst="rect">
                      <a:avLst/>
                    </a:prstGeom>
                  </pic:spPr>
                </pic:pic>
              </a:graphicData>
            </a:graphic>
          </wp:inline>
        </w:drawing>
      </w:r>
    </w:p>
    <w:p>
      <w:pPr>
        <w:spacing w:before="103" w:line="256" w:lineRule="auto"/>
        <w:ind w:right="743"/>
        <w:jc w:val="both"/>
        <w:rPr>
          <w:rFonts w:hint="default"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图7：原油（WTI）</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ICE原糖</w:t>
      </w:r>
      <w:bookmarkStart w:id="0" w:name="OLE_LINK4"/>
      <w:bookmarkStart w:id="1" w:name="OLE_LINK3"/>
    </w:p>
    <w:bookmarkEnd w:id="0"/>
    <w:bookmarkEnd w:id="1"/>
    <w:p>
      <w:pPr>
        <w:spacing w:before="103" w:line="256" w:lineRule="auto"/>
        <w:ind w:right="743" w:firstLine="528" w:firstLineChars="200"/>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洲际期货交易所（ICE）原糖期货周一收高，陷于近期交投区间内。交投最活跃的ICE5月原糖期货合约收盘收涨0.1美分或0.50%，结算价每磅21.95美分。操作上</w:t>
      </w:r>
      <w:r>
        <w:rPr>
          <w:rFonts w:hint="eastAsia" w:ascii="微软雅黑" w:hAnsi="微软雅黑" w:eastAsia="微软雅黑" w:cs="微软雅黑"/>
          <w:spacing w:val="12"/>
          <w:sz w:val="24"/>
          <w:szCs w:val="24"/>
          <w:lang w:eastAsia="zh-CN"/>
        </w:rPr>
        <w:t>，</w:t>
      </w:r>
      <w:r>
        <w:rPr>
          <w:rFonts w:hint="eastAsia" w:ascii="微软雅黑" w:hAnsi="微软雅黑" w:eastAsia="微软雅黑" w:cs="微软雅黑"/>
          <w:spacing w:val="12"/>
          <w:sz w:val="24"/>
          <w:szCs w:val="24"/>
        </w:rPr>
        <w:t>建议5月ICE原糖短期暂且观望。</w:t>
      </w:r>
    </w:p>
    <w:p>
      <w:pPr>
        <w:spacing w:before="103" w:line="256" w:lineRule="auto"/>
        <w:ind w:right="743"/>
        <w:jc w:val="both"/>
        <w:rPr>
          <w:rFonts w:hint="eastAsia" w:ascii="微软雅黑" w:hAnsi="微软雅黑" w:eastAsia="微软雅黑" w:cs="微软雅黑"/>
          <w:spacing w:val="7"/>
          <w:sz w:val="21"/>
          <w:szCs w:val="21"/>
          <w:lang w:val="zh-CN" w:eastAsia="zh-CN"/>
        </w:rPr>
      </w:pPr>
      <w:r>
        <w:rPr>
          <w:rFonts w:hint="eastAsia" w:ascii="微软雅黑" w:hAnsi="微软雅黑" w:eastAsia="微软雅黑" w:cs="微软雅黑"/>
          <w:spacing w:val="7"/>
          <w:sz w:val="21"/>
          <w:szCs w:val="21"/>
          <w:lang w:val="zh-CN" w:eastAsia="zh-CN"/>
        </w:rPr>
        <w:drawing>
          <wp:inline distT="0" distB="0" distL="114300" distR="114300">
            <wp:extent cx="6019800" cy="2489835"/>
            <wp:effectExtent l="0" t="0" r="0" b="5715"/>
            <wp:docPr id="12" name="图片 12" descr="7250ece7d36935b00eafbb86f22d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250ece7d36935b00eafbb86f22d854"/>
                    <pic:cNvPicPr>
                      <a:picLocks noChangeAspect="1"/>
                    </pic:cNvPicPr>
                  </pic:nvPicPr>
                  <pic:blipFill>
                    <a:blip r:embed="rId19"/>
                    <a:stretch>
                      <a:fillRect/>
                    </a:stretch>
                  </pic:blipFill>
                  <pic:spPr>
                    <a:xfrm>
                      <a:off x="0" y="0"/>
                      <a:ext cx="6019800" cy="2489835"/>
                    </a:xfrm>
                    <a:prstGeom prst="rect">
                      <a:avLst/>
                    </a:prstGeom>
                  </pic:spPr>
                </pic:pic>
              </a:graphicData>
            </a:graphic>
          </wp:inline>
        </w:drawing>
      </w: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8：ICE</w:t>
      </w:r>
      <w:r>
        <w:rPr>
          <w:rFonts w:hint="eastAsia" w:ascii="微软雅黑" w:hAnsi="微软雅黑" w:eastAsia="微软雅黑" w:cs="微软雅黑"/>
          <w:spacing w:val="7"/>
          <w:sz w:val="21"/>
          <w:szCs w:val="21"/>
          <w:lang w:val="zh-CN" w:eastAsia="zh-CN"/>
        </w:rPr>
        <w:t>原糖期货主力合约日走势图及支撑位、阻力位</w:t>
      </w:r>
    </w:p>
    <w:p>
      <w:pPr>
        <w:spacing w:before="235" w:line="176" w:lineRule="auto"/>
        <w:jc w:val="both"/>
        <w:rPr>
          <w:rFonts w:hint="eastAsia" w:ascii="微软雅黑" w:hAnsi="微软雅黑" w:eastAsia="微软雅黑" w:cs="微软雅黑"/>
          <w:spacing w:val="7"/>
          <w:sz w:val="21"/>
          <w:szCs w:val="21"/>
          <w:lang w:val="en-US" w:eastAsia="zh-CN"/>
        </w:rPr>
      </w:pPr>
    </w:p>
    <w:p>
      <w:pPr>
        <w:spacing w:before="235" w:line="176"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微软雅黑" w:hAnsi="微软雅黑" w:eastAsia="微软雅黑" w:cs="微软雅黑"/>
          <w:spacing w:val="12"/>
          <w:sz w:val="24"/>
          <w:szCs w:val="24"/>
          <w:lang w:eastAsia="zh-CN"/>
        </w:rPr>
      </w:pPr>
      <w:r>
        <w:rPr>
          <w:rFonts w:hint="eastAsia" w:ascii="微软雅黑" w:hAnsi="微软雅黑" w:eastAsia="微软雅黑" w:cs="微软雅黑"/>
          <w:b/>
          <w:bCs/>
          <w:spacing w:val="12"/>
          <w:sz w:val="24"/>
          <w:szCs w:val="24"/>
          <w:lang w:val="en-US" w:eastAsia="zh-CN"/>
        </w:rPr>
        <w:t>ICE棉花</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洲际交易所(ICE)棉花期货周一上涨，受其他市场带动，同时投资者关注本周报告出炉前轧平头寸。交投最活跃的ICE5月期棉收涨0.49美分或0.50%，结算价报92.02美分/磅。操作上，建议5月ICE期棉短期暂且观望为宜。</w:t>
      </w:r>
    </w:p>
    <w:p>
      <w:pPr>
        <w:spacing w:before="103" w:line="256" w:lineRule="auto"/>
        <w:ind w:right="743"/>
        <w:jc w:val="center"/>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drawing>
          <wp:inline distT="0" distB="0" distL="114300" distR="114300">
            <wp:extent cx="6059805" cy="2530475"/>
            <wp:effectExtent l="0" t="0" r="17145" b="3175"/>
            <wp:docPr id="13" name="图片 13" descr="926fef63a0691812ee6d2a8a1b0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26fef63a0691812ee6d2a8a1b01162"/>
                    <pic:cNvPicPr>
                      <a:picLocks noChangeAspect="1"/>
                    </pic:cNvPicPr>
                  </pic:nvPicPr>
                  <pic:blipFill>
                    <a:blip r:embed="rId20"/>
                    <a:stretch>
                      <a:fillRect/>
                    </a:stretch>
                  </pic:blipFill>
                  <pic:spPr>
                    <a:xfrm>
                      <a:off x="0" y="0"/>
                      <a:ext cx="6059805" cy="2530475"/>
                    </a:xfrm>
                    <a:prstGeom prst="rect">
                      <a:avLst/>
                    </a:prstGeom>
                  </pic:spPr>
                </pic:pic>
              </a:graphicData>
            </a:graphic>
          </wp:inline>
        </w:drawing>
      </w:r>
    </w:p>
    <w:p>
      <w:pPr>
        <w:spacing w:before="235" w:line="176" w:lineRule="auto"/>
        <w:jc w:val="both"/>
        <w:rPr>
          <w:rFonts w:hint="eastAsia" w:ascii="微软雅黑" w:hAnsi="微软雅黑" w:eastAsia="微软雅黑" w:cs="微软雅黑"/>
          <w:spacing w:val="7"/>
          <w:sz w:val="21"/>
          <w:szCs w:val="21"/>
          <w:lang w:val="zh-CN" w:eastAsia="zh-CN"/>
        </w:rPr>
      </w:pPr>
      <w:r>
        <w:rPr>
          <w:rFonts w:hint="eastAsia" w:ascii="微软雅黑" w:hAnsi="微软雅黑" w:eastAsia="微软雅黑" w:cs="微软雅黑"/>
          <w:spacing w:val="7"/>
          <w:sz w:val="21"/>
          <w:szCs w:val="21"/>
          <w:lang w:val="zh-CN" w:eastAsia="zh-CN"/>
        </w:rPr>
        <w:t>图9：ICE棉花期货主力合约日走势图及支撑位、阻力位</w:t>
      </w:r>
    </w:p>
    <w:p>
      <w:pPr>
        <w:spacing w:before="172" w:line="417" w:lineRule="exact"/>
        <w:rPr>
          <w:rFonts w:ascii="微软雅黑" w:hAnsi="微软雅黑" w:eastAsia="微软雅黑" w:cs="微软雅黑"/>
          <w:color w:val="CE393F"/>
          <w:spacing w:val="8"/>
          <w:position w:val="2"/>
          <w:sz w:val="40"/>
          <w:szCs w:val="40"/>
        </w:rPr>
      </w:pPr>
    </w:p>
    <w:p>
      <w:pPr>
        <w:spacing w:before="172" w:line="417" w:lineRule="exact"/>
        <w:rPr>
          <w:rFonts w:ascii="微软雅黑" w:hAnsi="微软雅黑" w:eastAsia="微软雅黑" w:cs="微软雅黑"/>
          <w:color w:val="CE393F"/>
          <w:spacing w:val="8"/>
          <w:position w:val="2"/>
          <w:sz w:val="40"/>
          <w:szCs w:val="40"/>
        </w:rPr>
      </w:pPr>
    </w:p>
    <w:p>
      <w:pPr>
        <w:spacing w:before="172" w:line="417" w:lineRule="exact"/>
        <w:rPr>
          <w:rFonts w:ascii="微软雅黑" w:hAnsi="微软雅黑" w:eastAsia="微软雅黑" w:cs="微软雅黑"/>
          <w:sz w:val="20"/>
          <w:szCs w:val="20"/>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9"/>
          <w:sz w:val="28"/>
          <w:szCs w:val="28"/>
        </w:rPr>
        <w:t xml:space="preserve"> </w:t>
      </w:r>
      <w:r>
        <w:rPr>
          <w:rFonts w:ascii="微软雅黑" w:hAnsi="微软雅黑" w:eastAsia="微软雅黑" w:cs="微软雅黑"/>
          <w:color w:val="CE393F"/>
          <w:spacing w:val="8"/>
          <w:position w:val="2"/>
          <w:sz w:val="40"/>
          <w:szCs w:val="40"/>
        </w:rPr>
        <w:t>△</w:t>
      </w:r>
      <w:r>
        <w:rPr>
          <w:rFonts w:ascii="微软雅黑" w:hAnsi="微软雅黑" w:eastAsia="微软雅黑" w:cs="微软雅黑"/>
          <w:color w:val="CE393F"/>
          <w:spacing w:val="-38"/>
          <w:position w:val="2"/>
          <w:sz w:val="40"/>
          <w:szCs w:val="40"/>
        </w:rPr>
        <w:t xml:space="preserve"> </w:t>
      </w:r>
      <w:r>
        <w:rPr>
          <w:rFonts w:ascii="微软雅黑" w:hAnsi="微软雅黑" w:eastAsia="微软雅黑" w:cs="微软雅黑"/>
          <w:spacing w:val="8"/>
          <w:position w:val="2"/>
          <w:sz w:val="20"/>
          <w:szCs w:val="20"/>
        </w:rPr>
        <w:t>免责声明</w:t>
      </w:r>
    </w:p>
    <w:p>
      <w:pPr>
        <w:spacing w:before="63" w:line="193" w:lineRule="auto"/>
        <w:ind w:left="340" w:right="706" w:firstLine="379"/>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此报告由瑞达国际所编制。本报告采用之资料及意见均相信可靠及准确</w:t>
      </w:r>
      <w:r>
        <w:rPr>
          <w:rFonts w:ascii="微软雅黑" w:hAnsi="微软雅黑" w:eastAsia="微软雅黑" w:cs="微软雅黑"/>
          <w:color w:val="898989"/>
          <w:spacing w:val="2"/>
          <w:sz w:val="18"/>
          <w:szCs w:val="18"/>
        </w:rPr>
        <w:t>，但本公司并不对各分析或有关资料之可</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3"/>
          <w:sz w:val="18"/>
          <w:szCs w:val="18"/>
        </w:rPr>
        <w:t>靠性及准确性作出全面性保证。本报告只供客户或读者作参考之用，客户或读者不应完全依靠本报告内容作为投</w:t>
      </w:r>
      <w:r>
        <w:rPr>
          <w:rFonts w:ascii="微软雅黑" w:hAnsi="微软雅黑" w:eastAsia="微软雅黑" w:cs="微软雅黑"/>
          <w:color w:val="898989"/>
          <w:spacing w:val="2"/>
          <w:sz w:val="18"/>
          <w:szCs w:val="18"/>
        </w:rPr>
        <w:t>资准</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8"/>
          <w:sz w:val="18"/>
          <w:szCs w:val="18"/>
        </w:rPr>
        <w:t>则。</w:t>
      </w:r>
    </w:p>
    <w:p>
      <w:pPr>
        <w:spacing w:before="34" w:line="189" w:lineRule="auto"/>
        <w:ind w:left="337" w:right="707" w:firstLine="381"/>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本报告之资料及意见如有任何更改，恕不另行通知。本报告并非及并无意图</w:t>
      </w:r>
      <w:r>
        <w:rPr>
          <w:rFonts w:ascii="微软雅黑" w:hAnsi="微软雅黑" w:eastAsia="微软雅黑" w:cs="微软雅黑"/>
          <w:color w:val="898989"/>
          <w:spacing w:val="2"/>
          <w:sz w:val="18"/>
          <w:szCs w:val="18"/>
        </w:rPr>
        <w:t>构成任何作价或招揽进行买卖本报告</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2"/>
          <w:sz w:val="18"/>
          <w:szCs w:val="18"/>
        </w:rPr>
        <w:t>提及的商品。本公司不会对任何因依靠本报告作出任何买卖而引致之任何损失承担任</w:t>
      </w:r>
      <w:r>
        <w:rPr>
          <w:rFonts w:ascii="微软雅黑" w:hAnsi="微软雅黑" w:eastAsia="微软雅黑" w:cs="微软雅黑"/>
          <w:color w:val="898989"/>
          <w:spacing w:val="1"/>
          <w:sz w:val="18"/>
          <w:szCs w:val="18"/>
        </w:rPr>
        <w:t>何责任。</w:t>
      </w:r>
    </w:p>
    <w:p>
      <w:pPr>
        <w:spacing w:line="189" w:lineRule="auto"/>
        <w:rPr>
          <w:rFonts w:ascii="微软雅黑" w:hAnsi="微软雅黑" w:eastAsia="微软雅黑" w:cs="微软雅黑"/>
          <w:sz w:val="18"/>
          <w:szCs w:val="18"/>
        </w:rPr>
        <w:sectPr>
          <w:headerReference r:id="rId6" w:type="default"/>
          <w:footerReference r:id="rId7" w:type="default"/>
          <w:pgSz w:w="11915" w:h="16837"/>
          <w:pgMar w:top="400" w:right="382" w:bottom="0" w:left="1153" w:header="340" w:footer="340" w:gutter="0"/>
          <w:pgBorders>
            <w:top w:val="none" w:sz="0" w:space="0"/>
            <w:left w:val="none" w:sz="0" w:space="0"/>
            <w:bottom w:val="none" w:sz="0" w:space="0"/>
            <w:right w:val="none" w:sz="0" w:space="0"/>
          </w:pgBorders>
          <w:pgNumType w:fmt="decimal"/>
          <w:cols w:space="720" w:num="1"/>
        </w:sectPr>
      </w:pPr>
    </w:p>
    <w:p>
      <w:pPr>
        <w:spacing w:before="34" w:line="569" w:lineRule="exact"/>
        <w:ind w:firstLine="6421"/>
      </w:pPr>
    </w:p>
    <w:p>
      <w:pPr>
        <w:spacing w:before="34" w:line="569" w:lineRule="exact"/>
        <w:ind w:firstLine="6421"/>
      </w:pPr>
    </w:p>
    <w:p>
      <w:pPr>
        <w:spacing w:before="34" w:line="569" w:lineRule="exact"/>
        <w:ind w:firstLine="6421"/>
      </w:pPr>
    </w:p>
    <w:p>
      <w:pPr>
        <w:spacing w:line="3052" w:lineRule="exact"/>
        <w:jc w:val="center"/>
      </w:pPr>
      <w:r>
        <w:rPr>
          <w:position w:val="-61"/>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pPr>
        <w:pStyle w:val="2"/>
        <w:spacing w:line="371" w:lineRule="auto"/>
        <w:jc w:val="center"/>
      </w:pPr>
    </w:p>
    <w:p>
      <w:pPr>
        <w:spacing w:before="103" w:line="191" w:lineRule="auto"/>
        <w:jc w:val="center"/>
        <w:rPr>
          <w:rFonts w:ascii="微软雅黑" w:hAnsi="微软雅黑" w:eastAsia="微软雅黑" w:cs="微软雅黑"/>
          <w:sz w:val="24"/>
          <w:szCs w:val="24"/>
        </w:rPr>
      </w:pPr>
      <w:r>
        <w:rPr>
          <w:rFonts w:ascii="微软雅黑" w:hAnsi="微软雅黑" w:eastAsia="微软雅黑" w:cs="微软雅黑"/>
          <w:spacing w:val="7"/>
          <w:sz w:val="24"/>
          <w:szCs w:val="24"/>
        </w:rPr>
        <w:t>24小时客服电话： 00852</w:t>
      </w:r>
      <w:r>
        <w:rPr>
          <w:rFonts w:ascii="微软雅黑" w:hAnsi="微软雅黑" w:eastAsia="微软雅黑" w:cs="微软雅黑"/>
          <w:spacing w:val="-33"/>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37"/>
          <w:sz w:val="24"/>
          <w:szCs w:val="24"/>
        </w:rPr>
        <w:t xml:space="preserve"> </w:t>
      </w:r>
      <w:r>
        <w:rPr>
          <w:rFonts w:ascii="微软雅黑" w:hAnsi="微软雅黑" w:eastAsia="微软雅黑" w:cs="微软雅黑"/>
          <w:spacing w:val="7"/>
          <w:sz w:val="24"/>
          <w:szCs w:val="24"/>
        </w:rPr>
        <w:t>25342000/86</w:t>
      </w:r>
      <w:r>
        <w:rPr>
          <w:rFonts w:ascii="微软雅黑" w:hAnsi="微软雅黑" w:eastAsia="微软雅黑" w:cs="微软雅黑"/>
          <w:spacing w:val="-36"/>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26"/>
          <w:sz w:val="24"/>
          <w:szCs w:val="24"/>
        </w:rPr>
        <w:t xml:space="preserve"> </w:t>
      </w:r>
      <w:r>
        <w:rPr>
          <w:rFonts w:ascii="微软雅黑" w:hAnsi="微软雅黑" w:eastAsia="微软雅黑" w:cs="微软雅黑"/>
          <w:spacing w:val="7"/>
          <w:sz w:val="24"/>
          <w:szCs w:val="24"/>
        </w:rPr>
        <w:t>13603059885</w:t>
      </w:r>
    </w:p>
    <w:p>
      <w:pPr>
        <w:spacing w:before="233" w:line="175" w:lineRule="auto"/>
        <w:jc w:val="center"/>
        <w:rPr>
          <w:rFonts w:ascii="微软雅黑" w:hAnsi="微软雅黑" w:eastAsia="微软雅黑" w:cs="微软雅黑"/>
          <w:sz w:val="24"/>
          <w:szCs w:val="24"/>
        </w:rPr>
      </w:pPr>
      <w:r>
        <w:rPr>
          <w:rFonts w:ascii="微软雅黑" w:hAnsi="微软雅黑" w:eastAsia="微软雅黑" w:cs="微软雅黑"/>
          <w:spacing w:val="5"/>
          <w:sz w:val="24"/>
          <w:szCs w:val="24"/>
        </w:rPr>
        <w:t>24小时传真电话： 00852</w:t>
      </w:r>
      <w:r>
        <w:rPr>
          <w:rFonts w:ascii="微软雅黑" w:hAnsi="微软雅黑" w:eastAsia="微软雅黑" w:cs="微软雅黑"/>
          <w:spacing w:val="-32"/>
          <w:sz w:val="24"/>
          <w:szCs w:val="24"/>
        </w:rPr>
        <w:t xml:space="preserve"> </w:t>
      </w:r>
      <w:r>
        <w:rPr>
          <w:rFonts w:ascii="微软雅黑" w:hAnsi="微软雅黑" w:eastAsia="微软雅黑" w:cs="微软雅黑"/>
          <w:spacing w:val="5"/>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pacing w:val="5"/>
          <w:sz w:val="24"/>
          <w:szCs w:val="24"/>
        </w:rPr>
        <w:t>25632368</w:t>
      </w:r>
    </w:p>
    <w:p>
      <w:pPr>
        <w:spacing w:before="258" w:line="190" w:lineRule="auto"/>
        <w:jc w:val="center"/>
        <w:rPr>
          <w:rFonts w:ascii="微软雅黑" w:hAnsi="微软雅黑" w:eastAsia="微软雅黑" w:cs="微软雅黑"/>
          <w:sz w:val="24"/>
          <w:szCs w:val="24"/>
        </w:rPr>
      </w:pPr>
      <w:r>
        <w:rPr>
          <w:rFonts w:ascii="微软雅黑" w:hAnsi="微软雅黑" w:eastAsia="微软雅黑" w:cs="微软雅黑"/>
          <w:spacing w:val="13"/>
          <w:sz w:val="24"/>
          <w:szCs w:val="24"/>
        </w:rPr>
        <w:t xml:space="preserve">客服邮箱： </w:t>
      </w:r>
      <w:r>
        <w:rPr>
          <w:rFonts w:ascii="微软雅黑" w:hAnsi="微软雅黑" w:eastAsia="微软雅黑" w:cs="微软雅黑"/>
          <w:sz w:val="24"/>
          <w:szCs w:val="24"/>
        </w:rPr>
        <w:t>cs</w:t>
      </w:r>
      <w:r>
        <w:rPr>
          <w:rFonts w:ascii="微软雅黑" w:hAnsi="微软雅黑" w:eastAsia="微软雅黑" w:cs="微软雅黑"/>
          <w:spacing w:val="13"/>
          <w:sz w:val="24"/>
          <w:szCs w:val="24"/>
        </w:rPr>
        <w:t>@</w:t>
      </w:r>
      <w:r>
        <w:rPr>
          <w:rFonts w:ascii="微软雅黑" w:hAnsi="微软雅黑" w:eastAsia="微软雅黑" w:cs="微软雅黑"/>
          <w:sz w:val="24"/>
          <w:szCs w:val="24"/>
        </w:rPr>
        <w:t>ruida</w:t>
      </w:r>
      <w:r>
        <w:rPr>
          <w:rFonts w:ascii="微软雅黑" w:hAnsi="微软雅黑" w:eastAsia="微软雅黑" w:cs="微软雅黑"/>
          <w:spacing w:val="13"/>
          <w:sz w:val="24"/>
          <w:szCs w:val="24"/>
        </w:rPr>
        <w:t>-</w:t>
      </w:r>
      <w:r>
        <w:rPr>
          <w:rFonts w:ascii="微软雅黑" w:hAnsi="微软雅黑" w:eastAsia="微软雅黑" w:cs="微软雅黑"/>
          <w:spacing w:val="-29"/>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13"/>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34" w:line="192" w:lineRule="auto"/>
        <w:jc w:val="center"/>
        <w:rPr>
          <w:rFonts w:ascii="微软雅黑" w:hAnsi="微软雅黑" w:eastAsia="微软雅黑" w:cs="微软雅黑"/>
          <w:sz w:val="24"/>
          <w:szCs w:val="24"/>
        </w:rPr>
      </w:pPr>
      <w:r>
        <w:rPr>
          <w:rFonts w:ascii="微软雅黑" w:hAnsi="微软雅黑" w:eastAsia="微软雅黑" w:cs="微软雅黑"/>
          <w:spacing w:val="8"/>
          <w:sz w:val="24"/>
          <w:szCs w:val="24"/>
        </w:rPr>
        <w:t>客服</w:t>
      </w:r>
      <w:r>
        <w:rPr>
          <w:rFonts w:ascii="微软雅黑" w:hAnsi="微软雅黑" w:eastAsia="微软雅黑" w:cs="微软雅黑"/>
          <w:sz w:val="24"/>
          <w:szCs w:val="24"/>
        </w:rPr>
        <w:t>QQ</w:t>
      </w:r>
      <w:r>
        <w:rPr>
          <w:rFonts w:ascii="微软雅黑" w:hAnsi="微软雅黑" w:eastAsia="微软雅黑" w:cs="微软雅黑"/>
          <w:spacing w:val="8"/>
          <w:sz w:val="24"/>
          <w:szCs w:val="24"/>
        </w:rPr>
        <w:t>： 203195058/29384</w:t>
      </w:r>
      <w:r>
        <w:rPr>
          <w:rFonts w:ascii="微软雅黑" w:hAnsi="微软雅黑" w:eastAsia="微软雅黑" w:cs="微软雅黑"/>
          <w:spacing w:val="7"/>
          <w:sz w:val="24"/>
          <w:szCs w:val="24"/>
        </w:rPr>
        <w:t>72186</w:t>
      </w:r>
    </w:p>
    <w:p>
      <w:pPr>
        <w:spacing w:before="234" w:line="176" w:lineRule="auto"/>
        <w:jc w:val="center"/>
        <w:rPr>
          <w:rFonts w:ascii="微软雅黑" w:hAnsi="微软雅黑" w:eastAsia="微软雅黑" w:cs="微软雅黑"/>
          <w:sz w:val="24"/>
          <w:szCs w:val="24"/>
        </w:rPr>
      </w:pPr>
      <w:r>
        <w:rPr>
          <w:rFonts w:ascii="微软雅黑" w:hAnsi="微软雅黑" w:eastAsia="微软雅黑" w:cs="微软雅黑"/>
          <w:spacing w:val="21"/>
          <w:sz w:val="24"/>
          <w:szCs w:val="24"/>
        </w:rPr>
        <w:t>网址：</w:t>
      </w:r>
      <w:r>
        <w:rPr>
          <w:rFonts w:ascii="微软雅黑" w:hAnsi="微软雅黑" w:eastAsia="微软雅黑" w:cs="微软雅黑"/>
          <w:sz w:val="24"/>
          <w:szCs w:val="24"/>
        </w:rPr>
        <w:t>www</w:t>
      </w:r>
      <w:r>
        <w:rPr>
          <w:rFonts w:ascii="微软雅黑" w:hAnsi="微软雅黑" w:eastAsia="微软雅黑" w:cs="微软雅黑"/>
          <w:spacing w:val="21"/>
          <w:sz w:val="24"/>
          <w:szCs w:val="24"/>
        </w:rPr>
        <w:t>.</w:t>
      </w:r>
      <w:r>
        <w:rPr>
          <w:rFonts w:ascii="微软雅黑" w:hAnsi="微软雅黑" w:eastAsia="微软雅黑" w:cs="微软雅黑"/>
          <w:spacing w:val="-22"/>
          <w:sz w:val="24"/>
          <w:szCs w:val="24"/>
        </w:rPr>
        <w:t xml:space="preserve"> </w:t>
      </w:r>
      <w:r>
        <w:rPr>
          <w:rFonts w:ascii="微软雅黑" w:hAnsi="微软雅黑" w:eastAsia="微软雅黑" w:cs="微软雅黑"/>
          <w:sz w:val="24"/>
          <w:szCs w:val="24"/>
        </w:rPr>
        <w:t>ruida</w:t>
      </w:r>
      <w:r>
        <w:rPr>
          <w:rFonts w:ascii="微软雅黑" w:hAnsi="微软雅黑" w:eastAsia="微软雅黑" w:cs="微软雅黑"/>
          <w:spacing w:val="21"/>
          <w:sz w:val="24"/>
          <w:szCs w:val="24"/>
        </w:rPr>
        <w:t>-</w:t>
      </w:r>
      <w:r>
        <w:rPr>
          <w:rFonts w:ascii="微软雅黑" w:hAnsi="微软雅黑" w:eastAsia="微软雅黑" w:cs="微软雅黑"/>
          <w:spacing w:val="-28"/>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21"/>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53" w:line="177" w:lineRule="auto"/>
        <w:jc w:val="center"/>
        <w:rPr>
          <w:rFonts w:ascii="微软雅黑" w:hAnsi="微软雅黑" w:eastAsia="微软雅黑" w:cs="微软雅黑"/>
          <w:sz w:val="24"/>
          <w:szCs w:val="24"/>
        </w:rPr>
      </w:pPr>
      <w:r>
        <w:rPr>
          <w:rFonts w:ascii="微软雅黑" w:hAnsi="微软雅黑" w:eastAsia="微软雅黑" w:cs="微软雅黑"/>
          <w:spacing w:val="16"/>
          <w:sz w:val="24"/>
          <w:szCs w:val="24"/>
        </w:rPr>
        <w:t>地址:</w:t>
      </w:r>
      <w:r>
        <w:rPr>
          <w:rFonts w:ascii="微软雅黑" w:hAnsi="微软雅黑" w:eastAsia="微软雅黑" w:cs="微软雅黑"/>
          <w:spacing w:val="45"/>
          <w:w w:val="101"/>
          <w:sz w:val="24"/>
          <w:szCs w:val="24"/>
        </w:rPr>
        <w:t xml:space="preserve"> </w:t>
      </w:r>
      <w:r>
        <w:rPr>
          <w:rFonts w:ascii="微软雅黑" w:hAnsi="微软雅黑" w:eastAsia="微软雅黑" w:cs="微软雅黑"/>
          <w:spacing w:val="16"/>
          <w:sz w:val="24"/>
          <w:szCs w:val="24"/>
        </w:rPr>
        <w:t>香港湾仔菲林明道8号大同大厦17楼05</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06室</w:t>
      </w:r>
    </w:p>
    <w:p/>
    <w:sectPr>
      <w:pgSz w:w="11923" w:h="16837"/>
      <w:pgMar w:top="400" w:right="556" w:bottom="0" w:left="1015" w:header="340" w:footer="340"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Microsoft YaHei U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double" w:color="0766D4" w:sz="8" w:space="0"/>
      </w:pBdr>
      <w:spacing w:line="14" w:lineRule="auto"/>
      <w:rPr>
        <w:sz w:val="2"/>
      </w:rPr>
    </w:pPr>
    <w: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top w:val="none" w:color="auto" w:sz="0" w:space="1"/>
        <w:left w:val="none" w:color="auto" w:sz="0" w:space="4"/>
        <w:bottom w:val="thinThickSmallGap" w:color="3669AB" w:sz="24" w:space="0"/>
        <w:right w:val="none" w:color="auto" w:sz="0" w:space="4"/>
        <w:between w:val="none" w:color="auto" w:sz="0" w:space="0"/>
      </w:pBdr>
      <w:kinsoku w:val="0"/>
      <w:autoSpaceDE w:val="0"/>
      <w:autoSpaceDN w:val="0"/>
      <w:adjustRightInd w:val="0"/>
      <w:snapToGrid w:val="0"/>
      <w:spacing w:line="240" w:lineRule="auto"/>
      <w:ind w:right="420" w:rightChars="200"/>
      <w:jc w:val="right"/>
      <w:textAlignment w:val="baseline"/>
      <w:rPr>
        <w:rFonts w:hint="eastAsia" w:eastAsia="宋体"/>
        <w:sz w:val="2"/>
        <w:lang w:eastAsia="zh-CN"/>
      </w:rPr>
    </w:pPr>
    <w:r>
      <w:rPr>
        <w:sz w:val="2"/>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4"/>
                    </w:pPr>
                  </w:p>
                </w:txbxContent>
              </v:textbox>
            </v:shape>
          </w:pict>
        </mc:Fallback>
      </mc:AlternateContent>
    </w:r>
    <w:r>
      <w:rPr>
        <w:rFonts w:hint="eastAsia" w:eastAsia="宋体"/>
        <w:sz w:val="2"/>
        <w:lang w:eastAsia="zh-CN"/>
      </w:rPr>
      <w:drawing>
        <wp:inline distT="0" distB="0" distL="114300" distR="114300">
          <wp:extent cx="2263140" cy="810895"/>
          <wp:effectExtent l="0" t="0" r="3810" b="0"/>
          <wp:docPr id="3" name="图片 3"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pPr>
      <w:pStyle w:val="2"/>
      <w:pBdr>
        <w:bottom w:val="single" w:color="3669AB" w:sz="4" w:space="0"/>
      </w:pBdr>
      <w:spacing w:line="240" w:lineRule="auto"/>
      <w:ind w:right="420" w:rightChars="200"/>
      <w:jc w:val="both"/>
      <w:rPr>
        <w:rFonts w:hint="eastAsia" w:eastAsia="宋体"/>
        <w:color w:val="FFFFFF" w:themeColor="background1"/>
        <w:sz w:val="2"/>
        <w:lang w:eastAsia="zh-CN"/>
        <w14:textFill>
          <w14:solidFill>
            <w14:schemeClr w14:val="bg1"/>
          </w14:solidFill>
        </w14:textFil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s>
  <w:rsids>
    <w:rsidRoot w:val="59DE62A0"/>
    <w:rsid w:val="000A785F"/>
    <w:rsid w:val="00593490"/>
    <w:rsid w:val="00920750"/>
    <w:rsid w:val="00CA7EEA"/>
    <w:rsid w:val="00D348C5"/>
    <w:rsid w:val="011E3D92"/>
    <w:rsid w:val="01486DF0"/>
    <w:rsid w:val="018F67B1"/>
    <w:rsid w:val="019734A3"/>
    <w:rsid w:val="01B6046E"/>
    <w:rsid w:val="01C257A0"/>
    <w:rsid w:val="01FA65AD"/>
    <w:rsid w:val="02A97FD3"/>
    <w:rsid w:val="02B7624C"/>
    <w:rsid w:val="02BC7D06"/>
    <w:rsid w:val="033C0E47"/>
    <w:rsid w:val="03661A20"/>
    <w:rsid w:val="03AA4003"/>
    <w:rsid w:val="03D44348"/>
    <w:rsid w:val="03D64DF8"/>
    <w:rsid w:val="0402799B"/>
    <w:rsid w:val="04405814"/>
    <w:rsid w:val="04695C6C"/>
    <w:rsid w:val="04725735"/>
    <w:rsid w:val="0495080F"/>
    <w:rsid w:val="04CD0E7B"/>
    <w:rsid w:val="04E43544"/>
    <w:rsid w:val="04E55250"/>
    <w:rsid w:val="053D4696"/>
    <w:rsid w:val="054933A7"/>
    <w:rsid w:val="056D52E8"/>
    <w:rsid w:val="05C869C2"/>
    <w:rsid w:val="06D860E7"/>
    <w:rsid w:val="06E91363"/>
    <w:rsid w:val="072919FB"/>
    <w:rsid w:val="07375BAD"/>
    <w:rsid w:val="07652B87"/>
    <w:rsid w:val="07950B26"/>
    <w:rsid w:val="07EB25E1"/>
    <w:rsid w:val="07F5280A"/>
    <w:rsid w:val="080F6B2A"/>
    <w:rsid w:val="089E2E0C"/>
    <w:rsid w:val="08B5322E"/>
    <w:rsid w:val="09174F67"/>
    <w:rsid w:val="09252A9B"/>
    <w:rsid w:val="093E76C7"/>
    <w:rsid w:val="09491BC8"/>
    <w:rsid w:val="09840E52"/>
    <w:rsid w:val="099A2423"/>
    <w:rsid w:val="09AC6674"/>
    <w:rsid w:val="09F02DF6"/>
    <w:rsid w:val="09F31EAA"/>
    <w:rsid w:val="0A1470E4"/>
    <w:rsid w:val="0A2A37A7"/>
    <w:rsid w:val="0A533A62"/>
    <w:rsid w:val="0A7D5FCD"/>
    <w:rsid w:val="0A823CEB"/>
    <w:rsid w:val="0A8F399C"/>
    <w:rsid w:val="0A9B3267"/>
    <w:rsid w:val="0AA82AC5"/>
    <w:rsid w:val="0ABF0394"/>
    <w:rsid w:val="0AFD2C6A"/>
    <w:rsid w:val="0B0C10FF"/>
    <w:rsid w:val="0B116814"/>
    <w:rsid w:val="0B775713"/>
    <w:rsid w:val="0B7C44D7"/>
    <w:rsid w:val="0BA87886"/>
    <w:rsid w:val="0C023101"/>
    <w:rsid w:val="0C1E10EA"/>
    <w:rsid w:val="0C6311F3"/>
    <w:rsid w:val="0C7426EC"/>
    <w:rsid w:val="0D3A56A0"/>
    <w:rsid w:val="0D6945E7"/>
    <w:rsid w:val="0D766D04"/>
    <w:rsid w:val="0D815DD4"/>
    <w:rsid w:val="0E211365"/>
    <w:rsid w:val="0E4F7C80"/>
    <w:rsid w:val="0E8A6F0A"/>
    <w:rsid w:val="0EC40C69"/>
    <w:rsid w:val="0F0E09E8"/>
    <w:rsid w:val="0F425337"/>
    <w:rsid w:val="0FB7564B"/>
    <w:rsid w:val="0FD85A54"/>
    <w:rsid w:val="0FDC5544"/>
    <w:rsid w:val="101E5B5C"/>
    <w:rsid w:val="103B02B6"/>
    <w:rsid w:val="104135F9"/>
    <w:rsid w:val="105A46BB"/>
    <w:rsid w:val="10A51DDA"/>
    <w:rsid w:val="10F1501F"/>
    <w:rsid w:val="1126167A"/>
    <w:rsid w:val="115F642C"/>
    <w:rsid w:val="119A2EC2"/>
    <w:rsid w:val="11DF575B"/>
    <w:rsid w:val="12064AFA"/>
    <w:rsid w:val="12837EF9"/>
    <w:rsid w:val="12B72AC8"/>
    <w:rsid w:val="12DD56D0"/>
    <w:rsid w:val="12E453E1"/>
    <w:rsid w:val="130A686C"/>
    <w:rsid w:val="13914897"/>
    <w:rsid w:val="13E83022"/>
    <w:rsid w:val="145B4DEA"/>
    <w:rsid w:val="146B1AFA"/>
    <w:rsid w:val="148B7538"/>
    <w:rsid w:val="14E03753"/>
    <w:rsid w:val="15357EA3"/>
    <w:rsid w:val="1546345F"/>
    <w:rsid w:val="157A3DE6"/>
    <w:rsid w:val="15BF56EC"/>
    <w:rsid w:val="15FA0A52"/>
    <w:rsid w:val="162163A6"/>
    <w:rsid w:val="163007A4"/>
    <w:rsid w:val="16323E9D"/>
    <w:rsid w:val="16526560"/>
    <w:rsid w:val="16532BAF"/>
    <w:rsid w:val="167F4E7B"/>
    <w:rsid w:val="16AB5CAD"/>
    <w:rsid w:val="16B17A67"/>
    <w:rsid w:val="16C117E9"/>
    <w:rsid w:val="16CE195E"/>
    <w:rsid w:val="16E84EEA"/>
    <w:rsid w:val="16ED5F07"/>
    <w:rsid w:val="17231CAA"/>
    <w:rsid w:val="1750680B"/>
    <w:rsid w:val="17602EFE"/>
    <w:rsid w:val="179E5F3A"/>
    <w:rsid w:val="17A62F40"/>
    <w:rsid w:val="17C36FE9"/>
    <w:rsid w:val="17EF6030"/>
    <w:rsid w:val="181A30AD"/>
    <w:rsid w:val="188F46B1"/>
    <w:rsid w:val="18AB1F57"/>
    <w:rsid w:val="18BF5A03"/>
    <w:rsid w:val="18DA6CE0"/>
    <w:rsid w:val="193957B5"/>
    <w:rsid w:val="19891B44"/>
    <w:rsid w:val="19E37FA1"/>
    <w:rsid w:val="1A1A3838"/>
    <w:rsid w:val="1A7F5449"/>
    <w:rsid w:val="1AB33345"/>
    <w:rsid w:val="1AEE342A"/>
    <w:rsid w:val="1AFE6CB6"/>
    <w:rsid w:val="1B0B3181"/>
    <w:rsid w:val="1B143435"/>
    <w:rsid w:val="1B593EEC"/>
    <w:rsid w:val="1BCC2910"/>
    <w:rsid w:val="1BE952E4"/>
    <w:rsid w:val="1BEC2FB3"/>
    <w:rsid w:val="1C220782"/>
    <w:rsid w:val="1C2F2E9F"/>
    <w:rsid w:val="1C3C502D"/>
    <w:rsid w:val="1C56667E"/>
    <w:rsid w:val="1C705992"/>
    <w:rsid w:val="1C847E13"/>
    <w:rsid w:val="1C9871D4"/>
    <w:rsid w:val="1CB6711D"/>
    <w:rsid w:val="1CDB7F58"/>
    <w:rsid w:val="1D063C00"/>
    <w:rsid w:val="1D077978"/>
    <w:rsid w:val="1D5038FF"/>
    <w:rsid w:val="1DE026A3"/>
    <w:rsid w:val="1EDA46D4"/>
    <w:rsid w:val="1F047D4E"/>
    <w:rsid w:val="1F2E743E"/>
    <w:rsid w:val="1F43738D"/>
    <w:rsid w:val="1F570A81"/>
    <w:rsid w:val="1FAA1158"/>
    <w:rsid w:val="1FBB3CE7"/>
    <w:rsid w:val="1FCF6E73"/>
    <w:rsid w:val="1FD955FC"/>
    <w:rsid w:val="1FE453E9"/>
    <w:rsid w:val="200B4005"/>
    <w:rsid w:val="201C373B"/>
    <w:rsid w:val="203B1E13"/>
    <w:rsid w:val="2040567B"/>
    <w:rsid w:val="213571AA"/>
    <w:rsid w:val="213836B0"/>
    <w:rsid w:val="213B4094"/>
    <w:rsid w:val="21893052"/>
    <w:rsid w:val="21934DFE"/>
    <w:rsid w:val="219E4C0D"/>
    <w:rsid w:val="224C47AB"/>
    <w:rsid w:val="22CF093F"/>
    <w:rsid w:val="22F20137"/>
    <w:rsid w:val="23476D20"/>
    <w:rsid w:val="23517B9F"/>
    <w:rsid w:val="235F71C6"/>
    <w:rsid w:val="23713D9D"/>
    <w:rsid w:val="23F24EDE"/>
    <w:rsid w:val="23F82635"/>
    <w:rsid w:val="24613C0B"/>
    <w:rsid w:val="24651B54"/>
    <w:rsid w:val="2490190B"/>
    <w:rsid w:val="24F212CA"/>
    <w:rsid w:val="25096983"/>
    <w:rsid w:val="25323DC4"/>
    <w:rsid w:val="25324D05"/>
    <w:rsid w:val="253B28B5"/>
    <w:rsid w:val="25472113"/>
    <w:rsid w:val="25A3141D"/>
    <w:rsid w:val="26591245"/>
    <w:rsid w:val="269C3827"/>
    <w:rsid w:val="269E134D"/>
    <w:rsid w:val="26C708A4"/>
    <w:rsid w:val="27104DCE"/>
    <w:rsid w:val="27196C26"/>
    <w:rsid w:val="274912B9"/>
    <w:rsid w:val="275639D6"/>
    <w:rsid w:val="27BA1634"/>
    <w:rsid w:val="27D03788"/>
    <w:rsid w:val="287265EE"/>
    <w:rsid w:val="28D450EA"/>
    <w:rsid w:val="28D5055F"/>
    <w:rsid w:val="28FC39E6"/>
    <w:rsid w:val="29895F83"/>
    <w:rsid w:val="2AA841F2"/>
    <w:rsid w:val="2AF43C32"/>
    <w:rsid w:val="2BCA04EF"/>
    <w:rsid w:val="2C5030EA"/>
    <w:rsid w:val="2C7C5C8D"/>
    <w:rsid w:val="2C934D84"/>
    <w:rsid w:val="2CC413E2"/>
    <w:rsid w:val="2CE028C6"/>
    <w:rsid w:val="2D012F66"/>
    <w:rsid w:val="2D771923"/>
    <w:rsid w:val="2D776454"/>
    <w:rsid w:val="2D7B5F44"/>
    <w:rsid w:val="2DA84860"/>
    <w:rsid w:val="2DEC299E"/>
    <w:rsid w:val="2DFB5908"/>
    <w:rsid w:val="2E0065CE"/>
    <w:rsid w:val="2E312AA7"/>
    <w:rsid w:val="2E746294"/>
    <w:rsid w:val="2EF22236"/>
    <w:rsid w:val="2F1F6DA3"/>
    <w:rsid w:val="2F391C13"/>
    <w:rsid w:val="2F666780"/>
    <w:rsid w:val="2FA63021"/>
    <w:rsid w:val="2FAA2B11"/>
    <w:rsid w:val="2FF41FDE"/>
    <w:rsid w:val="2FFB511A"/>
    <w:rsid w:val="30155912"/>
    <w:rsid w:val="3070283C"/>
    <w:rsid w:val="309A4933"/>
    <w:rsid w:val="30C9346B"/>
    <w:rsid w:val="30FF50DE"/>
    <w:rsid w:val="31197F4E"/>
    <w:rsid w:val="311D7312"/>
    <w:rsid w:val="313E79B5"/>
    <w:rsid w:val="318A49A8"/>
    <w:rsid w:val="31D644AB"/>
    <w:rsid w:val="32554509"/>
    <w:rsid w:val="32A24300"/>
    <w:rsid w:val="32E92FB9"/>
    <w:rsid w:val="334E2397"/>
    <w:rsid w:val="33526CEF"/>
    <w:rsid w:val="33EC0EFE"/>
    <w:rsid w:val="33F8661C"/>
    <w:rsid w:val="34945433"/>
    <w:rsid w:val="354B627A"/>
    <w:rsid w:val="356814A4"/>
    <w:rsid w:val="36C26992"/>
    <w:rsid w:val="36EF34FF"/>
    <w:rsid w:val="3710594F"/>
    <w:rsid w:val="375D66BB"/>
    <w:rsid w:val="376B702A"/>
    <w:rsid w:val="381474C6"/>
    <w:rsid w:val="38183E1B"/>
    <w:rsid w:val="38295077"/>
    <w:rsid w:val="38613F89"/>
    <w:rsid w:val="38D37AC3"/>
    <w:rsid w:val="38E30E42"/>
    <w:rsid w:val="38F66DC7"/>
    <w:rsid w:val="39377035"/>
    <w:rsid w:val="39AB195F"/>
    <w:rsid w:val="3A1439A9"/>
    <w:rsid w:val="3A357A7E"/>
    <w:rsid w:val="3A6B10EF"/>
    <w:rsid w:val="3A8F494D"/>
    <w:rsid w:val="3AAA7E69"/>
    <w:rsid w:val="3AEB650A"/>
    <w:rsid w:val="3AF5356F"/>
    <w:rsid w:val="3AF61300"/>
    <w:rsid w:val="3B3460C0"/>
    <w:rsid w:val="3B755158"/>
    <w:rsid w:val="3B837F8F"/>
    <w:rsid w:val="3B842468"/>
    <w:rsid w:val="3B862684"/>
    <w:rsid w:val="3BA90120"/>
    <w:rsid w:val="3BEB0739"/>
    <w:rsid w:val="3C241E9D"/>
    <w:rsid w:val="3C485465"/>
    <w:rsid w:val="3C4E5B21"/>
    <w:rsid w:val="3C540EF7"/>
    <w:rsid w:val="3C917BA0"/>
    <w:rsid w:val="3CBA010B"/>
    <w:rsid w:val="3CC11038"/>
    <w:rsid w:val="3D255ECD"/>
    <w:rsid w:val="3D7824A0"/>
    <w:rsid w:val="3D932E36"/>
    <w:rsid w:val="3DEB0EC4"/>
    <w:rsid w:val="3DF02037"/>
    <w:rsid w:val="3DF17B5D"/>
    <w:rsid w:val="3DF638A0"/>
    <w:rsid w:val="3E0C1200"/>
    <w:rsid w:val="3E167563"/>
    <w:rsid w:val="3E2D5039"/>
    <w:rsid w:val="3E4F69BB"/>
    <w:rsid w:val="3E7964D0"/>
    <w:rsid w:val="3E891DA4"/>
    <w:rsid w:val="3EA52668"/>
    <w:rsid w:val="3EBD0EE2"/>
    <w:rsid w:val="3F141D55"/>
    <w:rsid w:val="3F682C26"/>
    <w:rsid w:val="3FA330D9"/>
    <w:rsid w:val="3FAF7CCF"/>
    <w:rsid w:val="3FE43E1D"/>
    <w:rsid w:val="4004305D"/>
    <w:rsid w:val="40EE65D6"/>
    <w:rsid w:val="416F7716"/>
    <w:rsid w:val="419B49AF"/>
    <w:rsid w:val="41A73354"/>
    <w:rsid w:val="41C31810"/>
    <w:rsid w:val="41C757A4"/>
    <w:rsid w:val="41D41C6F"/>
    <w:rsid w:val="42162288"/>
    <w:rsid w:val="428B1AA5"/>
    <w:rsid w:val="429D02B3"/>
    <w:rsid w:val="429F1251"/>
    <w:rsid w:val="43004B7A"/>
    <w:rsid w:val="430F539D"/>
    <w:rsid w:val="43212C92"/>
    <w:rsid w:val="43574906"/>
    <w:rsid w:val="43972F54"/>
    <w:rsid w:val="443A0129"/>
    <w:rsid w:val="449F47B6"/>
    <w:rsid w:val="450308A1"/>
    <w:rsid w:val="45131232"/>
    <w:rsid w:val="45401AF6"/>
    <w:rsid w:val="457804D5"/>
    <w:rsid w:val="45EC3A2B"/>
    <w:rsid w:val="45EC7588"/>
    <w:rsid w:val="45F20916"/>
    <w:rsid w:val="463236F2"/>
    <w:rsid w:val="463D7DE3"/>
    <w:rsid w:val="4694464B"/>
    <w:rsid w:val="46954ED9"/>
    <w:rsid w:val="46A61E2C"/>
    <w:rsid w:val="46F72688"/>
    <w:rsid w:val="46FB5788"/>
    <w:rsid w:val="475A2C17"/>
    <w:rsid w:val="47A83982"/>
    <w:rsid w:val="47C66AE7"/>
    <w:rsid w:val="47D26C51"/>
    <w:rsid w:val="47DE55F6"/>
    <w:rsid w:val="47E04ECA"/>
    <w:rsid w:val="483D056E"/>
    <w:rsid w:val="485422E0"/>
    <w:rsid w:val="486C49B0"/>
    <w:rsid w:val="486F10A5"/>
    <w:rsid w:val="487565D5"/>
    <w:rsid w:val="48C42A3E"/>
    <w:rsid w:val="4921579A"/>
    <w:rsid w:val="493354CD"/>
    <w:rsid w:val="49341FF9"/>
    <w:rsid w:val="493556E9"/>
    <w:rsid w:val="49725FF6"/>
    <w:rsid w:val="49F04DE4"/>
    <w:rsid w:val="4A0B01F8"/>
    <w:rsid w:val="4A175E73"/>
    <w:rsid w:val="4A216F8B"/>
    <w:rsid w:val="4A560560"/>
    <w:rsid w:val="4A954A5F"/>
    <w:rsid w:val="4ADF52C2"/>
    <w:rsid w:val="4B1355B6"/>
    <w:rsid w:val="4B2E23F0"/>
    <w:rsid w:val="4B7E2B72"/>
    <w:rsid w:val="4B8244EA"/>
    <w:rsid w:val="4BDE5BC4"/>
    <w:rsid w:val="4C225B2C"/>
    <w:rsid w:val="4C8C4B93"/>
    <w:rsid w:val="4CA010CC"/>
    <w:rsid w:val="4CEC6287"/>
    <w:rsid w:val="4D5325E2"/>
    <w:rsid w:val="4DC5444C"/>
    <w:rsid w:val="4DF0398D"/>
    <w:rsid w:val="4DFE3442"/>
    <w:rsid w:val="4E125FF9"/>
    <w:rsid w:val="4EA053B3"/>
    <w:rsid w:val="4EAB2916"/>
    <w:rsid w:val="4ED908C5"/>
    <w:rsid w:val="4F053A58"/>
    <w:rsid w:val="4F471CD3"/>
    <w:rsid w:val="4F590025"/>
    <w:rsid w:val="4F960564"/>
    <w:rsid w:val="50200DCA"/>
    <w:rsid w:val="506D5769"/>
    <w:rsid w:val="50924895"/>
    <w:rsid w:val="512236AA"/>
    <w:rsid w:val="51552C9C"/>
    <w:rsid w:val="52025B23"/>
    <w:rsid w:val="520B6FE7"/>
    <w:rsid w:val="527E5B61"/>
    <w:rsid w:val="528A2602"/>
    <w:rsid w:val="52EB11E0"/>
    <w:rsid w:val="536912CC"/>
    <w:rsid w:val="536C09D1"/>
    <w:rsid w:val="53963CFA"/>
    <w:rsid w:val="540C0A08"/>
    <w:rsid w:val="543B5442"/>
    <w:rsid w:val="54E12D87"/>
    <w:rsid w:val="55055F70"/>
    <w:rsid w:val="55124B31"/>
    <w:rsid w:val="555B2034"/>
    <w:rsid w:val="556829A3"/>
    <w:rsid w:val="557A3281"/>
    <w:rsid w:val="55D50038"/>
    <w:rsid w:val="561641AD"/>
    <w:rsid w:val="56B57E6A"/>
    <w:rsid w:val="56C360E3"/>
    <w:rsid w:val="56C85EF8"/>
    <w:rsid w:val="56CD6F61"/>
    <w:rsid w:val="570341F8"/>
    <w:rsid w:val="571D6A2B"/>
    <w:rsid w:val="575B27BF"/>
    <w:rsid w:val="57B67C8D"/>
    <w:rsid w:val="57D40540"/>
    <w:rsid w:val="57EF4CB5"/>
    <w:rsid w:val="58346B6C"/>
    <w:rsid w:val="589D1393"/>
    <w:rsid w:val="58C3061C"/>
    <w:rsid w:val="58E70221"/>
    <w:rsid w:val="58F22CAF"/>
    <w:rsid w:val="59314975"/>
    <w:rsid w:val="59C10AB4"/>
    <w:rsid w:val="59D56296"/>
    <w:rsid w:val="59D95C1D"/>
    <w:rsid w:val="59DE62A0"/>
    <w:rsid w:val="59EA1BD8"/>
    <w:rsid w:val="5AA955EF"/>
    <w:rsid w:val="5AE568F8"/>
    <w:rsid w:val="5AE605F2"/>
    <w:rsid w:val="5AF54CD9"/>
    <w:rsid w:val="5AFD593B"/>
    <w:rsid w:val="5B8A42EF"/>
    <w:rsid w:val="5BBC1352"/>
    <w:rsid w:val="5BFB631F"/>
    <w:rsid w:val="5C003935"/>
    <w:rsid w:val="5C0351D3"/>
    <w:rsid w:val="5C3E4412"/>
    <w:rsid w:val="5C3F3891"/>
    <w:rsid w:val="5C484871"/>
    <w:rsid w:val="5C875E04"/>
    <w:rsid w:val="5C967DF5"/>
    <w:rsid w:val="5CFF1E3E"/>
    <w:rsid w:val="5D7A3273"/>
    <w:rsid w:val="5DAA334D"/>
    <w:rsid w:val="5DDF5B1F"/>
    <w:rsid w:val="5DE352BC"/>
    <w:rsid w:val="5E253BAB"/>
    <w:rsid w:val="5ED21F55"/>
    <w:rsid w:val="5EDA6D5D"/>
    <w:rsid w:val="5F0D76A3"/>
    <w:rsid w:val="5F117C07"/>
    <w:rsid w:val="5F230066"/>
    <w:rsid w:val="5F2931A3"/>
    <w:rsid w:val="5F3538F6"/>
    <w:rsid w:val="5F381638"/>
    <w:rsid w:val="5F385194"/>
    <w:rsid w:val="5F3F6522"/>
    <w:rsid w:val="5F4639E0"/>
    <w:rsid w:val="5F686E8E"/>
    <w:rsid w:val="5F73441E"/>
    <w:rsid w:val="5F8D1984"/>
    <w:rsid w:val="5FAD7930"/>
    <w:rsid w:val="5FC829BC"/>
    <w:rsid w:val="5FCF3D4A"/>
    <w:rsid w:val="5FEA2B00"/>
    <w:rsid w:val="60883EF9"/>
    <w:rsid w:val="608A3882"/>
    <w:rsid w:val="608B2C81"/>
    <w:rsid w:val="608F34D9"/>
    <w:rsid w:val="60AF3879"/>
    <w:rsid w:val="60EF149E"/>
    <w:rsid w:val="61693230"/>
    <w:rsid w:val="61B84E22"/>
    <w:rsid w:val="61FD5295"/>
    <w:rsid w:val="628D3A49"/>
    <w:rsid w:val="62E83E16"/>
    <w:rsid w:val="631F28F3"/>
    <w:rsid w:val="636E387A"/>
    <w:rsid w:val="636E5E0F"/>
    <w:rsid w:val="637349EC"/>
    <w:rsid w:val="639C3F43"/>
    <w:rsid w:val="63A66B70"/>
    <w:rsid w:val="63DF2082"/>
    <w:rsid w:val="63ED479F"/>
    <w:rsid w:val="63F10999"/>
    <w:rsid w:val="641F4B74"/>
    <w:rsid w:val="6509385A"/>
    <w:rsid w:val="653D1756"/>
    <w:rsid w:val="656C55D4"/>
    <w:rsid w:val="65AD4482"/>
    <w:rsid w:val="65B25CA0"/>
    <w:rsid w:val="665243A2"/>
    <w:rsid w:val="668C58AE"/>
    <w:rsid w:val="66A7157D"/>
    <w:rsid w:val="66B5531C"/>
    <w:rsid w:val="66BC37E2"/>
    <w:rsid w:val="66DB2FD4"/>
    <w:rsid w:val="670B7AEA"/>
    <w:rsid w:val="671E1113"/>
    <w:rsid w:val="672A3F5C"/>
    <w:rsid w:val="6756421A"/>
    <w:rsid w:val="67630CEF"/>
    <w:rsid w:val="67780EDA"/>
    <w:rsid w:val="67A4786A"/>
    <w:rsid w:val="67FA392E"/>
    <w:rsid w:val="688A7DAC"/>
    <w:rsid w:val="68A5389A"/>
    <w:rsid w:val="68AF1D6D"/>
    <w:rsid w:val="68B161D3"/>
    <w:rsid w:val="68D93544"/>
    <w:rsid w:val="690B56C7"/>
    <w:rsid w:val="690C3CE7"/>
    <w:rsid w:val="69416EAD"/>
    <w:rsid w:val="694C3FC0"/>
    <w:rsid w:val="69F66377"/>
    <w:rsid w:val="6A2627B9"/>
    <w:rsid w:val="6A503CD9"/>
    <w:rsid w:val="6A696B49"/>
    <w:rsid w:val="6AC65D4A"/>
    <w:rsid w:val="6AD46A66"/>
    <w:rsid w:val="6AED37F2"/>
    <w:rsid w:val="6B621F16"/>
    <w:rsid w:val="6B7D161D"/>
    <w:rsid w:val="6B9023FF"/>
    <w:rsid w:val="6BD41C61"/>
    <w:rsid w:val="6C1D4188"/>
    <w:rsid w:val="6CF9407C"/>
    <w:rsid w:val="6D194017"/>
    <w:rsid w:val="6D837F22"/>
    <w:rsid w:val="6DD10C8D"/>
    <w:rsid w:val="6DEF55B7"/>
    <w:rsid w:val="6DFA6436"/>
    <w:rsid w:val="6E22773B"/>
    <w:rsid w:val="6E602011"/>
    <w:rsid w:val="6E761835"/>
    <w:rsid w:val="6E8126B3"/>
    <w:rsid w:val="6E82467D"/>
    <w:rsid w:val="6EA6211A"/>
    <w:rsid w:val="6EC23191"/>
    <w:rsid w:val="6F5837CB"/>
    <w:rsid w:val="6F6D5423"/>
    <w:rsid w:val="6F7C0E3D"/>
    <w:rsid w:val="6F8E41A4"/>
    <w:rsid w:val="6FA32AFD"/>
    <w:rsid w:val="6FEC0000"/>
    <w:rsid w:val="6FEE70E9"/>
    <w:rsid w:val="703235D5"/>
    <w:rsid w:val="70380103"/>
    <w:rsid w:val="70705949"/>
    <w:rsid w:val="70744007"/>
    <w:rsid w:val="70FF075C"/>
    <w:rsid w:val="710650F2"/>
    <w:rsid w:val="71431EA2"/>
    <w:rsid w:val="715C2F64"/>
    <w:rsid w:val="71804EA4"/>
    <w:rsid w:val="722F68CA"/>
    <w:rsid w:val="724D08F0"/>
    <w:rsid w:val="72534367"/>
    <w:rsid w:val="72A5093A"/>
    <w:rsid w:val="73634A7D"/>
    <w:rsid w:val="73682094"/>
    <w:rsid w:val="737C169B"/>
    <w:rsid w:val="739C3AEB"/>
    <w:rsid w:val="73C343E4"/>
    <w:rsid w:val="73F25E01"/>
    <w:rsid w:val="74117C8D"/>
    <w:rsid w:val="74806F69"/>
    <w:rsid w:val="75717E89"/>
    <w:rsid w:val="758331B5"/>
    <w:rsid w:val="762A27DA"/>
    <w:rsid w:val="76524935"/>
    <w:rsid w:val="76816FC9"/>
    <w:rsid w:val="76832D41"/>
    <w:rsid w:val="773D1603"/>
    <w:rsid w:val="774A6156"/>
    <w:rsid w:val="77D71596"/>
    <w:rsid w:val="78C4148F"/>
    <w:rsid w:val="7924080B"/>
    <w:rsid w:val="792D540E"/>
    <w:rsid w:val="798F3644"/>
    <w:rsid w:val="79D10450"/>
    <w:rsid w:val="7A286917"/>
    <w:rsid w:val="7A290118"/>
    <w:rsid w:val="7A5C2227"/>
    <w:rsid w:val="7A601D17"/>
    <w:rsid w:val="7A97688D"/>
    <w:rsid w:val="7AF256B6"/>
    <w:rsid w:val="7AF449C4"/>
    <w:rsid w:val="7B051225"/>
    <w:rsid w:val="7B0846E3"/>
    <w:rsid w:val="7B914268"/>
    <w:rsid w:val="7B965AB3"/>
    <w:rsid w:val="7C444D20"/>
    <w:rsid w:val="7C7C0DEA"/>
    <w:rsid w:val="7CB00608"/>
    <w:rsid w:val="7D07647A"/>
    <w:rsid w:val="7D3935CB"/>
    <w:rsid w:val="7D9A4AFF"/>
    <w:rsid w:val="7DAC5273"/>
    <w:rsid w:val="7DB14637"/>
    <w:rsid w:val="7DBF464A"/>
    <w:rsid w:val="7DF84014"/>
    <w:rsid w:val="7E0105AB"/>
    <w:rsid w:val="7E074257"/>
    <w:rsid w:val="7E795155"/>
    <w:rsid w:val="7E9F4667"/>
    <w:rsid w:val="7EAD3051"/>
    <w:rsid w:val="7EB20667"/>
    <w:rsid w:val="7EF94618"/>
    <w:rsid w:val="7F211349"/>
    <w:rsid w:val="7F2C21C7"/>
    <w:rsid w:val="7F405C73"/>
    <w:rsid w:val="7F460DAF"/>
    <w:rsid w:val="7F4946CE"/>
    <w:rsid w:val="7F631B2A"/>
    <w:rsid w:val="7F65392B"/>
    <w:rsid w:val="7FC9626B"/>
    <w:rsid w:val="7FD0349B"/>
    <w:rsid w:val="7FEC7B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8">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Arial" w:hAnsi="Arial" w:eastAsia="Arial" w:cs="Arial"/>
      <w:sz w:val="21"/>
      <w:szCs w:val="21"/>
      <w:lang w:val="en-US" w:eastAsia="en-US" w:bidi="ar-SA"/>
    </w:r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autoRedefine/>
    <w:qFormat/>
    <w:uiPriority w:val="0"/>
    <w:rPr>
      <w:sz w:val="24"/>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autoRedefine/>
    <w:qFormat/>
    <w:uiPriority w:val="0"/>
    <w:rPr>
      <w:color w:val="0000FF"/>
      <w:u w:val="single"/>
    </w:rPr>
  </w:style>
  <w:style w:type="paragraph" w:customStyle="1" w:styleId="10">
    <w:name w:val="Table Text"/>
    <w:basedOn w:val="1"/>
    <w:autoRedefine/>
    <w:semiHidden/>
    <w:qFormat/>
    <w:uiPriority w:val="0"/>
    <w:rPr>
      <w:rFonts w:ascii="微软雅黑" w:hAnsi="微软雅黑" w:eastAsia="微软雅黑" w:cs="微软雅黑"/>
      <w:sz w:val="17"/>
      <w:szCs w:val="17"/>
      <w:lang w:val="en-US" w:eastAsia="en-US" w:bidi="ar-SA"/>
    </w:rPr>
  </w:style>
  <w:style w:type="table" w:customStyle="1" w:styleId="11">
    <w:name w:val="Table Normal"/>
    <w:autoRedefine/>
    <w:semiHidden/>
    <w:unhideWhenUsed/>
    <w:qFormat/>
    <w:uiPriority w:val="0"/>
    <w:tblPr>
      <w:tblCellMar>
        <w:top w:w="0" w:type="dxa"/>
        <w:left w:w="0" w:type="dxa"/>
        <w:bottom w:w="0" w:type="dxa"/>
        <w:right w:w="0" w:type="dxa"/>
      </w:tblCellMar>
    </w:tblPr>
  </w:style>
  <w:style w:type="paragraph" w:customStyle="1" w:styleId="12">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3232</Words>
  <Characters>3863</Characters>
  <Lines>0</Lines>
  <Paragraphs>0</Paragraphs>
  <TotalTime>4</TotalTime>
  <ScaleCrop>false</ScaleCrop>
  <LinksUpToDate>false</LinksUpToDate>
  <CharactersWithSpaces>3909</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2024-03-19T23:57:00Z</dcterms:created>
  <dc:creator>WPS_1180513195</dc:creator>
  <cp:lastModifiedBy>WPS_1180513195</cp:lastModifiedBy>
  <dcterms:modified xsi:type="dcterms:W3CDTF">2024-03-26T01:44:38Z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ICV">
    <vt:lpwstr>D23AE21371AD4B2A936F48373C5D0EDD_13</vt:lpwstr>
  </property>
</Properties>
</file>