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27</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12"/>
          <w:sz w:val="24"/>
          <w:szCs w:val="24"/>
          <w:lang w:eastAsia="zh-CN"/>
        </w:rPr>
      </w:pPr>
      <w:r>
        <w:rPr>
          <w:rFonts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27</w:t>
      </w:r>
      <w:r>
        <w:rPr>
          <w:rFonts w:ascii="微软雅黑" w:hAnsi="微软雅黑" w:eastAsia="微软雅黑" w:cs="微软雅黑"/>
          <w:spacing w:val="4"/>
          <w:sz w:val="24"/>
          <w:szCs w:val="24"/>
        </w:rPr>
        <w:t>日，道指</w:t>
      </w:r>
      <w:r>
        <w:rPr>
          <w:rFonts w:hint="eastAsia" w:ascii="微软雅黑" w:hAnsi="微软雅黑" w:eastAsia="微软雅黑" w:cs="微软雅黑"/>
          <w:spacing w:val="4"/>
          <w:sz w:val="24"/>
          <w:szCs w:val="24"/>
        </w:rPr>
        <w:t>跌0.08%报39282.33点，</w:t>
      </w:r>
      <w:r>
        <w:rPr>
          <w:rFonts w:ascii="微软雅黑" w:hAnsi="微软雅黑" w:eastAsia="微软雅黑" w:cs="微软雅黑"/>
          <w:spacing w:val="4"/>
          <w:sz w:val="24"/>
          <w:szCs w:val="24"/>
        </w:rPr>
        <w:t>标普500指数</w:t>
      </w:r>
      <w:r>
        <w:rPr>
          <w:rFonts w:hint="eastAsia" w:ascii="微软雅黑" w:hAnsi="微软雅黑" w:eastAsia="微软雅黑" w:cs="微软雅黑"/>
          <w:spacing w:val="4"/>
          <w:sz w:val="24"/>
          <w:szCs w:val="24"/>
        </w:rPr>
        <w:t>跌0.28%报5203.58点，</w:t>
      </w:r>
      <w:r>
        <w:rPr>
          <w:rFonts w:ascii="微软雅黑" w:hAnsi="微软雅黑" w:eastAsia="微软雅黑" w:cs="微软雅黑"/>
          <w:spacing w:val="4"/>
          <w:sz w:val="24"/>
          <w:szCs w:val="24"/>
        </w:rPr>
        <w:t>纳指</w:t>
      </w:r>
      <w:r>
        <w:rPr>
          <w:rFonts w:hint="eastAsia" w:ascii="微软雅黑" w:hAnsi="微软雅黑" w:eastAsia="微软雅黑" w:cs="微软雅黑"/>
          <w:spacing w:val="4"/>
          <w:sz w:val="24"/>
          <w:szCs w:val="24"/>
        </w:rPr>
        <w:t>跌0.42%报16315.7点，</w:t>
      </w:r>
      <w:r>
        <w:rPr>
          <w:rFonts w:ascii="微软雅黑" w:hAnsi="微软雅黑" w:eastAsia="微软雅黑" w:cs="微软雅黑"/>
          <w:spacing w:val="4"/>
          <w:sz w:val="24"/>
          <w:szCs w:val="24"/>
        </w:rPr>
        <w:t>道指</w:t>
      </w:r>
      <w:r>
        <w:rPr>
          <w:rFonts w:hint="eastAsia" w:ascii="微软雅黑" w:hAnsi="微软雅黑" w:eastAsia="微软雅黑" w:cs="微软雅黑"/>
          <w:spacing w:val="4"/>
          <w:sz w:val="24"/>
          <w:szCs w:val="24"/>
        </w:rPr>
        <w:t>、</w:t>
      </w:r>
      <w:r>
        <w:rPr>
          <w:rFonts w:ascii="微软雅黑" w:hAnsi="微软雅黑" w:eastAsia="微软雅黑" w:cs="微软雅黑"/>
          <w:spacing w:val="4"/>
          <w:sz w:val="24"/>
          <w:szCs w:val="24"/>
        </w:rPr>
        <w:t>标普500指数</w:t>
      </w:r>
      <w:r>
        <w:rPr>
          <w:rFonts w:hint="eastAsia" w:ascii="微软雅黑" w:hAnsi="微软雅黑" w:eastAsia="微软雅黑" w:cs="微软雅黑"/>
          <w:spacing w:val="4"/>
          <w:sz w:val="24"/>
          <w:szCs w:val="24"/>
        </w:rPr>
        <w:t>录得连续第三日下跌</w:t>
      </w:r>
      <w:r>
        <w:rPr>
          <w:rFonts w:hint="eastAsia" w:ascii="微软雅黑" w:hAnsi="微软雅黑" w:eastAsia="微软雅黑" w:cs="微软雅黑"/>
          <w:spacing w:val="4"/>
          <w:sz w:val="24"/>
          <w:szCs w:val="24"/>
          <w:lang w:eastAsia="zh-CN"/>
        </w:rPr>
        <w:t>。美元指数涨0.08%报104.31，非美货币多数下跌，离岸人民币</w:t>
      </w:r>
      <w:r>
        <w:rPr>
          <w:rFonts w:hint="eastAsia" w:ascii="微软雅黑" w:hAnsi="微软雅黑" w:eastAsia="微软雅黑" w:cs="微软雅黑"/>
          <w:spacing w:val="4"/>
          <w:sz w:val="24"/>
          <w:szCs w:val="24"/>
          <w:lang w:val="en-US" w:eastAsia="zh-CN"/>
        </w:rPr>
        <w:t>兑</w:t>
      </w:r>
      <w:r>
        <w:rPr>
          <w:rFonts w:hint="eastAsia" w:ascii="微软雅黑" w:hAnsi="微软雅黑" w:eastAsia="微软雅黑" w:cs="微软雅黑"/>
          <w:spacing w:val="4"/>
          <w:sz w:val="24"/>
          <w:szCs w:val="24"/>
          <w:lang w:eastAsia="zh-CN"/>
        </w:rPr>
        <w:t>美元涨42个基点报7.2487。国际油价全线下跌，美油5月合约跌0.81%，报81.29美元/桶；布油6月合约跌0.94%，报85.27美元/桶。国际贵金属期货</w:t>
      </w:r>
      <w:r>
        <w:rPr>
          <w:rFonts w:hint="eastAsia" w:ascii="微软雅黑" w:hAnsi="微软雅黑" w:eastAsia="微软雅黑" w:cs="微软雅黑"/>
          <w:spacing w:val="4"/>
          <w:sz w:val="24"/>
          <w:szCs w:val="24"/>
          <w:lang w:val="en-US" w:eastAsia="zh-CN"/>
        </w:rPr>
        <w:t>收盘涨跌不一</w:t>
      </w:r>
      <w:r>
        <w:rPr>
          <w:rFonts w:hint="eastAsia" w:ascii="微软雅黑" w:hAnsi="微软雅黑" w:eastAsia="微软雅黑" w:cs="微软雅黑"/>
          <w:spacing w:val="4"/>
          <w:sz w:val="24"/>
          <w:szCs w:val="24"/>
          <w:lang w:eastAsia="zh-CN"/>
        </w:rPr>
        <w:t>，LME期铜跌0.11%报8863.5美元/吨，COMEX黄金期货涨0.14%报2179.5美元/盎司，COMEX白银期货跌1.15%报24.605美元/盎司</w:t>
      </w:r>
      <w:r>
        <w:rPr>
          <w:rFonts w:ascii="微软雅黑" w:hAnsi="微软雅黑" w:eastAsia="微软雅黑" w:cs="微软雅黑"/>
          <w:spacing w:val="2"/>
          <w:sz w:val="24"/>
          <w:szCs w:val="24"/>
        </w:rPr>
        <w:t>。</w:t>
      </w:r>
      <w:r>
        <w:rPr>
          <w:rFonts w:hint="eastAsia" w:ascii="微软雅黑" w:hAnsi="微软雅黑" w:eastAsia="微软雅黑" w:cs="微软雅黑"/>
          <w:spacing w:val="2"/>
          <w:sz w:val="24"/>
          <w:szCs w:val="24"/>
          <w:lang w:eastAsia="zh-CN"/>
        </w:rPr>
        <w:t xml:space="preserve"> ICE 5月原糖</w:t>
      </w:r>
      <w:r>
        <w:rPr>
          <w:rFonts w:hint="eastAsia" w:ascii="微软雅黑" w:hAnsi="微软雅黑" w:eastAsia="微软雅黑" w:cs="微软雅黑"/>
          <w:spacing w:val="2"/>
          <w:sz w:val="24"/>
          <w:szCs w:val="24"/>
          <w:lang w:val="en-US" w:eastAsia="zh-CN"/>
        </w:rPr>
        <w:t>期货合约</w:t>
      </w:r>
      <w:r>
        <w:rPr>
          <w:rFonts w:hint="eastAsia" w:ascii="微软雅黑" w:hAnsi="微软雅黑" w:eastAsia="微软雅黑" w:cs="微软雅黑"/>
          <w:spacing w:val="12"/>
          <w:sz w:val="24"/>
          <w:szCs w:val="24"/>
        </w:rPr>
        <w:t>收涨2.0%</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结算价报22.39</w:t>
      </w:r>
      <w:r>
        <w:rPr>
          <w:rFonts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。ICE 5月期棉</w:t>
      </w:r>
      <w:r>
        <w:rPr>
          <w:rFonts w:hint="eastAsia" w:ascii="微软雅黑" w:hAnsi="微软雅黑" w:eastAsia="微软雅黑" w:cs="微软雅黑"/>
          <w:spacing w:val="12"/>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涨1.4</w:t>
      </w:r>
      <w:r>
        <w:rPr>
          <w:rFonts w:hint="eastAsia" w:ascii="微软雅黑" w:hAnsi="微软雅黑" w:eastAsia="微软雅黑" w:cs="微软雅黑"/>
          <w:spacing w:val="12"/>
          <w:sz w:val="24"/>
          <w:szCs w:val="24"/>
        </w:rPr>
        <w:t>%，结算价报9</w:t>
      </w:r>
      <w:r>
        <w:rPr>
          <w:rFonts w:hint="eastAsia" w:ascii="微软雅黑" w:hAnsi="微软雅黑" w:eastAsia="微软雅黑" w:cs="微软雅黑"/>
          <w:spacing w:val="12"/>
          <w:sz w:val="24"/>
          <w:szCs w:val="24"/>
          <w:lang w:val="en-US" w:eastAsia="zh-CN"/>
        </w:rPr>
        <w:t>3.41</w:t>
      </w:r>
      <w:r>
        <w:rPr>
          <w:rFonts w:hint="eastAsia"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jc w:val="both"/>
        <w:textAlignment w:val="baseline"/>
        <w:rPr>
          <w:rFonts w:hint="eastAsia" w:ascii="微软雅黑" w:hAnsi="微软雅黑" w:eastAsia="微软雅黑" w:cs="微软雅黑"/>
          <w:spacing w:val="12"/>
          <w:sz w:val="24"/>
          <w:szCs w:val="24"/>
        </w:rPr>
      </w:pPr>
      <w:r>
        <w:drawing>
          <wp:inline distT="0" distB="0" distL="114300" distR="114300">
            <wp:extent cx="6207125" cy="3439160"/>
            <wp:effectExtent l="0" t="0" r="317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207125" cy="3439160"/>
                    </a:xfrm>
                    <a:prstGeom prst="rect">
                      <a:avLst/>
                    </a:prstGeom>
                    <a:noFill/>
                    <a:ln>
                      <a:noFill/>
                    </a:ln>
                  </pic:spPr>
                </pic:pic>
              </a:graphicData>
            </a:graphic>
          </wp:inline>
        </w:drawing>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4"/>
          <w:sz w:val="24"/>
          <w:szCs w:val="24"/>
        </w:rPr>
        <w:t>【美国1月S&amp;P/CS20座大城市未季调房价指数同比升6.59%，预期升6.7%</w:t>
      </w:r>
      <w:r>
        <w:rPr>
          <w:rFonts w:hint="eastAsia" w:ascii="微软雅黑" w:hAnsi="微软雅黑" w:eastAsia="微软雅黑" w:cs="微软雅黑"/>
          <w:spacing w:val="4"/>
          <w:sz w:val="24"/>
          <w:szCs w:val="24"/>
        </w:rPr>
        <w:t>，前值升6.13%；环比降0.1%，前值降0.3%；未季调房价指数317.07，前值317.39。季调后房价指数环比升0.14%，预期升0.2%，前值升0.2%。10座大城市未季调房价指数同比升7.4%</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前值升7%；环比持平，前值升0.2%</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【美国1月FHFA房价指数同比升6.3%，前值升6.6%；环比降0.1%，预期升0.3%，前值升0.1%。1月FHFA房价指数417.5，前值417.8</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【美国至3月22日当周API原油库存增加933.7万桶，预期减少100万桶，前值减少151.9万桶。】</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【高盛</w:t>
      </w:r>
      <w:r>
        <w:rPr>
          <w:rFonts w:hint="eastAsia" w:ascii="微软雅黑" w:hAnsi="微软雅黑" w:eastAsia="微软雅黑" w:cs="微软雅黑"/>
          <w:spacing w:val="4"/>
          <w:sz w:val="24"/>
          <w:szCs w:val="24"/>
          <w:lang w:val="en-US" w:eastAsia="zh-CN"/>
        </w:rPr>
        <w:t>称</w:t>
      </w:r>
      <w:r>
        <w:rPr>
          <w:rFonts w:hint="eastAsia" w:ascii="微软雅黑" w:hAnsi="微软雅黑" w:eastAsia="微软雅黑" w:cs="微软雅黑"/>
          <w:spacing w:val="4"/>
          <w:sz w:val="24"/>
          <w:szCs w:val="24"/>
          <w:lang w:eastAsia="zh-CN"/>
        </w:rPr>
        <w:t>金价短期再度上行的推动因素有限，年底目标价上调至每盎司2300美元。】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【德国4月Gfk消费者信心指数-27.4，预期-27.8，前值-29.0。】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【沙特阿拉伯1月石油出口同比下降13.5%，非石油产品出口增长0.8%。】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【波罗的海干散货指数报1989点，下跌6.31%，连跌六日。】</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【澳大利亚2月未季调CPI同比升3.4%，预期升3.5%，前值升3.4%。】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143" w:type="dxa"/>
            <w:vAlign w:val="top"/>
          </w:tcPr>
          <w:p>
            <w:pPr>
              <w:pStyle w:val="10"/>
              <w:spacing w:before="243" w:line="172" w:lineRule="auto"/>
              <w:ind w:left="94"/>
              <w:jc w:val="left"/>
              <w:rPr>
                <w:sz w:val="19"/>
                <w:szCs w:val="19"/>
              </w:rPr>
            </w:pPr>
            <w:r>
              <w:rPr>
                <w:rFonts w:hint="eastAsia"/>
                <w:b/>
                <w:bCs/>
                <w:spacing w:val="6"/>
                <w:sz w:val="19"/>
                <w:szCs w:val="19"/>
                <w:lang w:val="en-US" w:eastAsia="zh-CN"/>
              </w:rPr>
              <w:t>9：3</w:t>
            </w:r>
            <w:r>
              <w:rPr>
                <w:b/>
                <w:bCs/>
                <w:spacing w:val="6"/>
                <w:sz w:val="19"/>
                <w:szCs w:val="19"/>
              </w:rPr>
              <w:t>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中国2月工业企业利润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143" w:type="dxa"/>
            <w:shd w:val="clear" w:color="auto" w:fill="D3EAFF"/>
            <w:vAlign w:val="top"/>
          </w:tcPr>
          <w:p>
            <w:pPr>
              <w:pStyle w:val="10"/>
              <w:spacing w:before="245" w:line="172" w:lineRule="auto"/>
              <w:ind w:left="101"/>
              <w:jc w:val="left"/>
              <w:rPr>
                <w:rFonts w:hint="default"/>
                <w:sz w:val="19"/>
                <w:szCs w:val="19"/>
                <w:lang w:val="en-US"/>
              </w:rPr>
            </w:pPr>
            <w:r>
              <w:rPr>
                <w:rFonts w:hint="eastAsia"/>
                <w:b/>
                <w:bCs/>
                <w:spacing w:val="5"/>
                <w:sz w:val="19"/>
                <w:szCs w:val="19"/>
                <w:lang w:val="en-US" w:eastAsia="zh-CN"/>
              </w:rPr>
              <w:t>15：45</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法国3月消费者信心指数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18：00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欧盟3月服务业信心指数、工业信心指数、经济景气指数、消费者信心指数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19：00</w:t>
            </w:r>
          </w:p>
        </w:tc>
        <w:tc>
          <w:tcPr>
            <w:tcW w:w="6679" w:type="dxa"/>
            <w:shd w:val="clear" w:color="auto" w:fill="D3EAFF"/>
            <w:vAlign w:val="top"/>
          </w:tcPr>
          <w:p>
            <w:pPr>
              <w:pStyle w:val="10"/>
              <w:spacing w:before="224" w:line="180" w:lineRule="auto"/>
              <w:jc w:val="center"/>
              <w:rPr>
                <w:rFonts w:hint="default"/>
                <w:sz w:val="19"/>
                <w:szCs w:val="19"/>
                <w:lang w:val="en-US"/>
              </w:rPr>
            </w:pPr>
            <w:r>
              <w:rPr>
                <w:rFonts w:hint="eastAsia"/>
                <w:sz w:val="19"/>
                <w:szCs w:val="19"/>
                <w:lang w:val="en-US" w:eastAsia="zh-CN"/>
              </w:rPr>
              <w:t>美国3月22日MBA购买指数、再融资指数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6"/>
                <w:sz w:val="19"/>
                <w:szCs w:val="19"/>
                <w:lang w:val="en-US" w:eastAsia="zh-CN"/>
              </w:rPr>
              <w:t>22：30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美国3月22日EIA库存周报、成品油进出口量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143" w:type="dxa"/>
            <w:shd w:val="clear" w:color="auto" w:fill="D3EAFF"/>
            <w:vAlign w:val="top"/>
          </w:tcPr>
          <w:p>
            <w:pPr>
              <w:pStyle w:val="10"/>
              <w:spacing w:before="248" w:line="172" w:lineRule="auto"/>
              <w:ind w:left="101"/>
              <w:jc w:val="left"/>
              <w:rPr>
                <w:sz w:val="19"/>
                <w:szCs w:val="19"/>
              </w:rPr>
            </w:pPr>
            <w:r>
              <w:rPr>
                <w:rFonts w:hint="eastAsia"/>
                <w:b/>
                <w:bCs/>
                <w:spacing w:val="5"/>
                <w:sz w:val="19"/>
                <w:szCs w:val="19"/>
                <w:lang w:val="en-US" w:eastAsia="zh-CN"/>
              </w:rPr>
              <w:t>22：3</w:t>
            </w:r>
            <w:r>
              <w:rPr>
                <w:b/>
                <w:bCs/>
                <w:spacing w:val="5"/>
                <w:sz w:val="19"/>
                <w:szCs w:val="19"/>
              </w:rPr>
              <w:t>0</w:t>
            </w:r>
          </w:p>
        </w:tc>
        <w:tc>
          <w:tcPr>
            <w:tcW w:w="6679" w:type="dxa"/>
            <w:shd w:val="clear" w:color="auto" w:fill="D3EAFF"/>
            <w:vAlign w:val="top"/>
          </w:tcPr>
          <w:p>
            <w:pPr>
              <w:pStyle w:val="10"/>
              <w:spacing w:before="228" w:line="179" w:lineRule="auto"/>
              <w:jc w:val="center"/>
              <w:rPr>
                <w:rFonts w:hint="default" w:eastAsia="微软雅黑"/>
                <w:sz w:val="19"/>
                <w:szCs w:val="19"/>
                <w:lang w:val="en-US" w:eastAsia="zh-CN"/>
              </w:rPr>
            </w:pPr>
            <w:r>
              <w:rPr>
                <w:rFonts w:hint="eastAsia"/>
                <w:sz w:val="19"/>
                <w:szCs w:val="19"/>
                <w:lang w:val="en-US" w:eastAsia="zh-CN"/>
              </w:rPr>
              <w:t>美国3月22日商业原油库存量</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lang w:val="en-US" w:eastAsia="zh-CN"/>
        </w:rPr>
        <w:t>截至周三，美元指数涨0.08%报104.31，非美货币多数下跌，欧元兑美元跌0.06%报1.0831，英镑兑美元跌0.08%报1.2625，澳元兑美元跌0.11%报0.6533，美元兑日元涨0.1%报151.56。美国1月S&amp;P/CS20座大城市未季调房价指数同比升6.59%，预期升6.7%，前值升6.13%；环比降0.1%，前值降0.3%，整体地产市场需求在高利率环境下持续承压，价格指数回落或有利后继住房价格指数企稳回落。昨日美国5年期国债拍卖结果显示整体需求充足，总拍卖规模达670亿美元新高的同时得标利率低于发行利率，消息公布后长端国债随之回落。往后看，美元在投资需求以及美国与非美国家利差尚存的支撑下或多于高位震荡。</w:t>
      </w:r>
    </w:p>
    <w:p>
      <w:pPr>
        <w:spacing w:before="103" w:line="256" w:lineRule="auto"/>
        <w:ind w:right="743"/>
        <w:jc w:val="both"/>
      </w:pPr>
      <w:r>
        <w:drawing>
          <wp:inline distT="0" distB="0" distL="114300" distR="114300">
            <wp:extent cx="6176010" cy="2444115"/>
            <wp:effectExtent l="0" t="0" r="15240" b="133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6176010" cy="2444115"/>
                    </a:xfrm>
                    <a:prstGeom prst="rect">
                      <a:avLst/>
                    </a:prstGeom>
                    <a:noFill/>
                    <a:ln>
                      <a:noFill/>
                    </a:ln>
                  </pic:spPr>
                </pic:pic>
              </a:graphicData>
            </a:graphic>
          </wp:inline>
        </w:drawing>
      </w:r>
    </w:p>
    <w:p>
      <w:pPr>
        <w:spacing w:before="103" w:line="256" w:lineRule="auto"/>
        <w:ind w:right="743"/>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pPr>
      <w:r>
        <w:rPr>
          <w:rFonts w:hint="eastAsia" w:ascii="微软雅黑" w:hAnsi="微软雅黑" w:eastAsia="微软雅黑" w:cs="微软雅黑"/>
          <w:spacing w:val="12"/>
          <w:sz w:val="24"/>
          <w:szCs w:val="24"/>
        </w:rPr>
        <w:t>截至3月27日，标普500指数收跌0.28%至5203.58点；迷你标普500主力合约收跌0.16%至5272.5点。美股周二收跌，道指与标普500指数连续第三个交易日下滑。此前迭创新高的涨势逐渐冷却。本周市场关注PCE通胀指数以及美联储的降息路径。策略上，逢低试多。详细支撑阻力位请见图表</w:t>
      </w:r>
      <w:r>
        <w:rPr>
          <w:rFonts w:hint="eastAsia" w:ascii="微软雅黑" w:hAnsi="微软雅黑" w:eastAsia="微软雅黑" w:cs="微软雅黑"/>
          <w:spacing w:val="12"/>
          <w:sz w:val="24"/>
          <w:szCs w:val="24"/>
          <w:lang w:val="en-US" w:eastAsia="zh-CN"/>
        </w:rPr>
        <w:t>3。</w:t>
      </w:r>
    </w:p>
    <w:p>
      <w:pPr>
        <w:spacing w:before="120" w:line="190" w:lineRule="auto"/>
        <w:jc w:val="both"/>
        <w:rPr>
          <w:rFonts w:ascii="新宋体" w:hAnsi="新宋体" w:eastAsia="新宋体"/>
          <w:b/>
        </w:rPr>
      </w:pPr>
      <w:r>
        <w:drawing>
          <wp:inline distT="0" distB="0" distL="0" distR="0">
            <wp:extent cx="6293485" cy="2389505"/>
            <wp:effectExtent l="0" t="0" r="1206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6293485" cy="238950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3月26日，富时中国A50指数收涨0.97%至12201.36点；新交所富时A50期指主力合约收涨0.91%至12235点。政海外预期波动，美股降息时点及幅度不确定性上升，扩大全球风险资产波动，离岸人民币亦波动放大，叠加短线资金获利兑现，市场做多情绪近日明显降温。基本面上，政策平稳落地、与市场预期一致，财政政策力度中性、房地产延续弱势、经济持续修复但结构性改善仍需时间。策略上，短线观望为主。详细支撑阻力位请见图表4。</w:t>
      </w:r>
    </w:p>
    <w:p>
      <w:pPr>
        <w:spacing w:before="103" w:line="256" w:lineRule="auto"/>
        <w:ind w:right="743"/>
        <w:jc w:val="both"/>
        <w:rPr>
          <w:rFonts w:ascii="新宋体" w:hAnsi="新宋体" w:eastAsia="新宋体"/>
        </w:rPr>
      </w:pPr>
      <w:r>
        <w:drawing>
          <wp:inline distT="0" distB="0" distL="0" distR="0">
            <wp:extent cx="6026150" cy="2021840"/>
            <wp:effectExtent l="0" t="0" r="1270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6026150" cy="202184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隔夜美元指数先跌后涨，交投于104.31。基准的10年期美债收益率维持在4.2%关口上方，收报4.237%，对美联储政策利率最敏感的2年期美债收益率收报4.593%。</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库存方面：截至3月26日，LME铜库存为117400吨，环比-500吨。3月22日当周，上海期货交易所阴极铜库存为285090吨，周环比-1305吨。</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外盘持仓方面：根据CFTC公布的最新数据显示，截止至3月19日当周，非商业多头持仓124316手，空头为92391手，净多持仓为31925手，较上周净多增加26498手。</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震荡偏弱，其中2405合约报收4.01美元/磅，涨跌幅-0.22%。国际方面，美联储在近期报告中上调美国经济增速，随后众多数据显示美国第一季度经济增长前景仍保持乐观，市场预计本周将公布的2月核心PCE仍将小幅回升预期值为0.3%，增长年率预期2.8%。国内方面，国新办就近期生产、消费、进出口有关数据及政策情况举行发布会。商务部副部长郭婷婷表示，我国消费市场有望继续保持向好态势，鼓励和推动汽车、家电等消费品以旧换新，逐步提高新能源汽车、节能型汽车销售占比，促进家电消费向智能化、绿色化、低碳化方向发展。基本面上，供给端1-2月表观消费量整体小幅下降，加之铜矿端的偏紧供应会致使冶炼厂减产预期提升，需求上来看，下游铜材加工厂对精铜的价格接受度和外采情况或因价格的走高而有所影响。整体来看，宏观环境呈现偏暖局面，供给预期偏紧，而需求在政策指引下预期提振。操作上，建议COMEX铜2405合约轻仓逢低短多交易，注意交易节奏及风险控制。</w:t>
      </w:r>
    </w:p>
    <w:p>
      <w:pPr>
        <w:spacing w:before="103" w:line="256" w:lineRule="auto"/>
        <w:ind w:right="743"/>
        <w:jc w:val="both"/>
      </w:pPr>
      <w:r>
        <w:drawing>
          <wp:inline distT="0" distB="0" distL="0" distR="0">
            <wp:extent cx="5988050" cy="1948180"/>
            <wp:effectExtent l="0" t="0" r="12700"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988050" cy="194818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消息面：</w:t>
      </w:r>
      <w:r>
        <w:rPr>
          <w:rFonts w:hint="eastAsia" w:ascii="微软雅黑" w:hAnsi="微软雅黑" w:eastAsia="微软雅黑" w:cs="微软雅黑"/>
          <w:spacing w:val="12"/>
          <w:sz w:val="24"/>
          <w:szCs w:val="24"/>
          <w:lang w:val="en-US" w:eastAsia="zh-CN"/>
        </w:rPr>
        <w:t>美国1月S&amp;P/CS20座大城市未季调房价指数同比升6.59%，预期升6.7%，前值升6.13%；环比降0.1%，前值降0.3%，整体地产市场需求在高利率环境下持续承压，价格指数回落或有利后继住房价格指数企稳回落。昨日美国5年期国债拍卖结果显示整体需求充足，总拍卖规模达670亿美元新高的同时得标利率低于发行利率，消息公布后长端国债随之回落。</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外盘持仓方面：截至</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月</w:t>
      </w:r>
      <w:r>
        <w:rPr>
          <w:rFonts w:hint="eastAsia" w:ascii="微软雅黑" w:hAnsi="微软雅黑" w:eastAsia="微软雅黑" w:cs="微软雅黑"/>
          <w:spacing w:val="12"/>
          <w:sz w:val="24"/>
          <w:szCs w:val="24"/>
          <w:lang w:val="en-US" w:eastAsia="zh-CN"/>
        </w:rPr>
        <w:t>26</w:t>
      </w:r>
      <w:r>
        <w:rPr>
          <w:rFonts w:hint="eastAsia" w:ascii="微软雅黑" w:hAnsi="微软雅黑" w:eastAsia="微软雅黑" w:cs="微软雅黑"/>
          <w:spacing w:val="12"/>
          <w:sz w:val="24"/>
          <w:szCs w:val="24"/>
        </w:rPr>
        <w:t>日，SPDR Gold Trust黄金ETF持仓量为</w:t>
      </w:r>
      <w:r>
        <w:rPr>
          <w:rFonts w:hint="eastAsia" w:ascii="微软雅黑" w:hAnsi="微软雅黑" w:eastAsia="微软雅黑" w:cs="微软雅黑"/>
          <w:spacing w:val="12"/>
          <w:sz w:val="24"/>
          <w:szCs w:val="24"/>
          <w:lang w:val="en-US" w:eastAsia="zh-CN"/>
        </w:rPr>
        <w:t>830.15</w:t>
      </w:r>
      <w:r>
        <w:rPr>
          <w:rFonts w:hint="eastAsia" w:ascii="微软雅黑" w:hAnsi="微软雅黑" w:eastAsia="微软雅黑" w:cs="微软雅黑"/>
          <w:spacing w:val="12"/>
          <w:sz w:val="24"/>
          <w:szCs w:val="24"/>
        </w:rPr>
        <w:t>吨</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较</w:t>
      </w:r>
      <w:r>
        <w:rPr>
          <w:rFonts w:hint="eastAsia" w:ascii="微软雅黑" w:hAnsi="微软雅黑" w:eastAsia="微软雅黑" w:cs="微软雅黑"/>
          <w:spacing w:val="12"/>
          <w:sz w:val="24"/>
          <w:szCs w:val="24"/>
        </w:rPr>
        <w:t>上一交易</w:t>
      </w:r>
      <w:r>
        <w:rPr>
          <w:rFonts w:hint="eastAsia" w:ascii="微软雅黑" w:hAnsi="微软雅黑" w:eastAsia="微软雅黑" w:cs="微软雅黑"/>
          <w:spacing w:val="12"/>
          <w:sz w:val="24"/>
          <w:szCs w:val="24"/>
          <w:lang w:val="en-US" w:eastAsia="zh-CN"/>
        </w:rPr>
        <w:t>日减少5.18吨</w:t>
      </w:r>
      <w:r>
        <w:rPr>
          <w:rFonts w:hint="eastAsia" w:ascii="微软雅黑" w:hAnsi="微软雅黑" w:eastAsia="微软雅黑" w:cs="微软雅黑"/>
          <w:spacing w:val="12"/>
          <w:sz w:val="24"/>
          <w:szCs w:val="24"/>
        </w:rPr>
        <w:t>。</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美元指数在投资需求以及美国与非美国家利差尚存的支撑下或多于高位震荡，长端美债收益率在需求超预期的影响下或相对停止上行，贵金属价格或多于高位震荡。操作上建议，日内观望为主，请投资者注意风险控制。</w:t>
      </w:r>
    </w:p>
    <w:p>
      <w:pPr>
        <w:spacing w:before="103" w:line="256" w:lineRule="auto"/>
        <w:ind w:right="743"/>
        <w:jc w:val="both"/>
      </w:pPr>
      <w:r>
        <w:drawing>
          <wp:inline distT="0" distB="0" distL="114300" distR="114300">
            <wp:extent cx="6107430" cy="1571625"/>
            <wp:effectExtent l="0" t="0" r="7620"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7"/>
                    <a:stretch>
                      <a:fillRect/>
                    </a:stretch>
                  </pic:blipFill>
                  <pic:spPr>
                    <a:xfrm>
                      <a:off x="0" y="0"/>
                      <a:ext cx="6107430" cy="1571625"/>
                    </a:xfrm>
                    <a:prstGeom prst="rect">
                      <a:avLst/>
                    </a:prstGeom>
                    <a:noFill/>
                    <a:ln>
                      <a:noFill/>
                    </a:ln>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尽管联合国安理会周一通过一项决议，要求加沙立即停火，但是中东地缘政治局势依然紧张。胡塞武装周二表示，过去72小时内对亚丁湾和红海的船只发动了六次袭击。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本季度迄今原油价格上涨约14%，突破了今年前两个月的窄幅区间。乌克兰对俄罗斯炼油厂发动多次袭击，包括汽油在内的一些成品油市场走强迹象，有助于推动原油上涨。随着大宗商品市场总体前景向好，对冲基金增加了对布伦特原油的看涨押注。</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俄罗斯政府要求企业在第二季度减产，以实现对欧佩克联盟的减产承诺，将6月底的原油产量削减至900万桶/日，2月份的产量为950万桶/日。</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俄罗斯是全球三大原油生产国之一，也是最大的成品油出口国之一。乌克兰最近对俄罗斯炼油厂发起袭击，这可能导致俄罗斯炼油产能关闭14%。</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伊利诺伊州里特布施公司的总裁吉姆?里特布施，俄罗斯出口减少已影响到美国</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全球市场供应减少导致汽油供应减少。</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咨询机构FGE分析师预计俄罗斯炼油厂的运营量将出现结构性下降，今年下半年也不会恢复到2023年的水平。</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几位欧佩克联盟成员国的消息人士表示，欧佩克联盟代表认为没有必要在下周的审查会议上改变产量政策，因为减产政策在6月底之前一直有效。</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市场交易者也在关注本周五美国发布的个人消费支出价格指数（PEC），这也是美联储优选的通胀指标。</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与此同时，美元小幅走弱为油价提供了一定支撑。美元疲软意味着原油对持有其他货币的买家更便宜。</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分析师表示，如果俄罗斯生产商无法出口原油并面临储存空间限制，长期中断可能会迫使俄罗斯生产商减少原油生产。</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其他消息包括，德国央行周四表示，2024年一季度德国经济可能陷入衰退，因为消费疲软和工业需求疲软。与此同时，英国央行行长周四表示，英国经济正在“朝着正确的方向发展”，英国央行可以开始降息。</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 xml:space="preserve">    纽约商品期货交易所（NYMEX）的西德克萨斯中质原油（WTI）5月合约较上一交易日下跌0.33美元或0.40%，报81.62美元/桶，短期呈现高位震荡走势。支撑位</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80；压力位：82.6。</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073775" cy="321945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6073775" cy="3219450"/>
                    </a:xfrm>
                    <a:prstGeom prst="rect">
                      <a:avLst/>
                    </a:prstGeom>
                  </pic:spPr>
                </pic:pic>
              </a:graphicData>
            </a:graphic>
          </wp:inline>
        </w:drawing>
      </w:r>
    </w:p>
    <w:p>
      <w:pPr>
        <w:spacing w:before="103" w:line="256" w:lineRule="auto"/>
        <w:ind w:right="743"/>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4"/>
      <w:bookmarkStart w:id="1" w:name="OLE_LINK3"/>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洲际期货交易所（ICE）原糖期货周二收高，由于美国糖生产商此前呼吁减少从墨西哥进口的糖，对糖价起到支撑。交投最活跃的ICE 5月原糖期货合约收盘收涨0.44美分或2.0%，结算价每磅22.39美分。操作上，建议5月 ICE 原糖短期暂且观望。</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005830" cy="1954530"/>
            <wp:effectExtent l="0" t="0" r="13970" b="7620"/>
            <wp:docPr id="11" name="图片 11" descr="e24af094282952049cbc72aded1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4af094282952049cbc72aded15871"/>
                    <pic:cNvPicPr>
                      <a:picLocks noChangeAspect="1"/>
                    </pic:cNvPicPr>
                  </pic:nvPicPr>
                  <pic:blipFill>
                    <a:blip r:embed="rId19"/>
                    <a:stretch>
                      <a:fillRect/>
                    </a:stretch>
                  </pic:blipFill>
                  <pic:spPr>
                    <a:xfrm>
                      <a:off x="0" y="0"/>
                      <a:ext cx="6005830" cy="1954530"/>
                    </a:xfrm>
                    <a:prstGeom prst="rect">
                      <a:avLst/>
                    </a:prstGeom>
                  </pic:spPr>
                </pic:pic>
              </a:graphicData>
            </a:graphic>
          </wp:inline>
        </w:drawing>
      </w: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洲际交易所(ICE)棉花期货周二上涨，受其他市场带动，同时投资者关注本周报告出炉前轧平头寸。交投最活跃的ICE 5月期棉收涨1.39美分或1.40%，结算价报93.41美分/磅。操作上，建议5月 ICE 期棉短期暂且观望为宜。</w:t>
      </w:r>
    </w:p>
    <w:p>
      <w:pPr>
        <w:spacing w:before="103" w:line="256" w:lineRule="auto"/>
        <w:ind w:right="743"/>
        <w:jc w:val="center"/>
        <w:rPr>
          <w:rFonts w:hint="eastAsia" w:ascii="微软雅黑" w:hAnsi="微软雅黑" w:eastAsia="微软雅黑" w:cs="微软雅黑"/>
          <w:spacing w:val="12"/>
          <w:sz w:val="24"/>
          <w:szCs w:val="24"/>
          <w:lang w:val="en-US" w:eastAsia="zh-CN"/>
        </w:rPr>
      </w:pPr>
      <w:bookmarkStart w:id="2" w:name="_GoBack"/>
      <w:r>
        <w:rPr>
          <w:rFonts w:hint="eastAsia" w:ascii="微软雅黑" w:hAnsi="微软雅黑" w:eastAsia="微软雅黑" w:cs="微软雅黑"/>
          <w:spacing w:val="12"/>
          <w:sz w:val="24"/>
          <w:szCs w:val="24"/>
          <w:lang w:val="en-US" w:eastAsia="zh-CN"/>
        </w:rPr>
        <w:drawing>
          <wp:inline distT="0" distB="0" distL="114300" distR="114300">
            <wp:extent cx="6061075" cy="1853565"/>
            <wp:effectExtent l="0" t="0" r="15875" b="13335"/>
            <wp:docPr id="12" name="图片 12" descr="593e5032b2e4c8733ced9966832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93e5032b2e4c8733ced99668327144"/>
                    <pic:cNvPicPr>
                      <a:picLocks noChangeAspect="1"/>
                    </pic:cNvPicPr>
                  </pic:nvPicPr>
                  <pic:blipFill>
                    <a:blip r:embed="rId20"/>
                    <a:stretch>
                      <a:fillRect/>
                    </a:stretch>
                  </pic:blipFill>
                  <pic:spPr>
                    <a:xfrm>
                      <a:off x="0" y="0"/>
                      <a:ext cx="6061075" cy="1853565"/>
                    </a:xfrm>
                    <a:prstGeom prst="rect">
                      <a:avLst/>
                    </a:prstGeom>
                  </pic:spPr>
                </pic:pic>
              </a:graphicData>
            </a:graphic>
          </wp:inline>
        </w:drawing>
      </w:r>
      <w:bookmarkEnd w:id="2"/>
    </w:p>
    <w:p>
      <w:pPr>
        <w:spacing w:before="235" w:line="176" w:lineRule="auto"/>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t>图9：ICE棉花期货主力合约日走势图及支撑位、阻力位</w:t>
      </w: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593490"/>
    <w:rsid w:val="00920750"/>
    <w:rsid w:val="00CA7EEA"/>
    <w:rsid w:val="00D348C5"/>
    <w:rsid w:val="011E3D92"/>
    <w:rsid w:val="01486DF0"/>
    <w:rsid w:val="018F67B1"/>
    <w:rsid w:val="019734A3"/>
    <w:rsid w:val="01B6046E"/>
    <w:rsid w:val="01C257A0"/>
    <w:rsid w:val="01FA65AD"/>
    <w:rsid w:val="021052EA"/>
    <w:rsid w:val="02151639"/>
    <w:rsid w:val="02A97FD3"/>
    <w:rsid w:val="02B7624C"/>
    <w:rsid w:val="02BC7D06"/>
    <w:rsid w:val="030659D3"/>
    <w:rsid w:val="033C0E47"/>
    <w:rsid w:val="03661A20"/>
    <w:rsid w:val="03AA4003"/>
    <w:rsid w:val="03D44348"/>
    <w:rsid w:val="03D64DF8"/>
    <w:rsid w:val="0402799B"/>
    <w:rsid w:val="04405814"/>
    <w:rsid w:val="044F0706"/>
    <w:rsid w:val="04695C6C"/>
    <w:rsid w:val="04725735"/>
    <w:rsid w:val="0495080F"/>
    <w:rsid w:val="04CD0E7B"/>
    <w:rsid w:val="04E43544"/>
    <w:rsid w:val="04E55250"/>
    <w:rsid w:val="053D4696"/>
    <w:rsid w:val="054933A7"/>
    <w:rsid w:val="056D52E8"/>
    <w:rsid w:val="05C869C2"/>
    <w:rsid w:val="06920D0C"/>
    <w:rsid w:val="06AC1E40"/>
    <w:rsid w:val="06D860E7"/>
    <w:rsid w:val="06E91363"/>
    <w:rsid w:val="072919FB"/>
    <w:rsid w:val="07375BAD"/>
    <w:rsid w:val="07652B87"/>
    <w:rsid w:val="07950B26"/>
    <w:rsid w:val="07D9719C"/>
    <w:rsid w:val="07EB25E1"/>
    <w:rsid w:val="07F5280A"/>
    <w:rsid w:val="080F6B2A"/>
    <w:rsid w:val="089E2E0C"/>
    <w:rsid w:val="08B5322E"/>
    <w:rsid w:val="090E293E"/>
    <w:rsid w:val="09174F67"/>
    <w:rsid w:val="09252A9B"/>
    <w:rsid w:val="093E76C7"/>
    <w:rsid w:val="09491BC8"/>
    <w:rsid w:val="09840E52"/>
    <w:rsid w:val="099A2423"/>
    <w:rsid w:val="09AC6674"/>
    <w:rsid w:val="09F02DF6"/>
    <w:rsid w:val="09F31EAA"/>
    <w:rsid w:val="0A1470E4"/>
    <w:rsid w:val="0A2A37A7"/>
    <w:rsid w:val="0A533A62"/>
    <w:rsid w:val="0A7D5FCD"/>
    <w:rsid w:val="0A823CEB"/>
    <w:rsid w:val="0A8F399C"/>
    <w:rsid w:val="0A9B3267"/>
    <w:rsid w:val="0AA82AC5"/>
    <w:rsid w:val="0ABF0394"/>
    <w:rsid w:val="0AFD2C6A"/>
    <w:rsid w:val="0B0B2B07"/>
    <w:rsid w:val="0B0C10FF"/>
    <w:rsid w:val="0B116814"/>
    <w:rsid w:val="0B156206"/>
    <w:rsid w:val="0B3F6A8F"/>
    <w:rsid w:val="0B775713"/>
    <w:rsid w:val="0B7C44D7"/>
    <w:rsid w:val="0BA87886"/>
    <w:rsid w:val="0C023101"/>
    <w:rsid w:val="0C1E10EA"/>
    <w:rsid w:val="0C6311F3"/>
    <w:rsid w:val="0C7426EC"/>
    <w:rsid w:val="0C8A677F"/>
    <w:rsid w:val="0D3A56A0"/>
    <w:rsid w:val="0D6945E7"/>
    <w:rsid w:val="0D766D04"/>
    <w:rsid w:val="0D815DD4"/>
    <w:rsid w:val="0E211365"/>
    <w:rsid w:val="0E4F7C80"/>
    <w:rsid w:val="0E7D63D0"/>
    <w:rsid w:val="0E8A6F0A"/>
    <w:rsid w:val="0EC40C69"/>
    <w:rsid w:val="0F0E09E8"/>
    <w:rsid w:val="0F425337"/>
    <w:rsid w:val="0FB51D65"/>
    <w:rsid w:val="0FB7564B"/>
    <w:rsid w:val="0FD85A54"/>
    <w:rsid w:val="0FDC5544"/>
    <w:rsid w:val="101E5B5C"/>
    <w:rsid w:val="103B02B6"/>
    <w:rsid w:val="104135F9"/>
    <w:rsid w:val="105A46BB"/>
    <w:rsid w:val="10A51DDA"/>
    <w:rsid w:val="10F1501F"/>
    <w:rsid w:val="1126167A"/>
    <w:rsid w:val="115F642C"/>
    <w:rsid w:val="119A2EC2"/>
    <w:rsid w:val="11DF575B"/>
    <w:rsid w:val="12064AFA"/>
    <w:rsid w:val="12837EF9"/>
    <w:rsid w:val="12B72AC8"/>
    <w:rsid w:val="12C53BAB"/>
    <w:rsid w:val="12DD56D0"/>
    <w:rsid w:val="12E453E1"/>
    <w:rsid w:val="130A686C"/>
    <w:rsid w:val="13914897"/>
    <w:rsid w:val="13E83022"/>
    <w:rsid w:val="145B4DEA"/>
    <w:rsid w:val="146B1AFA"/>
    <w:rsid w:val="148B7538"/>
    <w:rsid w:val="14E03753"/>
    <w:rsid w:val="14EF7AC7"/>
    <w:rsid w:val="15357EA3"/>
    <w:rsid w:val="1546345F"/>
    <w:rsid w:val="157A3DE6"/>
    <w:rsid w:val="15A20FDE"/>
    <w:rsid w:val="15BF56EC"/>
    <w:rsid w:val="15FA0A52"/>
    <w:rsid w:val="162163A6"/>
    <w:rsid w:val="162F6237"/>
    <w:rsid w:val="163007A4"/>
    <w:rsid w:val="16323E9D"/>
    <w:rsid w:val="16526560"/>
    <w:rsid w:val="16532BAF"/>
    <w:rsid w:val="167A1613"/>
    <w:rsid w:val="167F4E7B"/>
    <w:rsid w:val="16AB5CAD"/>
    <w:rsid w:val="16B17A67"/>
    <w:rsid w:val="16C117E9"/>
    <w:rsid w:val="16CE195E"/>
    <w:rsid w:val="16E84EEA"/>
    <w:rsid w:val="16ED5F07"/>
    <w:rsid w:val="16FE3FF2"/>
    <w:rsid w:val="17231CAA"/>
    <w:rsid w:val="1750680B"/>
    <w:rsid w:val="17602EFE"/>
    <w:rsid w:val="179E5F3A"/>
    <w:rsid w:val="17A62F40"/>
    <w:rsid w:val="17C36FE9"/>
    <w:rsid w:val="17EF6030"/>
    <w:rsid w:val="181A30AD"/>
    <w:rsid w:val="188F46B1"/>
    <w:rsid w:val="188F6EFF"/>
    <w:rsid w:val="18AB1F57"/>
    <w:rsid w:val="18BF5A03"/>
    <w:rsid w:val="18DA6CE0"/>
    <w:rsid w:val="193957B5"/>
    <w:rsid w:val="19891B44"/>
    <w:rsid w:val="19E37FA1"/>
    <w:rsid w:val="1A1A3838"/>
    <w:rsid w:val="1A3760C8"/>
    <w:rsid w:val="1A7F5449"/>
    <w:rsid w:val="1AB33345"/>
    <w:rsid w:val="1AEE342A"/>
    <w:rsid w:val="1AFE6CB6"/>
    <w:rsid w:val="1B0B3181"/>
    <w:rsid w:val="1B143435"/>
    <w:rsid w:val="1B593EEC"/>
    <w:rsid w:val="1B6F54BE"/>
    <w:rsid w:val="1BCC2910"/>
    <w:rsid w:val="1BE952E4"/>
    <w:rsid w:val="1BEC2FB3"/>
    <w:rsid w:val="1C220782"/>
    <w:rsid w:val="1C2C7853"/>
    <w:rsid w:val="1C2F2E9F"/>
    <w:rsid w:val="1C3C502D"/>
    <w:rsid w:val="1C56667E"/>
    <w:rsid w:val="1C5C2AF3"/>
    <w:rsid w:val="1C6F246D"/>
    <w:rsid w:val="1C705992"/>
    <w:rsid w:val="1C847E13"/>
    <w:rsid w:val="1C9871D4"/>
    <w:rsid w:val="1CB6711D"/>
    <w:rsid w:val="1CDB7F58"/>
    <w:rsid w:val="1CE56411"/>
    <w:rsid w:val="1D063C00"/>
    <w:rsid w:val="1D077978"/>
    <w:rsid w:val="1D5038FF"/>
    <w:rsid w:val="1DB70C3A"/>
    <w:rsid w:val="1DE026A3"/>
    <w:rsid w:val="1EDA46D4"/>
    <w:rsid w:val="1F047D4E"/>
    <w:rsid w:val="1F066139"/>
    <w:rsid w:val="1F2E743E"/>
    <w:rsid w:val="1F43738D"/>
    <w:rsid w:val="1F570A81"/>
    <w:rsid w:val="1FAA1158"/>
    <w:rsid w:val="1FBB3CE7"/>
    <w:rsid w:val="1FCF6E73"/>
    <w:rsid w:val="1FD955FC"/>
    <w:rsid w:val="1FE453E9"/>
    <w:rsid w:val="200B4005"/>
    <w:rsid w:val="201C373B"/>
    <w:rsid w:val="203B1E13"/>
    <w:rsid w:val="2040567B"/>
    <w:rsid w:val="20C067BC"/>
    <w:rsid w:val="20DA5ACF"/>
    <w:rsid w:val="213571AA"/>
    <w:rsid w:val="213836B0"/>
    <w:rsid w:val="213B4094"/>
    <w:rsid w:val="21893052"/>
    <w:rsid w:val="21934DFE"/>
    <w:rsid w:val="219E4C0D"/>
    <w:rsid w:val="224156DA"/>
    <w:rsid w:val="224C47AB"/>
    <w:rsid w:val="224C6559"/>
    <w:rsid w:val="22CF093F"/>
    <w:rsid w:val="22F20137"/>
    <w:rsid w:val="23476D20"/>
    <w:rsid w:val="23503E27"/>
    <w:rsid w:val="23517B9F"/>
    <w:rsid w:val="235F71C6"/>
    <w:rsid w:val="23713D9D"/>
    <w:rsid w:val="23F01166"/>
    <w:rsid w:val="23F24EDE"/>
    <w:rsid w:val="23F82635"/>
    <w:rsid w:val="24613C0B"/>
    <w:rsid w:val="24651B54"/>
    <w:rsid w:val="2490190B"/>
    <w:rsid w:val="24F212CA"/>
    <w:rsid w:val="25096983"/>
    <w:rsid w:val="25323DC4"/>
    <w:rsid w:val="25324D05"/>
    <w:rsid w:val="253B28B5"/>
    <w:rsid w:val="25472113"/>
    <w:rsid w:val="257D4C7B"/>
    <w:rsid w:val="25853B30"/>
    <w:rsid w:val="25873D4C"/>
    <w:rsid w:val="25A3141D"/>
    <w:rsid w:val="26591245"/>
    <w:rsid w:val="268F3365"/>
    <w:rsid w:val="269C3827"/>
    <w:rsid w:val="269E134D"/>
    <w:rsid w:val="26C708A4"/>
    <w:rsid w:val="27104DCE"/>
    <w:rsid w:val="27196C26"/>
    <w:rsid w:val="274912B9"/>
    <w:rsid w:val="27541A0C"/>
    <w:rsid w:val="275639D6"/>
    <w:rsid w:val="27BA1634"/>
    <w:rsid w:val="27D03788"/>
    <w:rsid w:val="287265EE"/>
    <w:rsid w:val="28D450EA"/>
    <w:rsid w:val="28D5055F"/>
    <w:rsid w:val="28FC39E6"/>
    <w:rsid w:val="29895F83"/>
    <w:rsid w:val="2AA841F2"/>
    <w:rsid w:val="2AF43C32"/>
    <w:rsid w:val="2B0A5203"/>
    <w:rsid w:val="2BCA04EF"/>
    <w:rsid w:val="2C0E487F"/>
    <w:rsid w:val="2C0F5A5F"/>
    <w:rsid w:val="2C5030EA"/>
    <w:rsid w:val="2C7C5C8D"/>
    <w:rsid w:val="2C934D84"/>
    <w:rsid w:val="2CC413E2"/>
    <w:rsid w:val="2CE028C6"/>
    <w:rsid w:val="2D012F66"/>
    <w:rsid w:val="2D771923"/>
    <w:rsid w:val="2D776454"/>
    <w:rsid w:val="2D7B5F44"/>
    <w:rsid w:val="2DA84860"/>
    <w:rsid w:val="2DE81100"/>
    <w:rsid w:val="2DEC299E"/>
    <w:rsid w:val="2DFB5908"/>
    <w:rsid w:val="2E0065CE"/>
    <w:rsid w:val="2E312AA7"/>
    <w:rsid w:val="2E746294"/>
    <w:rsid w:val="2EF22236"/>
    <w:rsid w:val="2F1F6DA3"/>
    <w:rsid w:val="2F391C13"/>
    <w:rsid w:val="2F666780"/>
    <w:rsid w:val="2F8C1E45"/>
    <w:rsid w:val="2FA63021"/>
    <w:rsid w:val="2FAA2B11"/>
    <w:rsid w:val="2FF41FDE"/>
    <w:rsid w:val="2FFB511A"/>
    <w:rsid w:val="300F0BC6"/>
    <w:rsid w:val="30155912"/>
    <w:rsid w:val="3070283C"/>
    <w:rsid w:val="309A4933"/>
    <w:rsid w:val="30C9346B"/>
    <w:rsid w:val="30FF50DE"/>
    <w:rsid w:val="31197F4E"/>
    <w:rsid w:val="311D7312"/>
    <w:rsid w:val="313E79B5"/>
    <w:rsid w:val="318A49A8"/>
    <w:rsid w:val="31D644AB"/>
    <w:rsid w:val="32554509"/>
    <w:rsid w:val="326951F3"/>
    <w:rsid w:val="32A24300"/>
    <w:rsid w:val="32E92FB9"/>
    <w:rsid w:val="334E2397"/>
    <w:rsid w:val="33526CEF"/>
    <w:rsid w:val="338418CB"/>
    <w:rsid w:val="33EC0EFE"/>
    <w:rsid w:val="33F8661C"/>
    <w:rsid w:val="34945433"/>
    <w:rsid w:val="349F4C0E"/>
    <w:rsid w:val="350D601C"/>
    <w:rsid w:val="354B627A"/>
    <w:rsid w:val="356814A4"/>
    <w:rsid w:val="360311CD"/>
    <w:rsid w:val="36C26992"/>
    <w:rsid w:val="36EF34FF"/>
    <w:rsid w:val="3710594F"/>
    <w:rsid w:val="37545800"/>
    <w:rsid w:val="375D66BB"/>
    <w:rsid w:val="376B702A"/>
    <w:rsid w:val="37E1553E"/>
    <w:rsid w:val="381474C6"/>
    <w:rsid w:val="38183E1B"/>
    <w:rsid w:val="38295077"/>
    <w:rsid w:val="382F0057"/>
    <w:rsid w:val="38613F89"/>
    <w:rsid w:val="38D37AC3"/>
    <w:rsid w:val="38E30E42"/>
    <w:rsid w:val="38F66DC7"/>
    <w:rsid w:val="39377035"/>
    <w:rsid w:val="39AB195F"/>
    <w:rsid w:val="3A1439A9"/>
    <w:rsid w:val="3A357A7E"/>
    <w:rsid w:val="3A6B10EF"/>
    <w:rsid w:val="3A8F494D"/>
    <w:rsid w:val="3AAA7E69"/>
    <w:rsid w:val="3AEB650A"/>
    <w:rsid w:val="3AF5356F"/>
    <w:rsid w:val="3AF61300"/>
    <w:rsid w:val="3B3460C0"/>
    <w:rsid w:val="3B755158"/>
    <w:rsid w:val="3B7A3CDF"/>
    <w:rsid w:val="3B837F8F"/>
    <w:rsid w:val="3B842468"/>
    <w:rsid w:val="3B862684"/>
    <w:rsid w:val="3BA90120"/>
    <w:rsid w:val="3BE23632"/>
    <w:rsid w:val="3BEB0739"/>
    <w:rsid w:val="3C045336"/>
    <w:rsid w:val="3C241E9D"/>
    <w:rsid w:val="3C485465"/>
    <w:rsid w:val="3C4E5B21"/>
    <w:rsid w:val="3C540EF7"/>
    <w:rsid w:val="3C917BA0"/>
    <w:rsid w:val="3CBA010B"/>
    <w:rsid w:val="3CC11038"/>
    <w:rsid w:val="3CE32F55"/>
    <w:rsid w:val="3D001FC2"/>
    <w:rsid w:val="3D255ECD"/>
    <w:rsid w:val="3D695EAF"/>
    <w:rsid w:val="3D7824A0"/>
    <w:rsid w:val="3D932E36"/>
    <w:rsid w:val="3DEB0EC4"/>
    <w:rsid w:val="3DF02037"/>
    <w:rsid w:val="3DF17B5D"/>
    <w:rsid w:val="3DF638A0"/>
    <w:rsid w:val="3DFD6502"/>
    <w:rsid w:val="3E0C1200"/>
    <w:rsid w:val="3E167563"/>
    <w:rsid w:val="3E2D5039"/>
    <w:rsid w:val="3E4F69BB"/>
    <w:rsid w:val="3E7964D0"/>
    <w:rsid w:val="3E810EE1"/>
    <w:rsid w:val="3E891DA4"/>
    <w:rsid w:val="3EA52668"/>
    <w:rsid w:val="3EBD0EE2"/>
    <w:rsid w:val="3F141D55"/>
    <w:rsid w:val="3F3441A5"/>
    <w:rsid w:val="3F3D5750"/>
    <w:rsid w:val="3F682C26"/>
    <w:rsid w:val="3FA330D9"/>
    <w:rsid w:val="3FAF7CCF"/>
    <w:rsid w:val="3FE43E1D"/>
    <w:rsid w:val="4004305D"/>
    <w:rsid w:val="40EE65D6"/>
    <w:rsid w:val="416F7716"/>
    <w:rsid w:val="419B49AF"/>
    <w:rsid w:val="41A73354"/>
    <w:rsid w:val="41C31810"/>
    <w:rsid w:val="41C757A4"/>
    <w:rsid w:val="41D41C6F"/>
    <w:rsid w:val="42162288"/>
    <w:rsid w:val="424C7A58"/>
    <w:rsid w:val="428B1AA5"/>
    <w:rsid w:val="429D02B3"/>
    <w:rsid w:val="429F1251"/>
    <w:rsid w:val="42F36125"/>
    <w:rsid w:val="43004B7A"/>
    <w:rsid w:val="430F539D"/>
    <w:rsid w:val="43212C92"/>
    <w:rsid w:val="43501FEC"/>
    <w:rsid w:val="43574906"/>
    <w:rsid w:val="43972F54"/>
    <w:rsid w:val="43D16466"/>
    <w:rsid w:val="441445A5"/>
    <w:rsid w:val="443A0129"/>
    <w:rsid w:val="449F47B6"/>
    <w:rsid w:val="450308A1"/>
    <w:rsid w:val="45131232"/>
    <w:rsid w:val="45401AF6"/>
    <w:rsid w:val="457804D5"/>
    <w:rsid w:val="45EC3A2B"/>
    <w:rsid w:val="45EC7588"/>
    <w:rsid w:val="45F20916"/>
    <w:rsid w:val="463236F2"/>
    <w:rsid w:val="463D7DE3"/>
    <w:rsid w:val="4694464B"/>
    <w:rsid w:val="46954ED9"/>
    <w:rsid w:val="46A61E2C"/>
    <w:rsid w:val="46F22218"/>
    <w:rsid w:val="46F72688"/>
    <w:rsid w:val="46FB5788"/>
    <w:rsid w:val="474A6C5C"/>
    <w:rsid w:val="475A2C17"/>
    <w:rsid w:val="47A83982"/>
    <w:rsid w:val="47C66AE7"/>
    <w:rsid w:val="47D26C51"/>
    <w:rsid w:val="47DE55F6"/>
    <w:rsid w:val="47E04ECA"/>
    <w:rsid w:val="47EB3E1C"/>
    <w:rsid w:val="481E3AAF"/>
    <w:rsid w:val="483D056E"/>
    <w:rsid w:val="485422E0"/>
    <w:rsid w:val="486C49B0"/>
    <w:rsid w:val="486F10A5"/>
    <w:rsid w:val="487565D5"/>
    <w:rsid w:val="48C42A3E"/>
    <w:rsid w:val="48FD385A"/>
    <w:rsid w:val="4921579A"/>
    <w:rsid w:val="493354CD"/>
    <w:rsid w:val="49341FF9"/>
    <w:rsid w:val="493556E9"/>
    <w:rsid w:val="49725FF6"/>
    <w:rsid w:val="49F04DE4"/>
    <w:rsid w:val="4A0B01F8"/>
    <w:rsid w:val="4A175E73"/>
    <w:rsid w:val="4A216F8B"/>
    <w:rsid w:val="4A560560"/>
    <w:rsid w:val="4A954A5F"/>
    <w:rsid w:val="4ADF52C2"/>
    <w:rsid w:val="4B1355B6"/>
    <w:rsid w:val="4B2E23F0"/>
    <w:rsid w:val="4B7E2B72"/>
    <w:rsid w:val="4B8244EA"/>
    <w:rsid w:val="4B897627"/>
    <w:rsid w:val="4BA1327D"/>
    <w:rsid w:val="4BDE5BC4"/>
    <w:rsid w:val="4C225B2C"/>
    <w:rsid w:val="4C567E51"/>
    <w:rsid w:val="4C8C4B93"/>
    <w:rsid w:val="4CA010CC"/>
    <w:rsid w:val="4CEC6287"/>
    <w:rsid w:val="4D5325E2"/>
    <w:rsid w:val="4D891B60"/>
    <w:rsid w:val="4DC5444C"/>
    <w:rsid w:val="4DF0398D"/>
    <w:rsid w:val="4DFE3442"/>
    <w:rsid w:val="4E125FF9"/>
    <w:rsid w:val="4E775E5C"/>
    <w:rsid w:val="4EA053B3"/>
    <w:rsid w:val="4EAB2916"/>
    <w:rsid w:val="4ED908C5"/>
    <w:rsid w:val="4F053A58"/>
    <w:rsid w:val="4F2F6737"/>
    <w:rsid w:val="4F471CD3"/>
    <w:rsid w:val="4F590025"/>
    <w:rsid w:val="4F960564"/>
    <w:rsid w:val="50200DCA"/>
    <w:rsid w:val="506D5769"/>
    <w:rsid w:val="50924895"/>
    <w:rsid w:val="512236AA"/>
    <w:rsid w:val="51375377"/>
    <w:rsid w:val="51552C9C"/>
    <w:rsid w:val="51AC22C1"/>
    <w:rsid w:val="52025B23"/>
    <w:rsid w:val="520B6FE7"/>
    <w:rsid w:val="527E5B61"/>
    <w:rsid w:val="528A2602"/>
    <w:rsid w:val="52976ACD"/>
    <w:rsid w:val="52EB11E0"/>
    <w:rsid w:val="536912CC"/>
    <w:rsid w:val="536C09D1"/>
    <w:rsid w:val="53963CFA"/>
    <w:rsid w:val="540C0A08"/>
    <w:rsid w:val="543B5442"/>
    <w:rsid w:val="54E12D87"/>
    <w:rsid w:val="54EB4C35"/>
    <w:rsid w:val="55055F70"/>
    <w:rsid w:val="55124B31"/>
    <w:rsid w:val="555B2034"/>
    <w:rsid w:val="556829A3"/>
    <w:rsid w:val="557A3281"/>
    <w:rsid w:val="55D50038"/>
    <w:rsid w:val="561641AD"/>
    <w:rsid w:val="56B57E6A"/>
    <w:rsid w:val="56C360E3"/>
    <w:rsid w:val="56C85EF8"/>
    <w:rsid w:val="56CD6F61"/>
    <w:rsid w:val="570341F8"/>
    <w:rsid w:val="571D6A2B"/>
    <w:rsid w:val="575B27BF"/>
    <w:rsid w:val="57B273E9"/>
    <w:rsid w:val="57B67C8D"/>
    <w:rsid w:val="57D40540"/>
    <w:rsid w:val="57EF4CB5"/>
    <w:rsid w:val="58346B6C"/>
    <w:rsid w:val="58372C70"/>
    <w:rsid w:val="589D1393"/>
    <w:rsid w:val="58C3061C"/>
    <w:rsid w:val="58E70221"/>
    <w:rsid w:val="58F22CAF"/>
    <w:rsid w:val="59314975"/>
    <w:rsid w:val="59C10AB4"/>
    <w:rsid w:val="59D56296"/>
    <w:rsid w:val="59D95C1D"/>
    <w:rsid w:val="59DE62A0"/>
    <w:rsid w:val="59EA1BD8"/>
    <w:rsid w:val="5AA955EF"/>
    <w:rsid w:val="5AE568F8"/>
    <w:rsid w:val="5AE605F2"/>
    <w:rsid w:val="5AF54CD9"/>
    <w:rsid w:val="5AFD593B"/>
    <w:rsid w:val="5B8A42EF"/>
    <w:rsid w:val="5BA76E58"/>
    <w:rsid w:val="5BBC1352"/>
    <w:rsid w:val="5BFB631F"/>
    <w:rsid w:val="5C003935"/>
    <w:rsid w:val="5C0351D3"/>
    <w:rsid w:val="5C3E4412"/>
    <w:rsid w:val="5C3F3891"/>
    <w:rsid w:val="5C484871"/>
    <w:rsid w:val="5C875E04"/>
    <w:rsid w:val="5C967DF5"/>
    <w:rsid w:val="5CFF1E3E"/>
    <w:rsid w:val="5D7A3273"/>
    <w:rsid w:val="5DA4235E"/>
    <w:rsid w:val="5DAA334D"/>
    <w:rsid w:val="5DDF5B1F"/>
    <w:rsid w:val="5DE352BC"/>
    <w:rsid w:val="5DFC53C5"/>
    <w:rsid w:val="5E253BAB"/>
    <w:rsid w:val="5ED21F55"/>
    <w:rsid w:val="5EDA6D5D"/>
    <w:rsid w:val="5F0D76A3"/>
    <w:rsid w:val="5F117C07"/>
    <w:rsid w:val="5F230066"/>
    <w:rsid w:val="5F2931A3"/>
    <w:rsid w:val="5F3538F6"/>
    <w:rsid w:val="5F381638"/>
    <w:rsid w:val="5F385194"/>
    <w:rsid w:val="5F3F6522"/>
    <w:rsid w:val="5F4639E0"/>
    <w:rsid w:val="5F686E8E"/>
    <w:rsid w:val="5F73441E"/>
    <w:rsid w:val="5F8D1984"/>
    <w:rsid w:val="5FAD7930"/>
    <w:rsid w:val="5FC829BC"/>
    <w:rsid w:val="5FCF3D4A"/>
    <w:rsid w:val="5FEA2B00"/>
    <w:rsid w:val="60883EF9"/>
    <w:rsid w:val="608A3882"/>
    <w:rsid w:val="608B2C81"/>
    <w:rsid w:val="608F34D9"/>
    <w:rsid w:val="60AF3879"/>
    <w:rsid w:val="60EF149E"/>
    <w:rsid w:val="61693230"/>
    <w:rsid w:val="61B84E22"/>
    <w:rsid w:val="61FD5295"/>
    <w:rsid w:val="628D3A49"/>
    <w:rsid w:val="62E83E16"/>
    <w:rsid w:val="631F28F3"/>
    <w:rsid w:val="636E387A"/>
    <w:rsid w:val="636E5E0F"/>
    <w:rsid w:val="637349EC"/>
    <w:rsid w:val="639C3F43"/>
    <w:rsid w:val="63A66B70"/>
    <w:rsid w:val="63DF2082"/>
    <w:rsid w:val="63ED479F"/>
    <w:rsid w:val="63F10999"/>
    <w:rsid w:val="641F4B74"/>
    <w:rsid w:val="6509385A"/>
    <w:rsid w:val="653D1756"/>
    <w:rsid w:val="656C55D4"/>
    <w:rsid w:val="65AD4482"/>
    <w:rsid w:val="65B25CA0"/>
    <w:rsid w:val="66504D19"/>
    <w:rsid w:val="665243A2"/>
    <w:rsid w:val="66552ACF"/>
    <w:rsid w:val="667411A7"/>
    <w:rsid w:val="668C58AE"/>
    <w:rsid w:val="66A7157D"/>
    <w:rsid w:val="66B5531C"/>
    <w:rsid w:val="66BC37E2"/>
    <w:rsid w:val="66DB2FD4"/>
    <w:rsid w:val="670B7AEA"/>
    <w:rsid w:val="671E1113"/>
    <w:rsid w:val="672A3F5C"/>
    <w:rsid w:val="6756421A"/>
    <w:rsid w:val="67630CEF"/>
    <w:rsid w:val="67780EDA"/>
    <w:rsid w:val="67A4786A"/>
    <w:rsid w:val="67FA392E"/>
    <w:rsid w:val="688A7DAC"/>
    <w:rsid w:val="68A5389A"/>
    <w:rsid w:val="68AF1D6D"/>
    <w:rsid w:val="68B161D3"/>
    <w:rsid w:val="68CF43EA"/>
    <w:rsid w:val="68D93544"/>
    <w:rsid w:val="690B56C7"/>
    <w:rsid w:val="690C3CE7"/>
    <w:rsid w:val="69416EAD"/>
    <w:rsid w:val="694C3FC0"/>
    <w:rsid w:val="69F66377"/>
    <w:rsid w:val="6A2627B9"/>
    <w:rsid w:val="6A503CD9"/>
    <w:rsid w:val="6A696B49"/>
    <w:rsid w:val="6AC65D4A"/>
    <w:rsid w:val="6AD46A66"/>
    <w:rsid w:val="6AED37F2"/>
    <w:rsid w:val="6B621F16"/>
    <w:rsid w:val="6B7D161D"/>
    <w:rsid w:val="6B9023FF"/>
    <w:rsid w:val="6BC04E8F"/>
    <w:rsid w:val="6BD41C61"/>
    <w:rsid w:val="6C0A614D"/>
    <w:rsid w:val="6C1D4188"/>
    <w:rsid w:val="6C8C114B"/>
    <w:rsid w:val="6CF9407C"/>
    <w:rsid w:val="6D002DFC"/>
    <w:rsid w:val="6D194017"/>
    <w:rsid w:val="6D837F22"/>
    <w:rsid w:val="6DD10C8D"/>
    <w:rsid w:val="6DEF55B7"/>
    <w:rsid w:val="6DFA6436"/>
    <w:rsid w:val="6E22773B"/>
    <w:rsid w:val="6E5D0773"/>
    <w:rsid w:val="6E602011"/>
    <w:rsid w:val="6E761835"/>
    <w:rsid w:val="6E8126B3"/>
    <w:rsid w:val="6E82467D"/>
    <w:rsid w:val="6EA6211A"/>
    <w:rsid w:val="6EC23191"/>
    <w:rsid w:val="6F3C65DA"/>
    <w:rsid w:val="6F5837CB"/>
    <w:rsid w:val="6F6D5423"/>
    <w:rsid w:val="6F7C0E3D"/>
    <w:rsid w:val="6F8E41A4"/>
    <w:rsid w:val="6FA32AFD"/>
    <w:rsid w:val="6FDD600F"/>
    <w:rsid w:val="6FEC0000"/>
    <w:rsid w:val="6FEE70E9"/>
    <w:rsid w:val="703235D5"/>
    <w:rsid w:val="70380103"/>
    <w:rsid w:val="70705949"/>
    <w:rsid w:val="70744007"/>
    <w:rsid w:val="70FF075C"/>
    <w:rsid w:val="710650F2"/>
    <w:rsid w:val="71066EA0"/>
    <w:rsid w:val="71431EA2"/>
    <w:rsid w:val="715C2F64"/>
    <w:rsid w:val="71804EA4"/>
    <w:rsid w:val="722F68CA"/>
    <w:rsid w:val="724D08F0"/>
    <w:rsid w:val="72534367"/>
    <w:rsid w:val="72A5093A"/>
    <w:rsid w:val="734E4B2E"/>
    <w:rsid w:val="73634A7D"/>
    <w:rsid w:val="73682094"/>
    <w:rsid w:val="73740A39"/>
    <w:rsid w:val="737C169B"/>
    <w:rsid w:val="739C3AEB"/>
    <w:rsid w:val="73C343E4"/>
    <w:rsid w:val="73E831D5"/>
    <w:rsid w:val="73F25E01"/>
    <w:rsid w:val="74117C8D"/>
    <w:rsid w:val="74806F69"/>
    <w:rsid w:val="74B471B3"/>
    <w:rsid w:val="74E03EAC"/>
    <w:rsid w:val="75717E89"/>
    <w:rsid w:val="758331B5"/>
    <w:rsid w:val="762A27DA"/>
    <w:rsid w:val="76524935"/>
    <w:rsid w:val="76816FC9"/>
    <w:rsid w:val="76832D41"/>
    <w:rsid w:val="77356731"/>
    <w:rsid w:val="773D1603"/>
    <w:rsid w:val="774A6156"/>
    <w:rsid w:val="77D71596"/>
    <w:rsid w:val="77EB35FA"/>
    <w:rsid w:val="78C4148F"/>
    <w:rsid w:val="7924080B"/>
    <w:rsid w:val="792D540E"/>
    <w:rsid w:val="798F3644"/>
    <w:rsid w:val="79D10450"/>
    <w:rsid w:val="7A245426"/>
    <w:rsid w:val="7A286917"/>
    <w:rsid w:val="7A290118"/>
    <w:rsid w:val="7A5C2227"/>
    <w:rsid w:val="7A601D17"/>
    <w:rsid w:val="7A97688D"/>
    <w:rsid w:val="7AF256B6"/>
    <w:rsid w:val="7AF449C4"/>
    <w:rsid w:val="7B051225"/>
    <w:rsid w:val="7B0846E3"/>
    <w:rsid w:val="7B4C229B"/>
    <w:rsid w:val="7B7F7F7B"/>
    <w:rsid w:val="7B914268"/>
    <w:rsid w:val="7B965AB3"/>
    <w:rsid w:val="7C444D20"/>
    <w:rsid w:val="7C7C0DEA"/>
    <w:rsid w:val="7CB00608"/>
    <w:rsid w:val="7D07647A"/>
    <w:rsid w:val="7D3935CB"/>
    <w:rsid w:val="7D7D6095"/>
    <w:rsid w:val="7D9A4AFF"/>
    <w:rsid w:val="7DAC5273"/>
    <w:rsid w:val="7DB14637"/>
    <w:rsid w:val="7DBF464A"/>
    <w:rsid w:val="7DF84014"/>
    <w:rsid w:val="7E0105AB"/>
    <w:rsid w:val="7E074257"/>
    <w:rsid w:val="7E795155"/>
    <w:rsid w:val="7E885398"/>
    <w:rsid w:val="7E9F4667"/>
    <w:rsid w:val="7EAD3051"/>
    <w:rsid w:val="7EB20667"/>
    <w:rsid w:val="7EF94618"/>
    <w:rsid w:val="7F211349"/>
    <w:rsid w:val="7F2C21C7"/>
    <w:rsid w:val="7F405C73"/>
    <w:rsid w:val="7F460DAF"/>
    <w:rsid w:val="7F4946CE"/>
    <w:rsid w:val="7F631B2A"/>
    <w:rsid w:val="7F65392B"/>
    <w:rsid w:val="7F98785D"/>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3232</Words>
  <Characters>3863</Characters>
  <Lines>0</Lines>
  <Paragraphs>0</Paragraphs>
  <TotalTime>0</TotalTime>
  <ScaleCrop>false</ScaleCrop>
  <LinksUpToDate>false</LinksUpToDate>
  <CharactersWithSpaces>3909</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2024-03-27T01:04:32Z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D23AE21371AD4B2A936F48373C5D0EDD_13</vt:lpwstr>
  </property>
</Properties>
</file>