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28</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rPr>
        <w:t>截至3月</w:t>
      </w:r>
      <w:r>
        <w:rPr>
          <w:rFonts w:hint="eastAsia" w:ascii="微软雅黑" w:hAnsi="微软雅黑" w:eastAsia="微软雅黑" w:cs="微软雅黑"/>
          <w:spacing w:val="4"/>
          <w:sz w:val="24"/>
          <w:szCs w:val="24"/>
          <w:lang w:val="en-US" w:eastAsia="zh-CN"/>
        </w:rPr>
        <w:t>28</w:t>
      </w:r>
      <w:r>
        <w:rPr>
          <w:rFonts w:hint="eastAsia" w:ascii="微软雅黑" w:hAnsi="微软雅黑" w:eastAsia="微软雅黑" w:cs="微软雅黑"/>
          <w:spacing w:val="4"/>
          <w:sz w:val="24"/>
          <w:szCs w:val="24"/>
        </w:rPr>
        <w:t>日，美国三大股指全线收涨</w:t>
      </w:r>
      <w:r>
        <w:rPr>
          <w:rFonts w:hint="eastAsia" w:ascii="微软雅黑" w:hAnsi="微软雅黑" w:eastAsia="微软雅黑" w:cs="微软雅黑"/>
          <w:spacing w:val="4"/>
          <w:sz w:val="24"/>
          <w:szCs w:val="24"/>
        </w:rPr>
        <w:t>，道指</w:t>
      </w:r>
      <w:r>
        <w:rPr>
          <w:rFonts w:hint="eastAsia" w:ascii="微软雅黑" w:hAnsi="微软雅黑" w:eastAsia="微软雅黑" w:cs="微软雅黑"/>
          <w:spacing w:val="4"/>
          <w:sz w:val="24"/>
          <w:szCs w:val="24"/>
        </w:rPr>
        <w:t>涨1.22%报39760.08点，标普500指数涨0.86%报5248.49点，创收盘新高，纳指</w:t>
      </w:r>
      <w:r>
        <w:rPr>
          <w:rFonts w:hint="eastAsia" w:ascii="微软雅黑" w:hAnsi="微软雅黑" w:eastAsia="微软雅黑" w:cs="微软雅黑"/>
          <w:spacing w:val="4"/>
          <w:sz w:val="24"/>
          <w:szCs w:val="24"/>
        </w:rPr>
        <w:t>涨0.51%报16399.52点</w:t>
      </w:r>
      <w:r>
        <w:rPr>
          <w:rFonts w:hint="eastAsia" w:ascii="微软雅黑" w:hAnsi="微软雅黑" w:eastAsia="微软雅黑" w:cs="微软雅黑"/>
          <w:spacing w:val="4"/>
          <w:sz w:val="24"/>
          <w:szCs w:val="24"/>
          <w:lang w:eastAsia="zh-CN"/>
        </w:rPr>
        <w:t>。美元指数跌0.02%报104.29，非美货币多数上涨，离岸人民币对美元跌53个基点报7.2541。国际油价小幅上涨，美油5月合约涨0.11%，报81.71美元/桶。布油6月合约涨0.08%，报85.7美元/桶。国际贵金属期货普遍收涨，LME期铜涨0.06%报8867.5美元/吨，COMEX黄金期货涨0.74%报2215.4美元/盎司，COMEX白银期货涨0.58%报24.765美元/盎司</w:t>
      </w:r>
      <w:r>
        <w:rPr>
          <w:rFonts w:hint="eastAsia" w:ascii="微软雅黑" w:hAnsi="微软雅黑" w:eastAsia="微软雅黑" w:cs="微软雅黑"/>
          <w:spacing w:val="4"/>
          <w:sz w:val="24"/>
          <w:szCs w:val="24"/>
        </w:rPr>
        <w:t>。</w:t>
      </w:r>
      <w:r>
        <w:rPr>
          <w:rFonts w:hint="eastAsia" w:ascii="微软雅黑" w:hAnsi="微软雅黑" w:eastAsia="微软雅黑" w:cs="微软雅黑"/>
          <w:spacing w:val="4"/>
          <w:sz w:val="24"/>
          <w:szCs w:val="24"/>
          <w:lang w:eastAsia="zh-CN"/>
        </w:rPr>
        <w:t xml:space="preserve"> 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rPr>
        <w:t>收跌0.90%</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结算价报22.</w:t>
      </w:r>
      <w:r>
        <w:rPr>
          <w:rFonts w:hint="eastAsia" w:ascii="微软雅黑" w:hAnsi="微软雅黑" w:eastAsia="微软雅黑" w:cs="微软雅黑"/>
          <w:spacing w:val="4"/>
          <w:sz w:val="24"/>
          <w:szCs w:val="24"/>
          <w:lang w:val="en-US" w:eastAsia="zh-CN"/>
        </w:rPr>
        <w:t>1</w:t>
      </w:r>
      <w:r>
        <w:rPr>
          <w:rFonts w:hint="eastAsia" w:ascii="微软雅黑" w:hAnsi="微软雅黑" w:eastAsia="微软雅黑" w:cs="微软雅黑"/>
          <w:spacing w:val="4"/>
          <w:sz w:val="24"/>
          <w:szCs w:val="24"/>
        </w:rPr>
        <w:t>9美分/磅</w:t>
      </w:r>
      <w:r>
        <w:rPr>
          <w:rFonts w:hint="eastAsia" w:ascii="微软雅黑" w:hAnsi="微软雅黑" w:eastAsia="微软雅黑" w:cs="微软雅黑"/>
          <w:spacing w:val="4"/>
          <w:sz w:val="24"/>
          <w:szCs w:val="24"/>
          <w:lang w:eastAsia="zh-CN"/>
        </w:rPr>
        <w:t>。ICE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rPr>
        <w:t>收</w:t>
      </w:r>
      <w:r>
        <w:rPr>
          <w:rFonts w:hint="eastAsia" w:ascii="微软雅黑" w:hAnsi="微软雅黑" w:eastAsia="微软雅黑" w:cs="微软雅黑"/>
          <w:spacing w:val="4"/>
          <w:sz w:val="24"/>
          <w:szCs w:val="24"/>
          <w:lang w:val="en-US" w:eastAsia="zh-CN"/>
        </w:rPr>
        <w:t>跌2.7</w:t>
      </w:r>
      <w:r>
        <w:rPr>
          <w:rFonts w:hint="eastAsia" w:ascii="微软雅黑" w:hAnsi="微软雅黑" w:eastAsia="微软雅黑" w:cs="微软雅黑"/>
          <w:spacing w:val="4"/>
          <w:sz w:val="24"/>
          <w:szCs w:val="24"/>
        </w:rPr>
        <w:t>%，结算价报9</w:t>
      </w:r>
      <w:r>
        <w:rPr>
          <w:rFonts w:hint="eastAsia" w:ascii="微软雅黑" w:hAnsi="微软雅黑" w:eastAsia="微软雅黑" w:cs="微软雅黑"/>
          <w:spacing w:val="4"/>
          <w:sz w:val="24"/>
          <w:szCs w:val="24"/>
          <w:lang w:val="en-US" w:eastAsia="zh-CN"/>
        </w:rPr>
        <w:t>0.77</w:t>
      </w:r>
      <w:r>
        <w:rPr>
          <w:rFonts w:hint="eastAsia" w:ascii="微软雅黑" w:hAnsi="微软雅黑" w:eastAsia="微软雅黑" w:cs="微软雅黑"/>
          <w:spacing w:val="4"/>
          <w:sz w:val="24"/>
          <w:szCs w:val="24"/>
        </w:rPr>
        <w:t>美分/磅</w:t>
      </w:r>
      <w:r>
        <w:rPr>
          <w:rFonts w:hint="eastAsia" w:ascii="微软雅黑" w:hAnsi="微软雅黑" w:eastAsia="微软雅黑" w:cs="微软雅黑"/>
          <w:spacing w:val="4"/>
          <w:sz w:val="24"/>
          <w:szCs w:val="24"/>
          <w:lang w:eastAsia="zh-CN"/>
        </w:rPr>
        <w:t>。</w:t>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hint="eastAsia" w:ascii="微软雅黑" w:hAnsi="微软雅黑" w:eastAsia="微软雅黑" w:cs="微软雅黑"/>
          <w:spacing w:val="12"/>
          <w:sz w:val="24"/>
          <w:szCs w:val="24"/>
        </w:rPr>
      </w:pPr>
      <w:r>
        <w:drawing>
          <wp:inline distT="0" distB="0" distL="114300" distR="114300">
            <wp:extent cx="6122670" cy="3392805"/>
            <wp:effectExtent l="0" t="0" r="11430" b="1714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6122670" cy="339280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【美联储理事沃勒：不急于降息，应推迟降息、或削减潜在的降息幅度。】</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【欧元区3月消费者信心指数终值-14.9，预期-14.9，初值-14.9，2月终值-15.5；3月工业景气指数-8.8，预期-9.0，前值-9.5；经济景气指数96.3，预期96.3，前值95.4；服务业景气指数6.3，预期7.8，前值6.0。】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【澳大利亚2月未季调CPI同比升3.4%，预期升3.5%，前值升3.4%。】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【美元兑日元最高触及151.97，刷新1990年以来新高。日本财务大臣铃木俊一表示，如有需要，将采取果断行动。】</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【日本央行审议委员田村直树表示，日本央行必须缓慢但稳步地实现超宽松货币政策的正常化，不再需要积极干预债券市场；货币政策并非以汇率为目标，不会考虑像美国那样加息。】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【日本央行行长植田和男表示，如果长期利率大幅上升，将灵活地进行债券购买操作；日本中长期通胀趋势仍在向2%迈进。】</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color w:val="036EB8"/>
          <w:position w:val="-4"/>
          <w:sz w:val="28"/>
          <w:szCs w:val="28"/>
        </w:rPr>
      </w:pPr>
      <w:r>
        <w:rPr>
          <w:rFonts w:hint="eastAsia" w:ascii="微软雅黑" w:hAnsi="微软雅黑" w:eastAsia="微软雅黑" w:cs="微软雅黑"/>
          <w:spacing w:val="4"/>
          <w:sz w:val="24"/>
          <w:szCs w:val="24"/>
          <w:lang w:eastAsia="zh-CN"/>
        </w:rPr>
        <w:t>【日本首席外汇事务官神田真人表示，近期日元走势背后存在投机性行动，不排除采取任何措施应对无序外汇波动。】</w:t>
      </w: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143" w:type="dxa"/>
            <w:vAlign w:val="top"/>
          </w:tcPr>
          <w:p>
            <w:pPr>
              <w:pStyle w:val="10"/>
              <w:spacing w:before="243" w:line="172" w:lineRule="auto"/>
              <w:ind w:left="94"/>
              <w:jc w:val="left"/>
              <w:rPr>
                <w:sz w:val="19"/>
                <w:szCs w:val="19"/>
              </w:rPr>
            </w:pPr>
            <w:r>
              <w:rPr>
                <w:rFonts w:hint="eastAsia"/>
                <w:b/>
                <w:bCs/>
                <w:spacing w:val="6"/>
                <w:sz w:val="19"/>
                <w:szCs w:val="19"/>
                <w:lang w:val="en-US" w:eastAsia="zh-CN"/>
              </w:rPr>
              <w:t>15：0</w:t>
            </w:r>
            <w:r>
              <w:rPr>
                <w:b/>
                <w:bCs/>
                <w:spacing w:val="6"/>
                <w:sz w:val="19"/>
                <w:szCs w:val="19"/>
              </w:rPr>
              <w:t>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 xml:space="preserve"> 英国2023年第四季度GDP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143" w:type="dxa"/>
            <w:shd w:val="clear" w:color="auto" w:fill="D3EAFF"/>
            <w:vAlign w:val="top"/>
          </w:tcPr>
          <w:p>
            <w:pPr>
              <w:pStyle w:val="10"/>
              <w:spacing w:before="245" w:line="172" w:lineRule="auto"/>
              <w:ind w:left="101"/>
              <w:jc w:val="left"/>
              <w:rPr>
                <w:rFonts w:hint="default"/>
                <w:sz w:val="19"/>
                <w:szCs w:val="19"/>
                <w:lang w:val="en-US"/>
              </w:rPr>
            </w:pPr>
            <w:r>
              <w:rPr>
                <w:rFonts w:hint="eastAsia"/>
                <w:b/>
                <w:bCs/>
                <w:spacing w:val="5"/>
                <w:sz w:val="19"/>
                <w:szCs w:val="19"/>
                <w:lang w:val="en-US" w:eastAsia="zh-CN"/>
              </w:rPr>
              <w:t>16：00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 xml:space="preserve"> 瑞士3月KOF经济领先指标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143" w:type="dxa"/>
            <w:vAlign w:val="top"/>
          </w:tcPr>
          <w:p>
            <w:pPr>
              <w:pStyle w:val="10"/>
              <w:spacing w:before="245" w:line="172" w:lineRule="auto"/>
              <w:ind w:left="101"/>
              <w:jc w:val="left"/>
              <w:rPr>
                <w:rFonts w:hint="default" w:eastAsia="微软雅黑"/>
                <w:sz w:val="19"/>
                <w:szCs w:val="19"/>
                <w:lang w:val="en-US" w:eastAsia="zh-CN"/>
              </w:rPr>
            </w:pPr>
            <w:r>
              <w:rPr>
                <w:rFonts w:hint="eastAsia"/>
                <w:b/>
                <w:bCs/>
                <w:spacing w:val="5"/>
                <w:sz w:val="19"/>
                <w:szCs w:val="19"/>
                <w:lang w:val="en-US" w:eastAsia="zh-CN"/>
              </w:rPr>
              <w:t>16：00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德国3月季调后失业人数/失业率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0"/>
              <w:spacing w:before="224" w:line="180" w:lineRule="auto"/>
              <w:jc w:val="center"/>
              <w:rPr>
                <w:rFonts w:hint="default"/>
                <w:sz w:val="19"/>
                <w:szCs w:val="19"/>
                <w:lang w:val="en-US"/>
              </w:rPr>
            </w:pPr>
            <w:r>
              <w:rPr>
                <w:rFonts w:hint="eastAsia"/>
                <w:sz w:val="19"/>
                <w:szCs w:val="19"/>
                <w:lang w:val="en-US" w:eastAsia="zh-CN"/>
              </w:rPr>
              <w:t>美国至3月23日当周初请失业金人数、2023年第四季度GDP、2023年第四季度核心PCE物价指数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6"/>
                <w:sz w:val="19"/>
                <w:szCs w:val="19"/>
                <w:lang w:val="en-US" w:eastAsia="zh-CN"/>
              </w:rPr>
              <w:t>21：45</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美国3月芝加哥PMI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143" w:type="dxa"/>
            <w:shd w:val="clear" w:color="auto" w:fill="D3EAFF"/>
            <w:vAlign w:val="top"/>
          </w:tcPr>
          <w:p>
            <w:pPr>
              <w:pStyle w:val="10"/>
              <w:spacing w:before="248" w:line="172" w:lineRule="auto"/>
              <w:ind w:left="101"/>
              <w:jc w:val="left"/>
              <w:rPr>
                <w:rFonts w:hint="default"/>
                <w:sz w:val="19"/>
                <w:szCs w:val="19"/>
                <w:lang w:val="en-US"/>
              </w:rPr>
            </w:pPr>
            <w:r>
              <w:rPr>
                <w:rFonts w:hint="eastAsia"/>
                <w:b/>
                <w:bCs/>
                <w:spacing w:val="5"/>
                <w:sz w:val="19"/>
                <w:szCs w:val="19"/>
                <w:lang w:val="en-US" w:eastAsia="zh-CN"/>
              </w:rPr>
              <w:t>22：00</w:t>
            </w:r>
          </w:p>
        </w:tc>
        <w:tc>
          <w:tcPr>
            <w:tcW w:w="6679" w:type="dxa"/>
            <w:shd w:val="clear" w:color="auto" w:fill="D3EAFF"/>
            <w:vAlign w:val="top"/>
          </w:tcPr>
          <w:p>
            <w:pPr>
              <w:pStyle w:val="10"/>
              <w:spacing w:before="228" w:line="179" w:lineRule="auto"/>
              <w:jc w:val="center"/>
              <w:rPr>
                <w:rFonts w:hint="default" w:eastAsia="微软雅黑"/>
                <w:sz w:val="19"/>
                <w:szCs w:val="19"/>
                <w:lang w:val="en-US" w:eastAsia="zh-CN"/>
              </w:rPr>
            </w:pPr>
            <w:r>
              <w:rPr>
                <w:rFonts w:hint="eastAsia"/>
                <w:sz w:val="19"/>
                <w:szCs w:val="19"/>
                <w:lang w:val="en-US" w:eastAsia="zh-CN"/>
              </w:rPr>
              <w:t>美国3月密歇根大学消费者信心指数、2月成屋签约销售指数</w:t>
            </w:r>
          </w:p>
        </w:tc>
      </w:tr>
    </w:tbl>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截至周四，</w:t>
      </w:r>
      <w:bookmarkStart w:id="2" w:name="_GoBack"/>
      <w:bookmarkEnd w:id="2"/>
      <w:r>
        <w:rPr>
          <w:rFonts w:hint="eastAsia" w:ascii="微软雅黑" w:hAnsi="微软雅黑" w:eastAsia="微软雅黑" w:cs="微软雅黑"/>
          <w:spacing w:val="12"/>
          <w:sz w:val="24"/>
          <w:szCs w:val="24"/>
          <w:lang w:val="en-US" w:eastAsia="zh-CN"/>
        </w:rPr>
        <w:t>美元指数跌0.02%报104.29，非美货币多数上涨，欧元兑美元跌0.03%报1.0828，英镑兑美元涨0.12%报1.2640，澳元兑美元涨0.02%报0.6534，美元兑日元跌0.17%报151.31。欧元区3月消费者信心指数终值-14.9符合预期，并较前值-15.5小幅提升；3月工业景气指数-8.8，略高于预期-9.0及前值-9.5；经济景气指数96.3，预期96.3，前值95.4，整体欧元区经济景气度有所恢复，但多数指标仍处于负数区间，未来欧洲央行为确保经济不落入衰退或释放一定鸽派信号。昨日日本央行行长及审议委员于公开演讲中谈论有关货币政策正常化事宜，短期内日本央行或持续通过购买债券以确保长期利率稳定并给予日本经济一定支撑，在日本央行维持宽松政策的状况下日元或将难以在短期内大幅升值。往后看，当前美国经济数据显示整体经济仍旧强于市场预期，同时欧洲非美国家年内降息空间或超市场预期，未来美国与非美国家利差或持续给予美元一定支撑。</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pPr>
      <w:r>
        <w:drawing>
          <wp:inline distT="0" distB="0" distL="114300" distR="114300">
            <wp:extent cx="6094730" cy="2044065"/>
            <wp:effectExtent l="0" t="0" r="127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6094730" cy="204406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rPr>
        <w:t>截至3月28日，标普500指数收涨0.86%至5248.49点；迷你标普500主力合约收涨0.68%至5308.25点。美股周三收高，道指涨逾470点，标普500指数再创历史新高。道指与标普500指数均止住此前连续三个交易日的下跌。本周晚些时候公布的重要PCE通胀数据可能为投资者判断美联储的政策路径提供更多线索。策略上，逢低试多。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149975" cy="2210435"/>
            <wp:effectExtent l="0" t="0" r="3175"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6149975" cy="221043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截至3月27日，富时中国A50指数收跌0.76%至12108.52点；新交所富时A50期指主力合约收跌1.01%至12111点。离岸人民币亦波动放大，叠加短线资金获利兑现</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市场做多情绪近日明显降温。基本面上，政策平稳落地、与市场预期一致，财政政策力度中性、房地产延续弱势、经济持续修复但结构性改善仍需时间。策略上，短线观望为主。详细支撑阻力位请见图表4</w:t>
      </w:r>
      <w:r>
        <w:rPr>
          <w:rFonts w:hint="eastAsia" w:ascii="微软雅黑" w:hAnsi="微软雅黑" w:eastAsia="微软雅黑" w:cs="微软雅黑"/>
          <w:spacing w:val="12"/>
          <w:sz w:val="24"/>
          <w:szCs w:val="24"/>
          <w:lang w:eastAsia="zh-CN"/>
        </w:rPr>
        <w:t>。</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ascii="新宋体" w:hAnsi="新宋体" w:eastAsia="新宋体"/>
        </w:rPr>
      </w:pPr>
      <w:r>
        <w:drawing>
          <wp:inline distT="0" distB="0" distL="0" distR="0">
            <wp:extent cx="6102985" cy="2225675"/>
            <wp:effectExtent l="0" t="0" r="1206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6102985" cy="222567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隔夜隔夜美元指数震荡偏弱，交投于104.29。基准的10年期美债收益率维持在4.2%关口上方，收报4.228%，对美联储政策利率最敏感的2年期美债收益率收报4.583%。</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库存方面：截至3月27日，LME铜库存为113100吨，环比-4300吨。3月22日当周，上海期货交易所阴极铜库存为285090吨，周环比-1305吨。</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外盘持仓方面：根据CFTC公布的最新数据显示，截止至3月19日当周，非商业多头持仓124316手，空头92391手，净多持仓31925手，较上周净多增加26498手。</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震荡偏强，其中2405合约报收4.013美元/磅，涨跌幅+0.1%。国际方面，美联储理事沃勒表示，目前没有迫切需要降息的迹象。他强调，通胀粘性表明无需急于降息，维持当前利率的时间可能比预期长，今年降息次数或减少。沃勒还称希望看到“至少几个月的通胀数据好转”，然后再降息。国内方面，国家统计局发布数据，1-2月份全国规模以上工业企业实现利润总额9140.6亿元，同比增长10.2%，利润由上年全年下降2.3%转为正增长。基本面上，供给端1-2月表观消费量整体小幅下降，加之铜矿端的偏紧供应会致使冶炼厂减产预期提升，需求上来看，下游铜材加工厂对精铜的价格接受度和外采情况或因价格的走高而有所影响。整体来看，宏观环境呈现偏暖局面，供给预期偏紧，而需求在政策指引下预期提振。操作上，建议COMEX铜2405合约轻仓逢低短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r>
        <w:drawing>
          <wp:inline distT="0" distB="0" distL="0" distR="0">
            <wp:extent cx="6083300" cy="2508885"/>
            <wp:effectExtent l="0" t="0" r="1270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6083300" cy="250888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欧元区3月消费者信心指数终值-14.9符合预期，并较前值-15.5小幅提升；3月工业景气指数-8.8，略高于预期-9.0及前值-9.5；经济景气指数96.3，预期96.3，前值95.4，整体欧元区经济景气度有所恢复，但多数指标仍处于负数区间，未来欧洲央行为确保经济不落入衰退或释放一定鸽派信号。昨日日本央行行长及审议委员于公开演讲中谈论有关货币政策正常化事宜，短期内日本央行或持续通过购买债券以确保长期利率稳定并给予日本经济一定支撑，在日本央行维持宽松政策的状况下日元或将难以在短期内大幅升值。</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外盘持仓方面：截至3月26日，SPDR Gold Trust黄金ETF持仓量为830.15吨，较上一交易日持平。</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往后看，当前美国经济数据显示整体经济仍旧强于市场预期，同时欧洲非美国家年内降息空间或超市场预期，未来美国与非美国家利差或持续给予美元一定支撑。美债收益率在昨日5年期国债拍卖结果超预期的情况下相对承压，短期内或持续给予贵金属价格一定支撑。操作上建议，日内观望为主，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54090" cy="1879600"/>
            <wp:effectExtent l="0" t="0" r="381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6054090" cy="1879600"/>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7"/>
          <w:sz w:val="21"/>
          <w:szCs w:val="21"/>
          <w:lang w:val="en-US"/>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隔夜原油低开震荡，小幅收跌，报收于632.1元。基本面上，国际原油期价回落</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布伦特原油6月期货合约结算价报85.63美元/桶，跌幅0.5%</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美国WTI原油5月期货合约结算价报81.62元/桶，跌幅0.4%。美国2月耐用品订单数据好于预期，美联储官员继续释放谨慎信号，美元指数小幅回升。欧佩克联盟产油国将自愿减产措施延长到二季度，沙特将自愿减产100万桶/日，俄罗斯将在二季度自愿削减供应47.1万桶/日</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胡赛武装继续袭击商船，俄罗斯遭遇恐怖袭击使得局势面临升级，地缘局势动荡支撑油市；俄罗斯政府要求油企减少石油产量，API美国原油库存大幅增加，市场权衡地缘局势与需求前景，短线原油期价呈现高位震荡。技术上，SC2405合约考验625一线支撑，上方测试635区域压力，短线上海原油期价呈现高位震荡走势。操作上，建议短线交易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073775" cy="22479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6073775" cy="224790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4"/>
      <w:bookmarkStart w:id="1" w:name="OLE_LINK3"/>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rPr>
        <w:t>洲际期货交易所（ICE）原糖期货周三收低，由于巴西3月上半月甘蔗压榨量高于上年同期。交投最活跃的ICE 5月原糖期货合约收盘收跌0.20美分或0.90%，结算价每磅22.19美分。操作上，建议5月ICE原糖短期暂且观望。</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129020" cy="1769745"/>
            <wp:effectExtent l="0" t="0" r="5080" b="1905"/>
            <wp:docPr id="24" name="图片 24" descr="756ae1f6e3accaeee38c88d959e8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56ae1f6e3accaeee38c88d959e8ba0"/>
                    <pic:cNvPicPr>
                      <a:picLocks noChangeAspect="1"/>
                    </pic:cNvPicPr>
                  </pic:nvPicPr>
                  <pic:blipFill>
                    <a:blip r:embed="rId19"/>
                    <a:stretch>
                      <a:fillRect/>
                    </a:stretch>
                  </pic:blipFill>
                  <pic:spPr>
                    <a:xfrm>
                      <a:off x="0" y="0"/>
                      <a:ext cx="6129020" cy="176974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en-US" w:eastAsia="zh-CN"/>
        </w:rPr>
        <w:t>洲际交易所(ICE)棉花期货周三下跌，交易商聚焦美国农业部种植意向报告。交投最活跃的ICE 5月期棉收跌2.64美分或2.70%，结算价报90.77美分/磅。操作上，建议5月ICE期棉短期暂且观望为宜。</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115050" cy="1901190"/>
            <wp:effectExtent l="0" t="0" r="0" b="3810"/>
            <wp:docPr id="25" name="图片 25" descr="5a619cb2092f329c3f2c3539ed02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a619cb2092f329c3f2c3539ed0263e"/>
                    <pic:cNvPicPr>
                      <a:picLocks noChangeAspect="1"/>
                    </pic:cNvPicPr>
                  </pic:nvPicPr>
                  <pic:blipFill>
                    <a:blip r:embed="rId20"/>
                    <a:stretch>
                      <a:fillRect/>
                    </a:stretch>
                  </pic:blipFill>
                  <pic:spPr>
                    <a:xfrm>
                      <a:off x="0" y="0"/>
                      <a:ext cx="6115050" cy="190119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81D4B"/>
    <w:rsid w:val="00593490"/>
    <w:rsid w:val="005F4A09"/>
    <w:rsid w:val="00920750"/>
    <w:rsid w:val="00CA7EEA"/>
    <w:rsid w:val="00D348C5"/>
    <w:rsid w:val="00DC19CB"/>
    <w:rsid w:val="00E16FE2"/>
    <w:rsid w:val="011E3D92"/>
    <w:rsid w:val="01486DF0"/>
    <w:rsid w:val="01761E20"/>
    <w:rsid w:val="018F67B1"/>
    <w:rsid w:val="019734A3"/>
    <w:rsid w:val="01B6046E"/>
    <w:rsid w:val="01C257A0"/>
    <w:rsid w:val="01FA65AD"/>
    <w:rsid w:val="021052EA"/>
    <w:rsid w:val="02151639"/>
    <w:rsid w:val="02A97FD3"/>
    <w:rsid w:val="02B7624C"/>
    <w:rsid w:val="02BC7D06"/>
    <w:rsid w:val="030659D3"/>
    <w:rsid w:val="033C0E47"/>
    <w:rsid w:val="03661A20"/>
    <w:rsid w:val="038E44A6"/>
    <w:rsid w:val="03AA4003"/>
    <w:rsid w:val="03D44348"/>
    <w:rsid w:val="03D64DF8"/>
    <w:rsid w:val="0402799B"/>
    <w:rsid w:val="04405814"/>
    <w:rsid w:val="044F0706"/>
    <w:rsid w:val="045A6DD9"/>
    <w:rsid w:val="04695C6C"/>
    <w:rsid w:val="04725735"/>
    <w:rsid w:val="0495080F"/>
    <w:rsid w:val="04CD0E7B"/>
    <w:rsid w:val="04E43544"/>
    <w:rsid w:val="04E55250"/>
    <w:rsid w:val="04FB69FF"/>
    <w:rsid w:val="053D4696"/>
    <w:rsid w:val="054933A7"/>
    <w:rsid w:val="056D52E8"/>
    <w:rsid w:val="059D2DAA"/>
    <w:rsid w:val="05C869C2"/>
    <w:rsid w:val="06874187"/>
    <w:rsid w:val="06920D0C"/>
    <w:rsid w:val="06AC1E40"/>
    <w:rsid w:val="06D40C03"/>
    <w:rsid w:val="06D860E7"/>
    <w:rsid w:val="06E91363"/>
    <w:rsid w:val="072919FB"/>
    <w:rsid w:val="07375BAD"/>
    <w:rsid w:val="07634D60"/>
    <w:rsid w:val="07652B87"/>
    <w:rsid w:val="07950B26"/>
    <w:rsid w:val="07D9719C"/>
    <w:rsid w:val="07EB25E1"/>
    <w:rsid w:val="07F5280A"/>
    <w:rsid w:val="07F67816"/>
    <w:rsid w:val="080F6B2A"/>
    <w:rsid w:val="089E2E0C"/>
    <w:rsid w:val="08B5322E"/>
    <w:rsid w:val="090E293E"/>
    <w:rsid w:val="09174F67"/>
    <w:rsid w:val="09252A9B"/>
    <w:rsid w:val="093E76C7"/>
    <w:rsid w:val="09491BC8"/>
    <w:rsid w:val="09840E52"/>
    <w:rsid w:val="099A2423"/>
    <w:rsid w:val="09AC6674"/>
    <w:rsid w:val="09F02DF6"/>
    <w:rsid w:val="09F31EAA"/>
    <w:rsid w:val="0A1470E4"/>
    <w:rsid w:val="0A2A37A7"/>
    <w:rsid w:val="0A434869"/>
    <w:rsid w:val="0A533A62"/>
    <w:rsid w:val="0A544CC8"/>
    <w:rsid w:val="0A7D5FCD"/>
    <w:rsid w:val="0A823CEB"/>
    <w:rsid w:val="0A8F399C"/>
    <w:rsid w:val="0A9A6B7F"/>
    <w:rsid w:val="0A9B3267"/>
    <w:rsid w:val="0AA82AC5"/>
    <w:rsid w:val="0ABF0394"/>
    <w:rsid w:val="0AC75B18"/>
    <w:rsid w:val="0AFD2C6A"/>
    <w:rsid w:val="0B0B2B07"/>
    <w:rsid w:val="0B0C10FF"/>
    <w:rsid w:val="0B116814"/>
    <w:rsid w:val="0B156206"/>
    <w:rsid w:val="0B3F6A8F"/>
    <w:rsid w:val="0B775713"/>
    <w:rsid w:val="0B7C44D7"/>
    <w:rsid w:val="0BA87886"/>
    <w:rsid w:val="0C023101"/>
    <w:rsid w:val="0C1E10EA"/>
    <w:rsid w:val="0C6311F3"/>
    <w:rsid w:val="0C7426EC"/>
    <w:rsid w:val="0C8A677F"/>
    <w:rsid w:val="0CE00A95"/>
    <w:rsid w:val="0D3A56A0"/>
    <w:rsid w:val="0D6945E7"/>
    <w:rsid w:val="0D766D04"/>
    <w:rsid w:val="0D815DD4"/>
    <w:rsid w:val="0E211365"/>
    <w:rsid w:val="0E304A35"/>
    <w:rsid w:val="0E4F7C80"/>
    <w:rsid w:val="0E6A2D0C"/>
    <w:rsid w:val="0E7D63D0"/>
    <w:rsid w:val="0E8A6F0A"/>
    <w:rsid w:val="0EC40C69"/>
    <w:rsid w:val="0F0E09E8"/>
    <w:rsid w:val="0F425337"/>
    <w:rsid w:val="0FB51D65"/>
    <w:rsid w:val="0FB7564B"/>
    <w:rsid w:val="0FD85A54"/>
    <w:rsid w:val="0FDC5544"/>
    <w:rsid w:val="101E5B5C"/>
    <w:rsid w:val="10240C99"/>
    <w:rsid w:val="103B02B6"/>
    <w:rsid w:val="104135F9"/>
    <w:rsid w:val="105A46BB"/>
    <w:rsid w:val="10A51DDA"/>
    <w:rsid w:val="10F1501F"/>
    <w:rsid w:val="1126167A"/>
    <w:rsid w:val="115F642C"/>
    <w:rsid w:val="119A2EC2"/>
    <w:rsid w:val="11DF575B"/>
    <w:rsid w:val="12064AFA"/>
    <w:rsid w:val="123A47A4"/>
    <w:rsid w:val="12837EF9"/>
    <w:rsid w:val="129245E0"/>
    <w:rsid w:val="12B72AC8"/>
    <w:rsid w:val="12C53BAB"/>
    <w:rsid w:val="12DD56D0"/>
    <w:rsid w:val="12E453E1"/>
    <w:rsid w:val="130A686C"/>
    <w:rsid w:val="13392CAD"/>
    <w:rsid w:val="13914897"/>
    <w:rsid w:val="13E83022"/>
    <w:rsid w:val="145B4DEA"/>
    <w:rsid w:val="146B1AFA"/>
    <w:rsid w:val="148B7538"/>
    <w:rsid w:val="14914C87"/>
    <w:rsid w:val="14E03753"/>
    <w:rsid w:val="14EF7AC7"/>
    <w:rsid w:val="15357EA3"/>
    <w:rsid w:val="153F7762"/>
    <w:rsid w:val="1546345F"/>
    <w:rsid w:val="157A3DE6"/>
    <w:rsid w:val="15A20FDE"/>
    <w:rsid w:val="15BF56EC"/>
    <w:rsid w:val="15FA0A52"/>
    <w:rsid w:val="162163A6"/>
    <w:rsid w:val="162F6237"/>
    <w:rsid w:val="163007A4"/>
    <w:rsid w:val="16323E9D"/>
    <w:rsid w:val="16526560"/>
    <w:rsid w:val="16532BAF"/>
    <w:rsid w:val="16640041"/>
    <w:rsid w:val="167A1613"/>
    <w:rsid w:val="167F4E7B"/>
    <w:rsid w:val="16A86180"/>
    <w:rsid w:val="16AB5CAD"/>
    <w:rsid w:val="16B17A67"/>
    <w:rsid w:val="16C117E9"/>
    <w:rsid w:val="16C3745D"/>
    <w:rsid w:val="16CE195E"/>
    <w:rsid w:val="16E84EEA"/>
    <w:rsid w:val="16ED5F07"/>
    <w:rsid w:val="16FE3FF2"/>
    <w:rsid w:val="17231CAA"/>
    <w:rsid w:val="1750680B"/>
    <w:rsid w:val="17602EFE"/>
    <w:rsid w:val="176B1094"/>
    <w:rsid w:val="179E5F3A"/>
    <w:rsid w:val="17A62F40"/>
    <w:rsid w:val="17C36FE9"/>
    <w:rsid w:val="17EF6030"/>
    <w:rsid w:val="181A30AD"/>
    <w:rsid w:val="188F46B1"/>
    <w:rsid w:val="188F6EFF"/>
    <w:rsid w:val="18AB1F57"/>
    <w:rsid w:val="18BF5A03"/>
    <w:rsid w:val="18DA6CE0"/>
    <w:rsid w:val="193957B5"/>
    <w:rsid w:val="19891B44"/>
    <w:rsid w:val="19E37FA1"/>
    <w:rsid w:val="1A1A3838"/>
    <w:rsid w:val="1A3760C8"/>
    <w:rsid w:val="1A7F5449"/>
    <w:rsid w:val="1A926B26"/>
    <w:rsid w:val="1AB33345"/>
    <w:rsid w:val="1AEE342A"/>
    <w:rsid w:val="1AFE6CB6"/>
    <w:rsid w:val="1B0B3181"/>
    <w:rsid w:val="1B143435"/>
    <w:rsid w:val="1B593EEC"/>
    <w:rsid w:val="1B6F54BE"/>
    <w:rsid w:val="1BCC2910"/>
    <w:rsid w:val="1BE952E4"/>
    <w:rsid w:val="1BEC2FB3"/>
    <w:rsid w:val="1C220782"/>
    <w:rsid w:val="1C2A3ADB"/>
    <w:rsid w:val="1C2C7853"/>
    <w:rsid w:val="1C2F2E9F"/>
    <w:rsid w:val="1C3C502D"/>
    <w:rsid w:val="1C56667E"/>
    <w:rsid w:val="1C5C2AF3"/>
    <w:rsid w:val="1C6F246D"/>
    <w:rsid w:val="1C705992"/>
    <w:rsid w:val="1C840E30"/>
    <w:rsid w:val="1C847E13"/>
    <w:rsid w:val="1C9871D4"/>
    <w:rsid w:val="1CA32066"/>
    <w:rsid w:val="1CB6711D"/>
    <w:rsid w:val="1CDB7F58"/>
    <w:rsid w:val="1CE56411"/>
    <w:rsid w:val="1D063C00"/>
    <w:rsid w:val="1D077978"/>
    <w:rsid w:val="1D5038FF"/>
    <w:rsid w:val="1DB70C3A"/>
    <w:rsid w:val="1DE026A3"/>
    <w:rsid w:val="1E140822"/>
    <w:rsid w:val="1EDA46D4"/>
    <w:rsid w:val="1F047D4E"/>
    <w:rsid w:val="1F066139"/>
    <w:rsid w:val="1F2E743E"/>
    <w:rsid w:val="1F43738D"/>
    <w:rsid w:val="1F570A81"/>
    <w:rsid w:val="1F69491A"/>
    <w:rsid w:val="1FA34B99"/>
    <w:rsid w:val="1FAA1158"/>
    <w:rsid w:val="1FBB3CE7"/>
    <w:rsid w:val="1FCF6E73"/>
    <w:rsid w:val="1FD955FC"/>
    <w:rsid w:val="1FE453E9"/>
    <w:rsid w:val="200B4005"/>
    <w:rsid w:val="201C373B"/>
    <w:rsid w:val="203B1E13"/>
    <w:rsid w:val="2040567B"/>
    <w:rsid w:val="20C067BC"/>
    <w:rsid w:val="20DA5ACF"/>
    <w:rsid w:val="213571AA"/>
    <w:rsid w:val="213836B0"/>
    <w:rsid w:val="213B4094"/>
    <w:rsid w:val="21893052"/>
    <w:rsid w:val="21934DFE"/>
    <w:rsid w:val="219E4C0D"/>
    <w:rsid w:val="224156DA"/>
    <w:rsid w:val="224C47AB"/>
    <w:rsid w:val="224C6559"/>
    <w:rsid w:val="227B0BEC"/>
    <w:rsid w:val="22CF093F"/>
    <w:rsid w:val="22F20137"/>
    <w:rsid w:val="23476D20"/>
    <w:rsid w:val="23503E27"/>
    <w:rsid w:val="23517B9F"/>
    <w:rsid w:val="235F71C6"/>
    <w:rsid w:val="23713D9D"/>
    <w:rsid w:val="237750EB"/>
    <w:rsid w:val="23F01166"/>
    <w:rsid w:val="23F24EDE"/>
    <w:rsid w:val="23F82635"/>
    <w:rsid w:val="24613C0B"/>
    <w:rsid w:val="24651B54"/>
    <w:rsid w:val="2490190B"/>
    <w:rsid w:val="24F212CA"/>
    <w:rsid w:val="25096983"/>
    <w:rsid w:val="25283888"/>
    <w:rsid w:val="25323DC4"/>
    <w:rsid w:val="25324D05"/>
    <w:rsid w:val="253B28B5"/>
    <w:rsid w:val="25472113"/>
    <w:rsid w:val="257D4C7B"/>
    <w:rsid w:val="25853B30"/>
    <w:rsid w:val="25873D4C"/>
    <w:rsid w:val="25A3141D"/>
    <w:rsid w:val="26591245"/>
    <w:rsid w:val="268F2EB8"/>
    <w:rsid w:val="268F3365"/>
    <w:rsid w:val="269C3827"/>
    <w:rsid w:val="269E134D"/>
    <w:rsid w:val="26AC3A6A"/>
    <w:rsid w:val="26C708A4"/>
    <w:rsid w:val="27104DCE"/>
    <w:rsid w:val="27196C26"/>
    <w:rsid w:val="274912B9"/>
    <w:rsid w:val="27541A0C"/>
    <w:rsid w:val="275639D6"/>
    <w:rsid w:val="276C31F9"/>
    <w:rsid w:val="27BA1634"/>
    <w:rsid w:val="27D03788"/>
    <w:rsid w:val="28575C58"/>
    <w:rsid w:val="287265EE"/>
    <w:rsid w:val="28D450EA"/>
    <w:rsid w:val="28D5055F"/>
    <w:rsid w:val="28FC39E6"/>
    <w:rsid w:val="29895F83"/>
    <w:rsid w:val="2A1831C5"/>
    <w:rsid w:val="2A581813"/>
    <w:rsid w:val="2AA841F2"/>
    <w:rsid w:val="2AF43C32"/>
    <w:rsid w:val="2B0A5203"/>
    <w:rsid w:val="2BBF5FEE"/>
    <w:rsid w:val="2BCA04EF"/>
    <w:rsid w:val="2C0E487F"/>
    <w:rsid w:val="2C0F5A5F"/>
    <w:rsid w:val="2C5030EA"/>
    <w:rsid w:val="2C7C5C8D"/>
    <w:rsid w:val="2C934D84"/>
    <w:rsid w:val="2CC413E2"/>
    <w:rsid w:val="2CCF6074"/>
    <w:rsid w:val="2CE028C6"/>
    <w:rsid w:val="2D012F66"/>
    <w:rsid w:val="2D771923"/>
    <w:rsid w:val="2D776454"/>
    <w:rsid w:val="2D7B5F44"/>
    <w:rsid w:val="2DA84860"/>
    <w:rsid w:val="2DE81100"/>
    <w:rsid w:val="2DEC299E"/>
    <w:rsid w:val="2DFB5908"/>
    <w:rsid w:val="2E0065CE"/>
    <w:rsid w:val="2E312AA7"/>
    <w:rsid w:val="2E746294"/>
    <w:rsid w:val="2EBF315F"/>
    <w:rsid w:val="2EF22236"/>
    <w:rsid w:val="2F1F6DA3"/>
    <w:rsid w:val="2F391C13"/>
    <w:rsid w:val="2F3D7961"/>
    <w:rsid w:val="2F666780"/>
    <w:rsid w:val="2F8C1E45"/>
    <w:rsid w:val="2FA63021"/>
    <w:rsid w:val="2FAA2B11"/>
    <w:rsid w:val="2FD7142C"/>
    <w:rsid w:val="2FF41FDE"/>
    <w:rsid w:val="2FFB511A"/>
    <w:rsid w:val="300F0BC6"/>
    <w:rsid w:val="30155912"/>
    <w:rsid w:val="3070283C"/>
    <w:rsid w:val="309A4933"/>
    <w:rsid w:val="30C9346B"/>
    <w:rsid w:val="30F32296"/>
    <w:rsid w:val="30FF50DE"/>
    <w:rsid w:val="31197F4E"/>
    <w:rsid w:val="311D7312"/>
    <w:rsid w:val="313E79B5"/>
    <w:rsid w:val="3163417D"/>
    <w:rsid w:val="318A49A8"/>
    <w:rsid w:val="31C51E84"/>
    <w:rsid w:val="31D644AB"/>
    <w:rsid w:val="32554509"/>
    <w:rsid w:val="326951F3"/>
    <w:rsid w:val="32A24300"/>
    <w:rsid w:val="32AE46C6"/>
    <w:rsid w:val="32CC0FF0"/>
    <w:rsid w:val="32E92FB9"/>
    <w:rsid w:val="334E2397"/>
    <w:rsid w:val="33526CEF"/>
    <w:rsid w:val="338418CB"/>
    <w:rsid w:val="33C64D45"/>
    <w:rsid w:val="33EC0EFE"/>
    <w:rsid w:val="33F8661C"/>
    <w:rsid w:val="345968B4"/>
    <w:rsid w:val="34945433"/>
    <w:rsid w:val="349F4C0E"/>
    <w:rsid w:val="350D601C"/>
    <w:rsid w:val="354B627A"/>
    <w:rsid w:val="356814A4"/>
    <w:rsid w:val="360311CD"/>
    <w:rsid w:val="36435665"/>
    <w:rsid w:val="3647730B"/>
    <w:rsid w:val="367C49A1"/>
    <w:rsid w:val="36C26992"/>
    <w:rsid w:val="36D55C7A"/>
    <w:rsid w:val="36EF34FF"/>
    <w:rsid w:val="3710594F"/>
    <w:rsid w:val="37545800"/>
    <w:rsid w:val="375D66BB"/>
    <w:rsid w:val="376B702A"/>
    <w:rsid w:val="37E1553E"/>
    <w:rsid w:val="381474C6"/>
    <w:rsid w:val="38183E1B"/>
    <w:rsid w:val="38295077"/>
    <w:rsid w:val="382F0057"/>
    <w:rsid w:val="384D08D4"/>
    <w:rsid w:val="38613F89"/>
    <w:rsid w:val="38B00000"/>
    <w:rsid w:val="38D37AC3"/>
    <w:rsid w:val="38E30E42"/>
    <w:rsid w:val="38F66DC7"/>
    <w:rsid w:val="392C04C3"/>
    <w:rsid w:val="39377035"/>
    <w:rsid w:val="39AB195F"/>
    <w:rsid w:val="3A1439A9"/>
    <w:rsid w:val="3A357A7E"/>
    <w:rsid w:val="3A6B10EF"/>
    <w:rsid w:val="3A8F494D"/>
    <w:rsid w:val="3AAA7E69"/>
    <w:rsid w:val="3AEB650A"/>
    <w:rsid w:val="3AF5356F"/>
    <w:rsid w:val="3AF61300"/>
    <w:rsid w:val="3B3460C0"/>
    <w:rsid w:val="3B6A75F8"/>
    <w:rsid w:val="3B755158"/>
    <w:rsid w:val="3B7A3CDF"/>
    <w:rsid w:val="3B837F8F"/>
    <w:rsid w:val="3B842468"/>
    <w:rsid w:val="3B862684"/>
    <w:rsid w:val="3B885799"/>
    <w:rsid w:val="3BA90120"/>
    <w:rsid w:val="3BE23632"/>
    <w:rsid w:val="3BEB0739"/>
    <w:rsid w:val="3C045336"/>
    <w:rsid w:val="3C241E9D"/>
    <w:rsid w:val="3C485465"/>
    <w:rsid w:val="3C4E5B21"/>
    <w:rsid w:val="3C540EF7"/>
    <w:rsid w:val="3C7060DA"/>
    <w:rsid w:val="3C917BA0"/>
    <w:rsid w:val="3CBA010B"/>
    <w:rsid w:val="3CC11038"/>
    <w:rsid w:val="3CE32F55"/>
    <w:rsid w:val="3D001FC2"/>
    <w:rsid w:val="3D255ECD"/>
    <w:rsid w:val="3D695EAF"/>
    <w:rsid w:val="3D7824A0"/>
    <w:rsid w:val="3D8F7BCA"/>
    <w:rsid w:val="3D932E36"/>
    <w:rsid w:val="3DB72FC9"/>
    <w:rsid w:val="3DB8289D"/>
    <w:rsid w:val="3DEB0EC4"/>
    <w:rsid w:val="3DF02037"/>
    <w:rsid w:val="3DF17B5D"/>
    <w:rsid w:val="3DF638A0"/>
    <w:rsid w:val="3DFD6502"/>
    <w:rsid w:val="3E0C1200"/>
    <w:rsid w:val="3E167563"/>
    <w:rsid w:val="3E2D5039"/>
    <w:rsid w:val="3E4F69BB"/>
    <w:rsid w:val="3E7964D0"/>
    <w:rsid w:val="3E810EE1"/>
    <w:rsid w:val="3E891DA4"/>
    <w:rsid w:val="3EA52668"/>
    <w:rsid w:val="3EBD0EE2"/>
    <w:rsid w:val="3F141D55"/>
    <w:rsid w:val="3F222FE0"/>
    <w:rsid w:val="3F3441A5"/>
    <w:rsid w:val="3F3D5750"/>
    <w:rsid w:val="3F682C26"/>
    <w:rsid w:val="3F8769CB"/>
    <w:rsid w:val="3F94000D"/>
    <w:rsid w:val="3FA330D9"/>
    <w:rsid w:val="3FAF7CCF"/>
    <w:rsid w:val="3FE43E1D"/>
    <w:rsid w:val="3FE47979"/>
    <w:rsid w:val="3FE8319B"/>
    <w:rsid w:val="4004305D"/>
    <w:rsid w:val="401D10DD"/>
    <w:rsid w:val="40442B0E"/>
    <w:rsid w:val="40CE2673"/>
    <w:rsid w:val="40EE65D6"/>
    <w:rsid w:val="416F7716"/>
    <w:rsid w:val="419B49AF"/>
    <w:rsid w:val="41A73354"/>
    <w:rsid w:val="41C23CEA"/>
    <w:rsid w:val="41C31810"/>
    <w:rsid w:val="41C757A4"/>
    <w:rsid w:val="41CE376B"/>
    <w:rsid w:val="41D41C6F"/>
    <w:rsid w:val="42162288"/>
    <w:rsid w:val="422C3859"/>
    <w:rsid w:val="424C7A58"/>
    <w:rsid w:val="428B1AA5"/>
    <w:rsid w:val="429D02B3"/>
    <w:rsid w:val="429F1251"/>
    <w:rsid w:val="42F36125"/>
    <w:rsid w:val="42F62490"/>
    <w:rsid w:val="43004B7A"/>
    <w:rsid w:val="43094BE2"/>
    <w:rsid w:val="430F539D"/>
    <w:rsid w:val="43212C92"/>
    <w:rsid w:val="43501FEC"/>
    <w:rsid w:val="43574906"/>
    <w:rsid w:val="43972F54"/>
    <w:rsid w:val="439F6C52"/>
    <w:rsid w:val="43D16466"/>
    <w:rsid w:val="441445A5"/>
    <w:rsid w:val="443A0129"/>
    <w:rsid w:val="449F47B6"/>
    <w:rsid w:val="44A0729C"/>
    <w:rsid w:val="44CD4E80"/>
    <w:rsid w:val="450308A1"/>
    <w:rsid w:val="45131232"/>
    <w:rsid w:val="45401AF6"/>
    <w:rsid w:val="457804D5"/>
    <w:rsid w:val="45EC3A2B"/>
    <w:rsid w:val="45EC7588"/>
    <w:rsid w:val="45F20916"/>
    <w:rsid w:val="45FD1795"/>
    <w:rsid w:val="460839C1"/>
    <w:rsid w:val="463236F2"/>
    <w:rsid w:val="463D7DE3"/>
    <w:rsid w:val="4694464B"/>
    <w:rsid w:val="46954ED9"/>
    <w:rsid w:val="46A61E2C"/>
    <w:rsid w:val="46F22218"/>
    <w:rsid w:val="46F72688"/>
    <w:rsid w:val="46FB5788"/>
    <w:rsid w:val="474358CD"/>
    <w:rsid w:val="47487D3C"/>
    <w:rsid w:val="474A6C5C"/>
    <w:rsid w:val="475A2C17"/>
    <w:rsid w:val="47A83982"/>
    <w:rsid w:val="47C66AE7"/>
    <w:rsid w:val="47D26C51"/>
    <w:rsid w:val="47DE55F6"/>
    <w:rsid w:val="47E04ECA"/>
    <w:rsid w:val="47E524E0"/>
    <w:rsid w:val="47EB3E1C"/>
    <w:rsid w:val="481E3AAF"/>
    <w:rsid w:val="483D056E"/>
    <w:rsid w:val="485422E0"/>
    <w:rsid w:val="486C49B0"/>
    <w:rsid w:val="486F10A5"/>
    <w:rsid w:val="487565D5"/>
    <w:rsid w:val="48C42A3E"/>
    <w:rsid w:val="48D16F09"/>
    <w:rsid w:val="48E82D4D"/>
    <w:rsid w:val="48FD385A"/>
    <w:rsid w:val="4921579A"/>
    <w:rsid w:val="493354CD"/>
    <w:rsid w:val="49341FF9"/>
    <w:rsid w:val="493556E9"/>
    <w:rsid w:val="49725FF6"/>
    <w:rsid w:val="49F04DE4"/>
    <w:rsid w:val="4A0B01F8"/>
    <w:rsid w:val="4A175E73"/>
    <w:rsid w:val="4A216F8B"/>
    <w:rsid w:val="4A560560"/>
    <w:rsid w:val="4A954A5F"/>
    <w:rsid w:val="4ADF52C2"/>
    <w:rsid w:val="4B1355B6"/>
    <w:rsid w:val="4B2E23F0"/>
    <w:rsid w:val="4B7676A2"/>
    <w:rsid w:val="4B7E2B72"/>
    <w:rsid w:val="4B8244EA"/>
    <w:rsid w:val="4B897627"/>
    <w:rsid w:val="4BA1327D"/>
    <w:rsid w:val="4BDE5BC4"/>
    <w:rsid w:val="4C225B2C"/>
    <w:rsid w:val="4C464A47"/>
    <w:rsid w:val="4C567E51"/>
    <w:rsid w:val="4C8C4B93"/>
    <w:rsid w:val="4CA010CC"/>
    <w:rsid w:val="4CEC6287"/>
    <w:rsid w:val="4D241CFD"/>
    <w:rsid w:val="4D5325E2"/>
    <w:rsid w:val="4D891B60"/>
    <w:rsid w:val="4DC5444C"/>
    <w:rsid w:val="4DF0398D"/>
    <w:rsid w:val="4DFE3442"/>
    <w:rsid w:val="4E125FF9"/>
    <w:rsid w:val="4E185B3D"/>
    <w:rsid w:val="4E775E5C"/>
    <w:rsid w:val="4EA053B3"/>
    <w:rsid w:val="4EAB2916"/>
    <w:rsid w:val="4EC05A55"/>
    <w:rsid w:val="4ED908C5"/>
    <w:rsid w:val="4F053A58"/>
    <w:rsid w:val="4F1D4C56"/>
    <w:rsid w:val="4F2F6737"/>
    <w:rsid w:val="4F471CD3"/>
    <w:rsid w:val="4F590025"/>
    <w:rsid w:val="4F960564"/>
    <w:rsid w:val="50200DCA"/>
    <w:rsid w:val="506D5769"/>
    <w:rsid w:val="50924895"/>
    <w:rsid w:val="512236AA"/>
    <w:rsid w:val="51375377"/>
    <w:rsid w:val="51552C9C"/>
    <w:rsid w:val="51AC22C1"/>
    <w:rsid w:val="52025B23"/>
    <w:rsid w:val="520B6FE7"/>
    <w:rsid w:val="52687391"/>
    <w:rsid w:val="527E5B61"/>
    <w:rsid w:val="528A2602"/>
    <w:rsid w:val="52976ACD"/>
    <w:rsid w:val="52EB11E0"/>
    <w:rsid w:val="53086608"/>
    <w:rsid w:val="536912CC"/>
    <w:rsid w:val="536C09D1"/>
    <w:rsid w:val="53963CFA"/>
    <w:rsid w:val="540C0A08"/>
    <w:rsid w:val="543B5442"/>
    <w:rsid w:val="54DC69F7"/>
    <w:rsid w:val="54E12D87"/>
    <w:rsid w:val="54EB4C35"/>
    <w:rsid w:val="55055F70"/>
    <w:rsid w:val="55124B31"/>
    <w:rsid w:val="555B2034"/>
    <w:rsid w:val="556829A3"/>
    <w:rsid w:val="557A3281"/>
    <w:rsid w:val="55CE6156"/>
    <w:rsid w:val="55D50038"/>
    <w:rsid w:val="561641AD"/>
    <w:rsid w:val="56B57E6A"/>
    <w:rsid w:val="56C360E3"/>
    <w:rsid w:val="56C85EF8"/>
    <w:rsid w:val="56CD6F61"/>
    <w:rsid w:val="570341F8"/>
    <w:rsid w:val="570861EB"/>
    <w:rsid w:val="571D6A2B"/>
    <w:rsid w:val="57201A20"/>
    <w:rsid w:val="57346FE0"/>
    <w:rsid w:val="575B27BF"/>
    <w:rsid w:val="578C4726"/>
    <w:rsid w:val="57AE1241"/>
    <w:rsid w:val="57B273E9"/>
    <w:rsid w:val="57B67C8D"/>
    <w:rsid w:val="57D40540"/>
    <w:rsid w:val="57EF4CB5"/>
    <w:rsid w:val="58346B6C"/>
    <w:rsid w:val="58372C70"/>
    <w:rsid w:val="589D1393"/>
    <w:rsid w:val="58B55EFF"/>
    <w:rsid w:val="58C3061C"/>
    <w:rsid w:val="58E70221"/>
    <w:rsid w:val="58F22CAF"/>
    <w:rsid w:val="591B7FEB"/>
    <w:rsid w:val="59314975"/>
    <w:rsid w:val="59550740"/>
    <w:rsid w:val="59C10AB4"/>
    <w:rsid w:val="59D56296"/>
    <w:rsid w:val="59D95C1D"/>
    <w:rsid w:val="59DE62A0"/>
    <w:rsid w:val="59EA1BD8"/>
    <w:rsid w:val="5A026F22"/>
    <w:rsid w:val="5AA955EF"/>
    <w:rsid w:val="5AE568F8"/>
    <w:rsid w:val="5AE605F2"/>
    <w:rsid w:val="5AF54CD9"/>
    <w:rsid w:val="5AFD593B"/>
    <w:rsid w:val="5B8A42EF"/>
    <w:rsid w:val="5BA76E58"/>
    <w:rsid w:val="5BBC1352"/>
    <w:rsid w:val="5BFB631F"/>
    <w:rsid w:val="5C003935"/>
    <w:rsid w:val="5C0351D3"/>
    <w:rsid w:val="5C3E4412"/>
    <w:rsid w:val="5C3F3891"/>
    <w:rsid w:val="5C484871"/>
    <w:rsid w:val="5C875E04"/>
    <w:rsid w:val="5C967DF5"/>
    <w:rsid w:val="5CBF734C"/>
    <w:rsid w:val="5CFF1E3E"/>
    <w:rsid w:val="5D6F2B20"/>
    <w:rsid w:val="5D7A3273"/>
    <w:rsid w:val="5DA4235E"/>
    <w:rsid w:val="5DAA334D"/>
    <w:rsid w:val="5DDF5B1F"/>
    <w:rsid w:val="5DE352BC"/>
    <w:rsid w:val="5DFC53C5"/>
    <w:rsid w:val="5E253BAB"/>
    <w:rsid w:val="5E4D4235"/>
    <w:rsid w:val="5ED21F55"/>
    <w:rsid w:val="5EDA6D5D"/>
    <w:rsid w:val="5EE035AA"/>
    <w:rsid w:val="5F0D76A3"/>
    <w:rsid w:val="5F117C07"/>
    <w:rsid w:val="5F230066"/>
    <w:rsid w:val="5F2931A3"/>
    <w:rsid w:val="5F334021"/>
    <w:rsid w:val="5F3538F6"/>
    <w:rsid w:val="5F381638"/>
    <w:rsid w:val="5F385194"/>
    <w:rsid w:val="5F3F6522"/>
    <w:rsid w:val="5F4639E0"/>
    <w:rsid w:val="5F686E8E"/>
    <w:rsid w:val="5F73441E"/>
    <w:rsid w:val="5F8D1984"/>
    <w:rsid w:val="5FAB0CC9"/>
    <w:rsid w:val="5FAD7930"/>
    <w:rsid w:val="5FC829BC"/>
    <w:rsid w:val="5FCF3D4A"/>
    <w:rsid w:val="5FEA2B00"/>
    <w:rsid w:val="60883EF9"/>
    <w:rsid w:val="608A3882"/>
    <w:rsid w:val="608B2C81"/>
    <w:rsid w:val="608F34D9"/>
    <w:rsid w:val="60AF3879"/>
    <w:rsid w:val="60C56EFB"/>
    <w:rsid w:val="60EF149E"/>
    <w:rsid w:val="61693230"/>
    <w:rsid w:val="61972B6A"/>
    <w:rsid w:val="61B84E22"/>
    <w:rsid w:val="61FD5295"/>
    <w:rsid w:val="628D3A49"/>
    <w:rsid w:val="62E83E16"/>
    <w:rsid w:val="62E95123"/>
    <w:rsid w:val="631F28F3"/>
    <w:rsid w:val="636E387A"/>
    <w:rsid w:val="636E5E0F"/>
    <w:rsid w:val="637349EC"/>
    <w:rsid w:val="639C3F43"/>
    <w:rsid w:val="63A66B70"/>
    <w:rsid w:val="63DF2082"/>
    <w:rsid w:val="63ED479F"/>
    <w:rsid w:val="63F10999"/>
    <w:rsid w:val="641F4B74"/>
    <w:rsid w:val="6502427A"/>
    <w:rsid w:val="6509385A"/>
    <w:rsid w:val="653D1756"/>
    <w:rsid w:val="656C55D4"/>
    <w:rsid w:val="65AD4482"/>
    <w:rsid w:val="65B25CA0"/>
    <w:rsid w:val="65DC4ACB"/>
    <w:rsid w:val="66326DE1"/>
    <w:rsid w:val="66504D19"/>
    <w:rsid w:val="665243A2"/>
    <w:rsid w:val="66552ACF"/>
    <w:rsid w:val="665E1984"/>
    <w:rsid w:val="66660838"/>
    <w:rsid w:val="667411A7"/>
    <w:rsid w:val="668C58AE"/>
    <w:rsid w:val="66A7157D"/>
    <w:rsid w:val="66B5531C"/>
    <w:rsid w:val="66BC37E2"/>
    <w:rsid w:val="66DB2FD4"/>
    <w:rsid w:val="670B7AEA"/>
    <w:rsid w:val="671E1113"/>
    <w:rsid w:val="672A3F5C"/>
    <w:rsid w:val="6756421A"/>
    <w:rsid w:val="67630CEF"/>
    <w:rsid w:val="67780EDA"/>
    <w:rsid w:val="679C7611"/>
    <w:rsid w:val="67A4786A"/>
    <w:rsid w:val="67FA392E"/>
    <w:rsid w:val="688A7DAC"/>
    <w:rsid w:val="68A5389A"/>
    <w:rsid w:val="68AF1D6D"/>
    <w:rsid w:val="68B161D3"/>
    <w:rsid w:val="68CF43EA"/>
    <w:rsid w:val="68D93544"/>
    <w:rsid w:val="690B56C7"/>
    <w:rsid w:val="690C3CE7"/>
    <w:rsid w:val="69416EAD"/>
    <w:rsid w:val="694C3FC0"/>
    <w:rsid w:val="69F25583"/>
    <w:rsid w:val="69F66377"/>
    <w:rsid w:val="6A2627B9"/>
    <w:rsid w:val="6A503CD9"/>
    <w:rsid w:val="6A696B49"/>
    <w:rsid w:val="6A8952C2"/>
    <w:rsid w:val="6AC65D4A"/>
    <w:rsid w:val="6AD46A66"/>
    <w:rsid w:val="6AED37F2"/>
    <w:rsid w:val="6B621F16"/>
    <w:rsid w:val="6B7D161D"/>
    <w:rsid w:val="6B9023FF"/>
    <w:rsid w:val="6B9F5BAD"/>
    <w:rsid w:val="6BC04E8F"/>
    <w:rsid w:val="6BC404DB"/>
    <w:rsid w:val="6BCA6224"/>
    <w:rsid w:val="6BD41C61"/>
    <w:rsid w:val="6C0A614D"/>
    <w:rsid w:val="6C1D4188"/>
    <w:rsid w:val="6C8C114B"/>
    <w:rsid w:val="6CF9407C"/>
    <w:rsid w:val="6D002DFC"/>
    <w:rsid w:val="6D194017"/>
    <w:rsid w:val="6D837F22"/>
    <w:rsid w:val="6DD10C8D"/>
    <w:rsid w:val="6DEF55B7"/>
    <w:rsid w:val="6DFA6436"/>
    <w:rsid w:val="6E22773B"/>
    <w:rsid w:val="6E5D0773"/>
    <w:rsid w:val="6E602011"/>
    <w:rsid w:val="6E761835"/>
    <w:rsid w:val="6E8126B3"/>
    <w:rsid w:val="6E82467D"/>
    <w:rsid w:val="6EA6211A"/>
    <w:rsid w:val="6EC23191"/>
    <w:rsid w:val="6F3C65DA"/>
    <w:rsid w:val="6F5837CB"/>
    <w:rsid w:val="6F6D5423"/>
    <w:rsid w:val="6F7C0E3D"/>
    <w:rsid w:val="6F8E41A4"/>
    <w:rsid w:val="6FA32AFD"/>
    <w:rsid w:val="6FDD600F"/>
    <w:rsid w:val="6FEC0000"/>
    <w:rsid w:val="6FEE70E9"/>
    <w:rsid w:val="703235D5"/>
    <w:rsid w:val="70380103"/>
    <w:rsid w:val="70705949"/>
    <w:rsid w:val="70744007"/>
    <w:rsid w:val="70FF075C"/>
    <w:rsid w:val="710650F2"/>
    <w:rsid w:val="71066EA0"/>
    <w:rsid w:val="71431EA2"/>
    <w:rsid w:val="715C2F64"/>
    <w:rsid w:val="71804EA4"/>
    <w:rsid w:val="722F68CA"/>
    <w:rsid w:val="724D08F0"/>
    <w:rsid w:val="72534367"/>
    <w:rsid w:val="72A5093A"/>
    <w:rsid w:val="72BF2E76"/>
    <w:rsid w:val="734E4B2E"/>
    <w:rsid w:val="73634A7D"/>
    <w:rsid w:val="73682094"/>
    <w:rsid w:val="73740A39"/>
    <w:rsid w:val="737C169B"/>
    <w:rsid w:val="739C3AEB"/>
    <w:rsid w:val="73C343E4"/>
    <w:rsid w:val="73E56BC8"/>
    <w:rsid w:val="73E831D5"/>
    <w:rsid w:val="73F25E01"/>
    <w:rsid w:val="740B2A1F"/>
    <w:rsid w:val="74117C8D"/>
    <w:rsid w:val="74220923"/>
    <w:rsid w:val="74806F69"/>
    <w:rsid w:val="74B471B3"/>
    <w:rsid w:val="74E03EAC"/>
    <w:rsid w:val="75221B04"/>
    <w:rsid w:val="75717E89"/>
    <w:rsid w:val="758331B5"/>
    <w:rsid w:val="75F419BD"/>
    <w:rsid w:val="762A27DA"/>
    <w:rsid w:val="76430936"/>
    <w:rsid w:val="76524935"/>
    <w:rsid w:val="76740D50"/>
    <w:rsid w:val="76816FC9"/>
    <w:rsid w:val="76832D41"/>
    <w:rsid w:val="77356731"/>
    <w:rsid w:val="773D1603"/>
    <w:rsid w:val="77400C32"/>
    <w:rsid w:val="774A6156"/>
    <w:rsid w:val="77D71596"/>
    <w:rsid w:val="77EB35FA"/>
    <w:rsid w:val="780D320A"/>
    <w:rsid w:val="78434E7D"/>
    <w:rsid w:val="78C4148F"/>
    <w:rsid w:val="7924080B"/>
    <w:rsid w:val="792D540E"/>
    <w:rsid w:val="798F3644"/>
    <w:rsid w:val="79D10450"/>
    <w:rsid w:val="7A245426"/>
    <w:rsid w:val="7A286917"/>
    <w:rsid w:val="7A290118"/>
    <w:rsid w:val="7A5C2227"/>
    <w:rsid w:val="7A601D17"/>
    <w:rsid w:val="7A97688D"/>
    <w:rsid w:val="7AF256B6"/>
    <w:rsid w:val="7AF449C4"/>
    <w:rsid w:val="7B051225"/>
    <w:rsid w:val="7B0846E3"/>
    <w:rsid w:val="7B4C229B"/>
    <w:rsid w:val="7B4C5DF7"/>
    <w:rsid w:val="7B7F7F7B"/>
    <w:rsid w:val="7B914268"/>
    <w:rsid w:val="7B965AB3"/>
    <w:rsid w:val="7C444D20"/>
    <w:rsid w:val="7C5C650E"/>
    <w:rsid w:val="7C7C0DEA"/>
    <w:rsid w:val="7CB00608"/>
    <w:rsid w:val="7D07647A"/>
    <w:rsid w:val="7D3935CB"/>
    <w:rsid w:val="7D7D6095"/>
    <w:rsid w:val="7D9A4AFF"/>
    <w:rsid w:val="7DAC5273"/>
    <w:rsid w:val="7DAD28DC"/>
    <w:rsid w:val="7DB14637"/>
    <w:rsid w:val="7DBF464A"/>
    <w:rsid w:val="7DF84014"/>
    <w:rsid w:val="7E0105AB"/>
    <w:rsid w:val="7E074257"/>
    <w:rsid w:val="7E795155"/>
    <w:rsid w:val="7E885398"/>
    <w:rsid w:val="7E9F4667"/>
    <w:rsid w:val="7EAD3051"/>
    <w:rsid w:val="7EB20667"/>
    <w:rsid w:val="7EF94618"/>
    <w:rsid w:val="7F211349"/>
    <w:rsid w:val="7F2C21C7"/>
    <w:rsid w:val="7F405C73"/>
    <w:rsid w:val="7F460DAF"/>
    <w:rsid w:val="7F4946CE"/>
    <w:rsid w:val="7F631B2A"/>
    <w:rsid w:val="7F65392B"/>
    <w:rsid w:val="7F98785D"/>
    <w:rsid w:val="7FC9626B"/>
    <w:rsid w:val="7FD0349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3232</Words>
  <Characters>3863</Characters>
  <Lines>0</Lines>
  <Paragraphs>0</Paragraphs>
  <TotalTime>2</TotalTime>
  <ScaleCrop>false</ScaleCrop>
  <LinksUpToDate>false</LinksUpToDate>
  <CharactersWithSpaces>3909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2024-03-28T01:27:57Z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