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德国、法国、英国、意大利等欧洲主要市场因复活节假期周一休市。</w:t>
      </w:r>
      <w:r>
        <w:rPr>
          <w:rFonts w:hint="eastAsia" w:ascii="微软雅黑" w:hAnsi="微软雅黑" w:eastAsia="微软雅黑" w:cs="微软雅黑"/>
          <w:spacing w:val="4"/>
          <w:sz w:val="24"/>
          <w:szCs w:val="24"/>
          <w:lang w:val="en-US" w:eastAsia="zh-CN"/>
        </w:rPr>
        <w:t>隔夜</w:t>
      </w:r>
      <w:r>
        <w:rPr>
          <w:rFonts w:hint="eastAsia" w:ascii="微软雅黑" w:hAnsi="微软雅黑" w:eastAsia="微软雅黑" w:cs="微软雅黑"/>
          <w:spacing w:val="4"/>
          <w:sz w:val="24"/>
          <w:szCs w:val="24"/>
          <w:lang w:eastAsia="zh-CN"/>
        </w:rPr>
        <w:t>美</w:t>
      </w:r>
      <w:r>
        <w:rPr>
          <w:rFonts w:hint="eastAsia" w:ascii="微软雅黑" w:hAnsi="微软雅黑" w:eastAsia="微软雅黑" w:cs="微软雅黑"/>
          <w:spacing w:val="4"/>
          <w:sz w:val="24"/>
          <w:szCs w:val="24"/>
          <w:lang w:val="en-US" w:eastAsia="zh-CN"/>
        </w:rPr>
        <w:t>债收益率攀升，股指承压，</w:t>
      </w:r>
      <w:r>
        <w:rPr>
          <w:rFonts w:hint="eastAsia" w:ascii="微软雅黑" w:hAnsi="微软雅黑" w:eastAsia="微软雅黑" w:cs="微软雅黑"/>
          <w:spacing w:val="4"/>
          <w:sz w:val="24"/>
          <w:szCs w:val="24"/>
          <w:lang w:eastAsia="zh-CN"/>
        </w:rPr>
        <w:t>道指跌</w:t>
      </w:r>
      <w:r>
        <w:rPr>
          <w:rFonts w:hint="eastAsia" w:ascii="微软雅黑" w:hAnsi="微软雅黑" w:eastAsia="微软雅黑" w:cs="微软雅黑"/>
          <w:spacing w:val="4"/>
          <w:sz w:val="24"/>
          <w:szCs w:val="24"/>
          <w:lang w:val="en-US" w:eastAsia="zh-CN"/>
        </w:rPr>
        <w:t>超600点，跌幅为</w:t>
      </w:r>
      <w:r>
        <w:rPr>
          <w:rFonts w:hint="eastAsia" w:ascii="微软雅黑" w:hAnsi="微软雅黑" w:eastAsia="微软雅黑" w:cs="微软雅黑"/>
          <w:spacing w:val="4"/>
          <w:sz w:val="24"/>
          <w:szCs w:val="24"/>
          <w:lang w:eastAsia="zh-CN"/>
        </w:rPr>
        <w:t>0.6%，标普500指数跌0.2%，纳指涨0.11%。美元指数涨0.43%报104.96，非美货币普遍下跌，离岸人民币对美元跌19个基点报7.2594。国际油价全线上涨，美油5月合约涨0.99%，报83.99美元/桶；布油6月合约涨0.84%，报87.73美元/桶。国际贵金属期货普遍收涨，COMEX黄金期货涨1.52%报2272.5美元/盎司，COMEX白银期货涨1.22%报25.22美元/盎司。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涨0.9</w:t>
      </w:r>
      <w:r>
        <w:rPr>
          <w:rFonts w:hint="eastAsia" w:ascii="微软雅黑" w:hAnsi="微软雅黑" w:eastAsia="微软雅黑" w:cs="微软雅黑"/>
          <w:spacing w:val="4"/>
          <w:sz w:val="24"/>
          <w:szCs w:val="24"/>
          <w:lang w:eastAsia="zh-CN"/>
        </w:rPr>
        <w:t>%，结算价报22.</w:t>
      </w:r>
      <w:r>
        <w:rPr>
          <w:rFonts w:hint="eastAsia" w:ascii="微软雅黑" w:hAnsi="微软雅黑" w:eastAsia="微软雅黑" w:cs="微软雅黑"/>
          <w:spacing w:val="4"/>
          <w:sz w:val="24"/>
          <w:szCs w:val="24"/>
          <w:lang w:val="en-US" w:eastAsia="zh-CN"/>
        </w:rPr>
        <w:t>72</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涨1.5</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92.76</w:t>
      </w:r>
      <w:r>
        <w:rPr>
          <w:rFonts w:hint="eastAsia" w:ascii="微软雅黑" w:hAnsi="微软雅黑" w:eastAsia="微软雅黑" w:cs="微软雅黑"/>
          <w:spacing w:val="4"/>
          <w:sz w:val="24"/>
          <w:szCs w:val="24"/>
          <w:lang w:eastAsia="zh-CN"/>
        </w:rPr>
        <w:t>美分/磅。</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ascii="微软雅黑" w:hAnsi="微软雅黑" w:eastAsia="微软雅黑" w:cs="微软雅黑"/>
          <w:spacing w:val="12"/>
          <w:sz w:val="24"/>
          <w:szCs w:val="24"/>
          <w:lang w:eastAsia="zh-CN"/>
        </w:rPr>
      </w:pPr>
      <w:r>
        <w:drawing>
          <wp:inline distT="0" distB="0" distL="114300" distR="114300">
            <wp:extent cx="6193790" cy="3431540"/>
            <wp:effectExtent l="0" t="0" r="16510"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193790" cy="343154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bookmarkStart w:id="2" w:name="_GoBack"/>
      <w:bookmarkEnd w:id="2"/>
      <w:r>
        <w:rPr>
          <w:rFonts w:hint="eastAsia" w:ascii="微软雅黑" w:hAnsi="微软雅黑" w:eastAsia="微软雅黑" w:cs="微软雅黑"/>
          <w:spacing w:val="4"/>
          <w:sz w:val="24"/>
          <w:szCs w:val="24"/>
          <w:lang w:eastAsia="zh-CN"/>
        </w:rPr>
        <w:t>据新加坡《联合早报》转引伊朗和叙利亚官方媒体报道，以色列4月1日对伊朗驻叙利亚大使馆发动空袭，造成7人死亡。】</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【美国3月ISM制造业PMI</w:t>
      </w:r>
      <w:r>
        <w:rPr>
          <w:rFonts w:hint="eastAsia" w:ascii="微软雅黑" w:hAnsi="微软雅黑" w:eastAsia="微软雅黑" w:cs="微软雅黑"/>
          <w:spacing w:val="4"/>
          <w:sz w:val="24"/>
          <w:szCs w:val="24"/>
          <w:lang w:val="en-US" w:eastAsia="zh-CN"/>
        </w:rPr>
        <w:t>为</w:t>
      </w:r>
      <w:r>
        <w:rPr>
          <w:rFonts w:hint="eastAsia" w:ascii="微软雅黑" w:hAnsi="微软雅黑" w:eastAsia="微软雅黑" w:cs="微软雅黑"/>
          <w:spacing w:val="4"/>
          <w:sz w:val="24"/>
          <w:szCs w:val="24"/>
          <w:lang w:eastAsia="zh-CN"/>
        </w:rPr>
        <w:t>50.3，</w:t>
      </w:r>
      <w:r>
        <w:rPr>
          <w:rFonts w:hint="eastAsia" w:ascii="微软雅黑" w:hAnsi="微软雅黑" w:eastAsia="微软雅黑" w:cs="微软雅黑"/>
          <w:spacing w:val="4"/>
          <w:sz w:val="24"/>
          <w:szCs w:val="24"/>
          <w:lang w:val="en-US" w:eastAsia="zh-CN"/>
        </w:rPr>
        <w:t>高于预期的48.5，</w:t>
      </w:r>
      <w:r>
        <w:rPr>
          <w:rFonts w:hint="eastAsia" w:ascii="微软雅黑" w:hAnsi="微软雅黑" w:eastAsia="微软雅黑" w:cs="微软雅黑"/>
          <w:spacing w:val="4"/>
          <w:sz w:val="24"/>
          <w:szCs w:val="24"/>
          <w:lang w:eastAsia="zh-CN"/>
        </w:rPr>
        <w:t>止住了连续16个月萎缩的势头，</w:t>
      </w:r>
      <w:r>
        <w:rPr>
          <w:rFonts w:hint="eastAsia" w:ascii="微软雅黑" w:hAnsi="微软雅黑" w:eastAsia="微软雅黑" w:cs="微软雅黑"/>
          <w:spacing w:val="4"/>
          <w:sz w:val="24"/>
          <w:szCs w:val="24"/>
          <w:lang w:val="en-US" w:eastAsia="zh-CN"/>
        </w:rPr>
        <w:t>重回扩张区间</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【美国3月SPGI制造业PMI终值为51.9，预期52.5，初值52.5，2月终值52.2。】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鲍威尔重申，在确信通胀率迈向2%的目标之前，不宜降息</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【据CME“美联储观察”，美联储5月维持利率不变的概率为96.5%，累计降息25个基点的概率为3.5%。美联储到6月维持利率不变的概率为41.6%，累计降息25个基点的概率为56.4%，累计降息50个基点的概率为2.0%。】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【美国2023年美国汽车工人联合会（UAW）会员人数下降3.3%至37万人，为2009年以来最低水平。】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第一季度短观大型制造业景气判断指数11，预期10，前值12，大型制造业前景指数10，预期11，前值8，大型非制造业景气判断指数34，预期33，前值30。日本第一季度短观小型制造业景气判断指数-1，预期-2，前值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【英国3月BRC商店价格指数同比增1.3%，预期增2.2%，前值增2.5%。】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现货黄金突破2250美元/盎司，国内金饰报价近700元/克</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【澳洲联储认为降低通胀的政策路径是不确定的；劳动力市场压力有所缓解，但仍然紧张；家庭储蓄正在减少，但减少速度很慢。】</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【韩国3月进口同比降12.3%，预期降8.1%，前值降13.1%；出口同比增3.1%，预期增5.2%，前值增4.8%。贸易帐初值顺差42.8亿美元，预期顺差57.5亿美元，前值顺差42.9亿美元。】</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vAlign w:val="top"/>
          </w:tcPr>
          <w:p>
            <w:pPr>
              <w:pStyle w:val="10"/>
              <w:spacing w:before="243" w:line="172" w:lineRule="auto"/>
              <w:ind w:left="94"/>
              <w:jc w:val="left"/>
              <w:rPr>
                <w:rFonts w:hint="default"/>
                <w:sz w:val="19"/>
                <w:szCs w:val="19"/>
                <w:lang w:val="en-US"/>
              </w:rPr>
            </w:pPr>
            <w:r>
              <w:rPr>
                <w:rFonts w:hint="eastAsia"/>
                <w:b/>
                <w:bCs/>
                <w:spacing w:val="6"/>
                <w:sz w:val="19"/>
                <w:szCs w:val="19"/>
                <w:lang w:val="en-US" w:eastAsia="zh-CN"/>
              </w:rPr>
              <w:t>14：30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 xml:space="preserve"> 瑞士2月实际零售销售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shd w:val="clear" w:color="auto" w:fill="D3EAFF"/>
            <w:vAlign w:val="top"/>
          </w:tcPr>
          <w:p>
            <w:pPr>
              <w:pStyle w:val="10"/>
              <w:spacing w:before="245" w:line="172" w:lineRule="auto"/>
              <w:ind w:left="101"/>
              <w:jc w:val="left"/>
              <w:rPr>
                <w:rFonts w:hint="default"/>
                <w:sz w:val="19"/>
                <w:szCs w:val="19"/>
                <w:lang w:val="en-US"/>
              </w:rPr>
            </w:pPr>
            <w:r>
              <w:rPr>
                <w:rFonts w:hint="eastAsia"/>
                <w:b/>
                <w:bCs/>
                <w:spacing w:val="5"/>
                <w:sz w:val="19"/>
                <w:szCs w:val="19"/>
                <w:lang w:val="en-US" w:eastAsia="zh-CN"/>
              </w:rPr>
              <w:t>15：50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法国3月制造业PMI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15：55</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德国3月制造业PMI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16：00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default"/>
                <w:sz w:val="19"/>
                <w:szCs w:val="19"/>
                <w:lang w:val="en-US"/>
              </w:rPr>
              <w:t>欧元区3月制造业PMI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5"/>
                <w:sz w:val="19"/>
                <w:szCs w:val="19"/>
                <w:lang w:val="en-US" w:eastAsia="zh-CN"/>
              </w:rPr>
              <w:t>16：30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英国3月制造业PMI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20：00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eastAsia" w:eastAsia="微软雅黑"/>
                <w:sz w:val="19"/>
                <w:szCs w:val="19"/>
                <w:lang w:val="en-US" w:eastAsia="zh-CN"/>
              </w:rPr>
              <w:t> 德国3月CPI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w:t>
            </w:r>
          </w:p>
        </w:tc>
        <w:tc>
          <w:tcPr>
            <w:tcW w:w="1143" w:type="dxa"/>
            <w:vAlign w:val="top"/>
          </w:tcPr>
          <w:p>
            <w:pPr>
              <w:pStyle w:val="10"/>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vAlign w:val="top"/>
          </w:tcPr>
          <w:p>
            <w:pPr>
              <w:pStyle w:val="10"/>
              <w:spacing w:before="225" w:line="179" w:lineRule="auto"/>
              <w:jc w:val="center"/>
              <w:rPr>
                <w:rFonts w:hint="eastAsia"/>
                <w:sz w:val="19"/>
                <w:szCs w:val="19"/>
                <w:lang w:val="en-US" w:eastAsia="zh-CN"/>
              </w:rPr>
            </w:pPr>
            <w:r>
              <w:rPr>
                <w:rFonts w:hint="eastAsia"/>
                <w:sz w:val="19"/>
                <w:szCs w:val="19"/>
                <w:lang w:val="en-US" w:eastAsia="zh-CN"/>
              </w:rPr>
              <w:t>美国2月JOLTs职位空缺、</w:t>
            </w:r>
            <w:r>
              <w:rPr>
                <w:rFonts w:hint="eastAsia" w:eastAsia="微软雅黑"/>
                <w:sz w:val="19"/>
                <w:szCs w:val="19"/>
                <w:lang w:val="en-US" w:eastAsia="zh-CN"/>
              </w:rPr>
              <w:t> 2月工厂订单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eastAsia" w:eastAsia="微软雅黑"/>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04：30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eastAsia" w:eastAsia="微软雅黑"/>
                <w:sz w:val="19"/>
                <w:szCs w:val="19"/>
                <w:lang w:val="en-US" w:eastAsia="zh-CN"/>
              </w:rPr>
              <w:t>美国至3月29日当周API原油库存</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涨0.43%报104.96，非美货币普遍下跌，欧元兑美元跌0.44%报1.0743，英镑兑美元跌0.59%报1.2551，澳元兑美元跌0.39%报0.6489，美元兑日元涨0.2%报151.65。昨日公布的美国3月份制造业活动意外扩张，为自2022年9月以来首次，因生产大幅反弹，需求走强，同时投入成本攀升。数据显示，美国3月ISM制造业PMI上升2.5至50.3。该指数止住了连续16个月萎缩的势头，超出市场预期。美国的采购和供应管理高管最近表达了乐观情绪。制造业数据走强或体现美国经济韧性尚存，整体或不利后继商品价格下降，通胀下行或将受阻。往后看，短期内美元指数在美国与非美国家利差扩大的影响下或持续得到提振。</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pPr>
      <w:r>
        <w:drawing>
          <wp:inline distT="0" distB="0" distL="114300" distR="114300">
            <wp:extent cx="6061710" cy="2600960"/>
            <wp:effectExtent l="0" t="0" r="152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6061710" cy="260096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4月2日，标普500指数收跌0.20%至5243.77点；迷你标普500主力合约收跌0.20%至5293.75点。美股周一收盘涨跌不一，道指跌逾240点。美国国债收益率跃升令股指承压。美国2月核心PCE价格指数显示通胀疲软，强化了美联储今年降息的市场预期，但美联储主席鲍威尔称其基本符合预期，并重申不急于降息。本周市场关注3月非农就业数据。策略上，逢低试多。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188075" cy="2463165"/>
            <wp:effectExtent l="0" t="0" r="3175"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6188075" cy="246316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截至4月1日，富时中国A50指数收涨1.31%至12295.59点；新交所富时A50期指主力合约收涨1.51%至12306点。基本面上看，3月PMI数据超过预期，引发市场对一季度GDP增速的乐观预期。虽然高频数据下固投端仍修复缓慢，政府新增专项债低于同期，市场对经济增长担忧或有所缓解。考虑到前2个月份经济超预期表现，一季度整体经济增速有望维持在5%以上，整体经济仍处于修复阶段。指数中长期上行仍有空间。策略上，短线逢低做多为主。详细支撑阻力位请见图表4。</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36310" cy="2503170"/>
            <wp:effectExtent l="0" t="0" r="254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6036310" cy="250317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美国3月ISM制造业PMI录得50.3，为2022年9月以来首次出现扩张，互换市场减少对美联储降息的押注，6月降息的概率已不到50%，美元偏强。国内方面，3月财新中国制造业PMI为51.1，环比上升0.2个百分点，已连续五个月位于扩张区间，创2023年3月来新高，显示制造业生产经营活动加速向好。基本面上，供给端减产预期在矿端供应偏紧、TC费用持续走低的影响下提升，需求在宏观整体偏暖，流动性相对宽松，以旧换新政策引导下，预期亦整体向好，但不可忽视的是仍需关注下游加工厂对高价铜的心理接受程度。综合来看，铜价将受到成本及预期的支撑。操作上，震荡偏强走势为主，下有基本面托底，上方美元持续释压。</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073775" cy="2219960"/>
            <wp:effectExtent l="0" t="0" r="317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073775" cy="221996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公布的美国3月份制造业活动意外扩张，为自2022年9月以来首次，因生产大幅反弹，需求走强，同时投入成本攀升。数据显示，美国3月ISM制造业PMI上升2.5至50.3。该指数止住了连续16个月萎缩的势头，超出市场预期。美国的采购和供应管理高管最近表达了乐观情绪。制造业数据走强或体现美国经济韧性尚存，整体或不利后继商品价格下降，通胀下行或将受阻。</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外盘持仓方面：截至4月1日，SPDR Gold Trust黄金ETF持仓量为826.98吨，较上一交易日减少3.17吨。</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往后看，短期内美元指数及美债收益率在美国与非美国家利差扩大的影响下或持续得到提振，贵金属价格或相对承压。操作上建议，日内轻仓做空，请投资者注意风险控制。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93155" cy="2174240"/>
            <wp:effectExtent l="0" t="0" r="1714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6193155" cy="2174240"/>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继第一季度强劲上涨后，周一油价进一步上涨，中国制造业数据强劲，提振原油需求前景。</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今年三个月，原油期货近期合约飙升14%，6月布伦特原油升至每桶87美元，WTI原油也升至83美元以上，因为欧佩克联盟继续减产，乌克兰持续攻击俄罗斯能源基础设施，加上美国钻机运营数量减少，预示着原油供应前景趋紧。</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中国公布的数据显示工业活动在3月份出现反弹，结束了连续五个月的下滑，令交易者期待这个最大原油进口国的消费前景向好。瑞穗能源期货总监鲍勃?亚戈尔表示，中国原油需求可以说是地缘政治因素之外，唯一能够将油价推向新高的因素。夏季汽油需求强劲，中国原油需求反弹，可能是提振油价达到每桶100美元的组合拳。</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科泰克证券公司大宗商品研究主管拉文德拉拉奥表示，在工业活动和工厂产出复苏的推动下，中国经济前景向好，提振需求前景。</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持续的地缘政治紧张局势也起到了支撑作用。乌克兰持续对俄罗斯能源基础设施实施袭击，中东紧张局势加剧也支撑了油价。</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市场人士预计欧佩克联盟将继续削减供应，同样对油价构成支持。</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欧佩克联盟定于周三举行在线会议，预计将会延续当前的产量政策。</w:t>
      </w:r>
    </w:p>
    <w:p>
      <w:pPr>
        <w:spacing w:before="103" w:line="256" w:lineRule="auto"/>
        <w:ind w:right="743" w:firstLine="576"/>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纽约商品期货交易所（NYMEX）的西德克萨斯中质原油（WTI）5月合约较上一交易日上涨0.54美元或0.65%，报收83.71美元/桶，短期呈现强势震荡走势。支撑位：82.1；压力位：85。</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149975" cy="2984500"/>
            <wp:effectExtent l="0" t="0" r="317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6149975" cy="298450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4"/>
      <w:bookmarkStart w:id="1" w:name="OLE_LINK3"/>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一收高，盘中触及2月底以来高位，市场焦点集中在巴西更多糖厂是否开榨。交投最活跃的5月ICE原糖期货合约收盘收涨0.2美分或0.9%，结算价每磅22.72美分。操作上，建议5月ICE原糖短期暂且观望。</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151880" cy="2580640"/>
            <wp:effectExtent l="0" t="0" r="1270" b="10160"/>
            <wp:docPr id="11" name="图片 11" descr="ea93fb96cb465ff9588e8a261d60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a93fb96cb465ff9588e8a261d6015e"/>
                    <pic:cNvPicPr>
                      <a:picLocks noChangeAspect="1"/>
                    </pic:cNvPicPr>
                  </pic:nvPicPr>
                  <pic:blipFill>
                    <a:blip r:embed="rId19"/>
                    <a:stretch>
                      <a:fillRect/>
                    </a:stretch>
                  </pic:blipFill>
                  <pic:spPr>
                    <a:xfrm>
                      <a:off x="0" y="0"/>
                      <a:ext cx="6151880" cy="258064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en-US" w:eastAsia="zh-CN"/>
        </w:rPr>
        <w:t>洲际交易所(ICE)棉花期货周一收涨，受助于美农报告显示美棉种植意向低于市场预期。交投最活跃的ICE 5月期棉收涨1.38美分或1.50%，结算价报92.76分/磅。操作上，建议5月 ICE 期棉短期暂且观望为宜。</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172835" cy="2234565"/>
            <wp:effectExtent l="0" t="0" r="18415" b="13335"/>
            <wp:docPr id="12" name="图片 12" descr="1b48d96614718643af834833329c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b48d96614718643af834833329cded"/>
                    <pic:cNvPicPr>
                      <a:picLocks noChangeAspect="1"/>
                    </pic:cNvPicPr>
                  </pic:nvPicPr>
                  <pic:blipFill>
                    <a:blip r:embed="rId20"/>
                    <a:stretch>
                      <a:fillRect/>
                    </a:stretch>
                  </pic:blipFill>
                  <pic:spPr>
                    <a:xfrm>
                      <a:off x="0" y="0"/>
                      <a:ext cx="6172835" cy="223456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81D4B"/>
    <w:rsid w:val="00593490"/>
    <w:rsid w:val="005F4A09"/>
    <w:rsid w:val="00920750"/>
    <w:rsid w:val="00CA7EEA"/>
    <w:rsid w:val="00D348C5"/>
    <w:rsid w:val="00DC19CB"/>
    <w:rsid w:val="00E16FE2"/>
    <w:rsid w:val="011E3D92"/>
    <w:rsid w:val="01486DF0"/>
    <w:rsid w:val="01761E20"/>
    <w:rsid w:val="018F67B1"/>
    <w:rsid w:val="019734A3"/>
    <w:rsid w:val="01B6046E"/>
    <w:rsid w:val="01C257A0"/>
    <w:rsid w:val="01FA65AD"/>
    <w:rsid w:val="021052EA"/>
    <w:rsid w:val="02151639"/>
    <w:rsid w:val="02A97FD3"/>
    <w:rsid w:val="02B7624C"/>
    <w:rsid w:val="02BC7D06"/>
    <w:rsid w:val="030659D3"/>
    <w:rsid w:val="033C0E47"/>
    <w:rsid w:val="03661A20"/>
    <w:rsid w:val="03705048"/>
    <w:rsid w:val="038E44A6"/>
    <w:rsid w:val="03AA4003"/>
    <w:rsid w:val="03D44348"/>
    <w:rsid w:val="03D64DF8"/>
    <w:rsid w:val="03F31506"/>
    <w:rsid w:val="03FE7EAB"/>
    <w:rsid w:val="0402799B"/>
    <w:rsid w:val="04405814"/>
    <w:rsid w:val="044F0706"/>
    <w:rsid w:val="045A6DD9"/>
    <w:rsid w:val="04620439"/>
    <w:rsid w:val="04695C6C"/>
    <w:rsid w:val="04725735"/>
    <w:rsid w:val="0495080F"/>
    <w:rsid w:val="049D5915"/>
    <w:rsid w:val="04CD0E7B"/>
    <w:rsid w:val="04E43544"/>
    <w:rsid w:val="04E55250"/>
    <w:rsid w:val="04FB69FF"/>
    <w:rsid w:val="053D4696"/>
    <w:rsid w:val="054933A7"/>
    <w:rsid w:val="056D52E8"/>
    <w:rsid w:val="059D2DAA"/>
    <w:rsid w:val="05C869C2"/>
    <w:rsid w:val="06874187"/>
    <w:rsid w:val="06920D0C"/>
    <w:rsid w:val="06AC1E40"/>
    <w:rsid w:val="06D40C03"/>
    <w:rsid w:val="06D860E7"/>
    <w:rsid w:val="06E91363"/>
    <w:rsid w:val="072919FB"/>
    <w:rsid w:val="07375BAD"/>
    <w:rsid w:val="07634D60"/>
    <w:rsid w:val="07652B87"/>
    <w:rsid w:val="077A4193"/>
    <w:rsid w:val="07950B26"/>
    <w:rsid w:val="07D9719C"/>
    <w:rsid w:val="07EB25E1"/>
    <w:rsid w:val="07F5280A"/>
    <w:rsid w:val="07F67816"/>
    <w:rsid w:val="080F6B2A"/>
    <w:rsid w:val="085B34CE"/>
    <w:rsid w:val="089E2E0C"/>
    <w:rsid w:val="08B5322E"/>
    <w:rsid w:val="08DD2784"/>
    <w:rsid w:val="08E949DF"/>
    <w:rsid w:val="08F817D8"/>
    <w:rsid w:val="090E293E"/>
    <w:rsid w:val="09174F67"/>
    <w:rsid w:val="09252A9B"/>
    <w:rsid w:val="093E76C7"/>
    <w:rsid w:val="09491BC8"/>
    <w:rsid w:val="09840E52"/>
    <w:rsid w:val="099A2423"/>
    <w:rsid w:val="09AC6674"/>
    <w:rsid w:val="09D26E62"/>
    <w:rsid w:val="09DA6CC4"/>
    <w:rsid w:val="09F02DF6"/>
    <w:rsid w:val="09F31EAA"/>
    <w:rsid w:val="0A1470E4"/>
    <w:rsid w:val="0A2A37A7"/>
    <w:rsid w:val="0A3E54A5"/>
    <w:rsid w:val="0A434869"/>
    <w:rsid w:val="0A533A62"/>
    <w:rsid w:val="0A544CC8"/>
    <w:rsid w:val="0A7D5FCD"/>
    <w:rsid w:val="0A823CEB"/>
    <w:rsid w:val="0A8F399C"/>
    <w:rsid w:val="0A9A6B7F"/>
    <w:rsid w:val="0A9B3267"/>
    <w:rsid w:val="0AA82AC5"/>
    <w:rsid w:val="0ABF0394"/>
    <w:rsid w:val="0AC75B18"/>
    <w:rsid w:val="0AFD2C6A"/>
    <w:rsid w:val="0B0B2B07"/>
    <w:rsid w:val="0B0C10FF"/>
    <w:rsid w:val="0B116814"/>
    <w:rsid w:val="0B156206"/>
    <w:rsid w:val="0B3F14D4"/>
    <w:rsid w:val="0B3F6A8F"/>
    <w:rsid w:val="0B6149B5"/>
    <w:rsid w:val="0B775713"/>
    <w:rsid w:val="0B7C44D7"/>
    <w:rsid w:val="0B837613"/>
    <w:rsid w:val="0BA87886"/>
    <w:rsid w:val="0C023101"/>
    <w:rsid w:val="0C1E10EA"/>
    <w:rsid w:val="0C6311F3"/>
    <w:rsid w:val="0C7426EC"/>
    <w:rsid w:val="0C874AB1"/>
    <w:rsid w:val="0C8A677F"/>
    <w:rsid w:val="0CA53877"/>
    <w:rsid w:val="0CE00A95"/>
    <w:rsid w:val="0CE7389C"/>
    <w:rsid w:val="0D3A56A0"/>
    <w:rsid w:val="0D6945E7"/>
    <w:rsid w:val="0D766D04"/>
    <w:rsid w:val="0D815DD4"/>
    <w:rsid w:val="0E211365"/>
    <w:rsid w:val="0E304A35"/>
    <w:rsid w:val="0E4F7C80"/>
    <w:rsid w:val="0E680D42"/>
    <w:rsid w:val="0E6A2D0C"/>
    <w:rsid w:val="0E7D63D0"/>
    <w:rsid w:val="0E8A6F0A"/>
    <w:rsid w:val="0E9D4E90"/>
    <w:rsid w:val="0EC40C69"/>
    <w:rsid w:val="0F0E09E8"/>
    <w:rsid w:val="0F425337"/>
    <w:rsid w:val="0F83743D"/>
    <w:rsid w:val="0FB51D65"/>
    <w:rsid w:val="0FB7564B"/>
    <w:rsid w:val="0FCF7FFC"/>
    <w:rsid w:val="0FD85A54"/>
    <w:rsid w:val="0FDC5544"/>
    <w:rsid w:val="0FE10DAC"/>
    <w:rsid w:val="101E5B5C"/>
    <w:rsid w:val="10240C99"/>
    <w:rsid w:val="103B02B6"/>
    <w:rsid w:val="104135F9"/>
    <w:rsid w:val="105A46BB"/>
    <w:rsid w:val="10A51DDA"/>
    <w:rsid w:val="10F1501F"/>
    <w:rsid w:val="1126167A"/>
    <w:rsid w:val="112C1D96"/>
    <w:rsid w:val="115D0CDB"/>
    <w:rsid w:val="115F642C"/>
    <w:rsid w:val="119A2EC2"/>
    <w:rsid w:val="11DF575B"/>
    <w:rsid w:val="12064AFA"/>
    <w:rsid w:val="123A47A4"/>
    <w:rsid w:val="12837EF9"/>
    <w:rsid w:val="129245E0"/>
    <w:rsid w:val="12B72AC8"/>
    <w:rsid w:val="12C53BAB"/>
    <w:rsid w:val="12C56763"/>
    <w:rsid w:val="12DD56D0"/>
    <w:rsid w:val="12E453E1"/>
    <w:rsid w:val="130A686C"/>
    <w:rsid w:val="13392CAD"/>
    <w:rsid w:val="136F66CF"/>
    <w:rsid w:val="137D0DEC"/>
    <w:rsid w:val="13914897"/>
    <w:rsid w:val="13AC16D1"/>
    <w:rsid w:val="13E83022"/>
    <w:rsid w:val="14055F2A"/>
    <w:rsid w:val="142D2812"/>
    <w:rsid w:val="145B4DEA"/>
    <w:rsid w:val="146B1AFA"/>
    <w:rsid w:val="146B50E8"/>
    <w:rsid w:val="148B7538"/>
    <w:rsid w:val="14914C87"/>
    <w:rsid w:val="14B24AC5"/>
    <w:rsid w:val="14E03753"/>
    <w:rsid w:val="14EF7AC7"/>
    <w:rsid w:val="15227E9D"/>
    <w:rsid w:val="15357EA3"/>
    <w:rsid w:val="153F7762"/>
    <w:rsid w:val="1546345F"/>
    <w:rsid w:val="157A3DE6"/>
    <w:rsid w:val="15A20FDE"/>
    <w:rsid w:val="15AD4515"/>
    <w:rsid w:val="15BF56EC"/>
    <w:rsid w:val="15FA0A52"/>
    <w:rsid w:val="160F471D"/>
    <w:rsid w:val="162163A6"/>
    <w:rsid w:val="162F6237"/>
    <w:rsid w:val="163007A4"/>
    <w:rsid w:val="16323E9D"/>
    <w:rsid w:val="16526560"/>
    <w:rsid w:val="16532BAF"/>
    <w:rsid w:val="16640041"/>
    <w:rsid w:val="167A1613"/>
    <w:rsid w:val="167F4E7B"/>
    <w:rsid w:val="169F376F"/>
    <w:rsid w:val="16A86180"/>
    <w:rsid w:val="16AB5CAD"/>
    <w:rsid w:val="16B17A67"/>
    <w:rsid w:val="16C117E9"/>
    <w:rsid w:val="16C3745D"/>
    <w:rsid w:val="16CE195E"/>
    <w:rsid w:val="16E84EEA"/>
    <w:rsid w:val="16ED5F07"/>
    <w:rsid w:val="16FE3FF2"/>
    <w:rsid w:val="17231CAA"/>
    <w:rsid w:val="17343EB7"/>
    <w:rsid w:val="174F2A9F"/>
    <w:rsid w:val="1750680B"/>
    <w:rsid w:val="17602EFE"/>
    <w:rsid w:val="176B1094"/>
    <w:rsid w:val="179E5F3A"/>
    <w:rsid w:val="17A62F40"/>
    <w:rsid w:val="17C36FE9"/>
    <w:rsid w:val="17EF6030"/>
    <w:rsid w:val="181A30AD"/>
    <w:rsid w:val="188F46B1"/>
    <w:rsid w:val="188F6EFF"/>
    <w:rsid w:val="18AB1F57"/>
    <w:rsid w:val="18BF5A03"/>
    <w:rsid w:val="18DA6CE0"/>
    <w:rsid w:val="193957B5"/>
    <w:rsid w:val="19891B44"/>
    <w:rsid w:val="19E37FA1"/>
    <w:rsid w:val="1A1A3838"/>
    <w:rsid w:val="1A2A15A2"/>
    <w:rsid w:val="1A3760C8"/>
    <w:rsid w:val="1A7F5449"/>
    <w:rsid w:val="1A926B26"/>
    <w:rsid w:val="1AB33345"/>
    <w:rsid w:val="1ADA4D76"/>
    <w:rsid w:val="1AEE342A"/>
    <w:rsid w:val="1AFE6CB6"/>
    <w:rsid w:val="1B0B3181"/>
    <w:rsid w:val="1B143435"/>
    <w:rsid w:val="1B593EEC"/>
    <w:rsid w:val="1B6F441F"/>
    <w:rsid w:val="1B6F54BE"/>
    <w:rsid w:val="1B8A054A"/>
    <w:rsid w:val="1BCC2910"/>
    <w:rsid w:val="1BE952E4"/>
    <w:rsid w:val="1BEC2FB3"/>
    <w:rsid w:val="1C220782"/>
    <w:rsid w:val="1C2A3ADB"/>
    <w:rsid w:val="1C2C7853"/>
    <w:rsid w:val="1C2F2E9F"/>
    <w:rsid w:val="1C3C502D"/>
    <w:rsid w:val="1C56667E"/>
    <w:rsid w:val="1C5C2AF3"/>
    <w:rsid w:val="1C6F246D"/>
    <w:rsid w:val="1C705992"/>
    <w:rsid w:val="1C840E30"/>
    <w:rsid w:val="1C847E13"/>
    <w:rsid w:val="1C9871D4"/>
    <w:rsid w:val="1C9961A4"/>
    <w:rsid w:val="1CA32066"/>
    <w:rsid w:val="1CB6536F"/>
    <w:rsid w:val="1CB6711D"/>
    <w:rsid w:val="1CDB7F58"/>
    <w:rsid w:val="1CE56411"/>
    <w:rsid w:val="1D063C00"/>
    <w:rsid w:val="1D077978"/>
    <w:rsid w:val="1D317F46"/>
    <w:rsid w:val="1D5038FF"/>
    <w:rsid w:val="1D8A2164"/>
    <w:rsid w:val="1DB70C3A"/>
    <w:rsid w:val="1DD62C34"/>
    <w:rsid w:val="1DE026A3"/>
    <w:rsid w:val="1E140822"/>
    <w:rsid w:val="1EDA46D4"/>
    <w:rsid w:val="1F047D4E"/>
    <w:rsid w:val="1F066139"/>
    <w:rsid w:val="1F2E743E"/>
    <w:rsid w:val="1F43738D"/>
    <w:rsid w:val="1F570A81"/>
    <w:rsid w:val="1F69491A"/>
    <w:rsid w:val="1FA34B99"/>
    <w:rsid w:val="1FAA1158"/>
    <w:rsid w:val="1FBB3CE7"/>
    <w:rsid w:val="1FCF6E73"/>
    <w:rsid w:val="1FD955FC"/>
    <w:rsid w:val="1FE453E9"/>
    <w:rsid w:val="200B4005"/>
    <w:rsid w:val="201C373B"/>
    <w:rsid w:val="203B1E13"/>
    <w:rsid w:val="2040567B"/>
    <w:rsid w:val="20C067BC"/>
    <w:rsid w:val="20DA5ACF"/>
    <w:rsid w:val="210A2CE1"/>
    <w:rsid w:val="210F504D"/>
    <w:rsid w:val="213571AA"/>
    <w:rsid w:val="213836B0"/>
    <w:rsid w:val="213B4094"/>
    <w:rsid w:val="21893052"/>
    <w:rsid w:val="21934DFE"/>
    <w:rsid w:val="219E4C0D"/>
    <w:rsid w:val="21E0526C"/>
    <w:rsid w:val="224156DA"/>
    <w:rsid w:val="22456F79"/>
    <w:rsid w:val="224C47AB"/>
    <w:rsid w:val="224C6559"/>
    <w:rsid w:val="225243A2"/>
    <w:rsid w:val="22695B2D"/>
    <w:rsid w:val="227B0BEC"/>
    <w:rsid w:val="22CF093F"/>
    <w:rsid w:val="22D57132"/>
    <w:rsid w:val="22F20137"/>
    <w:rsid w:val="23476D20"/>
    <w:rsid w:val="23503E27"/>
    <w:rsid w:val="23517B9F"/>
    <w:rsid w:val="235F71C6"/>
    <w:rsid w:val="23713D9D"/>
    <w:rsid w:val="237750EB"/>
    <w:rsid w:val="238179BB"/>
    <w:rsid w:val="23F01166"/>
    <w:rsid w:val="23F24EDE"/>
    <w:rsid w:val="23F82635"/>
    <w:rsid w:val="240B5FA0"/>
    <w:rsid w:val="24613C0B"/>
    <w:rsid w:val="24651B54"/>
    <w:rsid w:val="24711BFF"/>
    <w:rsid w:val="2490190B"/>
    <w:rsid w:val="24904744"/>
    <w:rsid w:val="24BB79C6"/>
    <w:rsid w:val="24E0742D"/>
    <w:rsid w:val="24F212CA"/>
    <w:rsid w:val="25096983"/>
    <w:rsid w:val="25283888"/>
    <w:rsid w:val="25323DC4"/>
    <w:rsid w:val="25324D05"/>
    <w:rsid w:val="253B28B5"/>
    <w:rsid w:val="25472113"/>
    <w:rsid w:val="257D4C7B"/>
    <w:rsid w:val="25853B30"/>
    <w:rsid w:val="25873D4C"/>
    <w:rsid w:val="25A3141D"/>
    <w:rsid w:val="25B71060"/>
    <w:rsid w:val="25BF3AFF"/>
    <w:rsid w:val="25D8182D"/>
    <w:rsid w:val="26583EBF"/>
    <w:rsid w:val="26591245"/>
    <w:rsid w:val="266A530B"/>
    <w:rsid w:val="268F2EB8"/>
    <w:rsid w:val="268F3365"/>
    <w:rsid w:val="269C3827"/>
    <w:rsid w:val="269E134D"/>
    <w:rsid w:val="26AC3A6A"/>
    <w:rsid w:val="26C708A4"/>
    <w:rsid w:val="26E2748C"/>
    <w:rsid w:val="26EA6341"/>
    <w:rsid w:val="27104DCE"/>
    <w:rsid w:val="27196C26"/>
    <w:rsid w:val="274912B9"/>
    <w:rsid w:val="27541A0C"/>
    <w:rsid w:val="27547C5E"/>
    <w:rsid w:val="275639D6"/>
    <w:rsid w:val="276C31F9"/>
    <w:rsid w:val="276F4A98"/>
    <w:rsid w:val="27B84C56"/>
    <w:rsid w:val="27BA1634"/>
    <w:rsid w:val="27D03788"/>
    <w:rsid w:val="28575C58"/>
    <w:rsid w:val="287265EE"/>
    <w:rsid w:val="28D450EA"/>
    <w:rsid w:val="28D5055F"/>
    <w:rsid w:val="28FC39E6"/>
    <w:rsid w:val="297457A6"/>
    <w:rsid w:val="29895F83"/>
    <w:rsid w:val="2A1831C5"/>
    <w:rsid w:val="2A581813"/>
    <w:rsid w:val="2A64640A"/>
    <w:rsid w:val="2AA841F2"/>
    <w:rsid w:val="2AF43C32"/>
    <w:rsid w:val="2B0A5203"/>
    <w:rsid w:val="2B2E2991"/>
    <w:rsid w:val="2BBF5FEE"/>
    <w:rsid w:val="2BCA04EF"/>
    <w:rsid w:val="2BCE6231"/>
    <w:rsid w:val="2BFD08C4"/>
    <w:rsid w:val="2C0E487F"/>
    <w:rsid w:val="2C0F5A5F"/>
    <w:rsid w:val="2C5030EA"/>
    <w:rsid w:val="2C7C5C8D"/>
    <w:rsid w:val="2C934D84"/>
    <w:rsid w:val="2CC413E2"/>
    <w:rsid w:val="2CCF6074"/>
    <w:rsid w:val="2CE028C6"/>
    <w:rsid w:val="2D012F66"/>
    <w:rsid w:val="2D771923"/>
    <w:rsid w:val="2D776454"/>
    <w:rsid w:val="2D7B5F44"/>
    <w:rsid w:val="2D875411"/>
    <w:rsid w:val="2DA84860"/>
    <w:rsid w:val="2DAF3E40"/>
    <w:rsid w:val="2DDD09AD"/>
    <w:rsid w:val="2DE81100"/>
    <w:rsid w:val="2DEC299E"/>
    <w:rsid w:val="2DFB5908"/>
    <w:rsid w:val="2E0065CE"/>
    <w:rsid w:val="2E312AA7"/>
    <w:rsid w:val="2E556795"/>
    <w:rsid w:val="2E746294"/>
    <w:rsid w:val="2EBF315F"/>
    <w:rsid w:val="2EC93975"/>
    <w:rsid w:val="2EF22236"/>
    <w:rsid w:val="2EF91480"/>
    <w:rsid w:val="2F1F6DA3"/>
    <w:rsid w:val="2F391C13"/>
    <w:rsid w:val="2F3D7961"/>
    <w:rsid w:val="2F666780"/>
    <w:rsid w:val="2F7075FF"/>
    <w:rsid w:val="2F8C1E45"/>
    <w:rsid w:val="2FA63021"/>
    <w:rsid w:val="2FAA2B11"/>
    <w:rsid w:val="2FD7142C"/>
    <w:rsid w:val="2FF41FDE"/>
    <w:rsid w:val="2FFB511A"/>
    <w:rsid w:val="300F0BC6"/>
    <w:rsid w:val="30155912"/>
    <w:rsid w:val="3070283C"/>
    <w:rsid w:val="307F5D4C"/>
    <w:rsid w:val="309A4933"/>
    <w:rsid w:val="30C9346B"/>
    <w:rsid w:val="30F32296"/>
    <w:rsid w:val="30FF50DE"/>
    <w:rsid w:val="31197F4E"/>
    <w:rsid w:val="311D7312"/>
    <w:rsid w:val="313E79B5"/>
    <w:rsid w:val="3163417D"/>
    <w:rsid w:val="318A49A8"/>
    <w:rsid w:val="31C51E84"/>
    <w:rsid w:val="31D644AB"/>
    <w:rsid w:val="31E242A6"/>
    <w:rsid w:val="32554509"/>
    <w:rsid w:val="326951F3"/>
    <w:rsid w:val="32A24300"/>
    <w:rsid w:val="32A61AD2"/>
    <w:rsid w:val="32AE46C6"/>
    <w:rsid w:val="32CC0FF0"/>
    <w:rsid w:val="32E92FB9"/>
    <w:rsid w:val="33150101"/>
    <w:rsid w:val="334E2397"/>
    <w:rsid w:val="33526CEF"/>
    <w:rsid w:val="338418CB"/>
    <w:rsid w:val="33AD30C5"/>
    <w:rsid w:val="33C64D45"/>
    <w:rsid w:val="33EC0EFE"/>
    <w:rsid w:val="33F64119"/>
    <w:rsid w:val="33F8661C"/>
    <w:rsid w:val="3454129D"/>
    <w:rsid w:val="345968B4"/>
    <w:rsid w:val="348025C6"/>
    <w:rsid w:val="34945433"/>
    <w:rsid w:val="349F4C0E"/>
    <w:rsid w:val="350D601C"/>
    <w:rsid w:val="354B627A"/>
    <w:rsid w:val="356814A4"/>
    <w:rsid w:val="35885E60"/>
    <w:rsid w:val="358E3D56"/>
    <w:rsid w:val="360311CD"/>
    <w:rsid w:val="36435665"/>
    <w:rsid w:val="3647730B"/>
    <w:rsid w:val="367C49A1"/>
    <w:rsid w:val="36C26992"/>
    <w:rsid w:val="36D52B69"/>
    <w:rsid w:val="36D55C7A"/>
    <w:rsid w:val="36EF34FF"/>
    <w:rsid w:val="3710594F"/>
    <w:rsid w:val="37364480"/>
    <w:rsid w:val="37545800"/>
    <w:rsid w:val="375D66BB"/>
    <w:rsid w:val="376B702A"/>
    <w:rsid w:val="37E1553E"/>
    <w:rsid w:val="381474C6"/>
    <w:rsid w:val="38183E1B"/>
    <w:rsid w:val="38295077"/>
    <w:rsid w:val="382F0057"/>
    <w:rsid w:val="384D08D4"/>
    <w:rsid w:val="38613F89"/>
    <w:rsid w:val="3895243A"/>
    <w:rsid w:val="38B00000"/>
    <w:rsid w:val="38BB18EB"/>
    <w:rsid w:val="38D37AC3"/>
    <w:rsid w:val="38E30E42"/>
    <w:rsid w:val="38F66DC7"/>
    <w:rsid w:val="392C04C3"/>
    <w:rsid w:val="39377035"/>
    <w:rsid w:val="39904B26"/>
    <w:rsid w:val="39AB195F"/>
    <w:rsid w:val="39D35282"/>
    <w:rsid w:val="3A1439A9"/>
    <w:rsid w:val="3A357A7E"/>
    <w:rsid w:val="3A6B10EF"/>
    <w:rsid w:val="3A8F494D"/>
    <w:rsid w:val="3AAA7E69"/>
    <w:rsid w:val="3AD06868"/>
    <w:rsid w:val="3AEB650A"/>
    <w:rsid w:val="3AF5356F"/>
    <w:rsid w:val="3AF61300"/>
    <w:rsid w:val="3B3460C0"/>
    <w:rsid w:val="3B691AD2"/>
    <w:rsid w:val="3B6A75F8"/>
    <w:rsid w:val="3B755158"/>
    <w:rsid w:val="3B7A3CDF"/>
    <w:rsid w:val="3B837F8F"/>
    <w:rsid w:val="3B842468"/>
    <w:rsid w:val="3B862684"/>
    <w:rsid w:val="3B885799"/>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11038"/>
    <w:rsid w:val="3CE32F55"/>
    <w:rsid w:val="3D001FC2"/>
    <w:rsid w:val="3D255ECD"/>
    <w:rsid w:val="3D695EAF"/>
    <w:rsid w:val="3D7824A0"/>
    <w:rsid w:val="3D8F7BCA"/>
    <w:rsid w:val="3D932E36"/>
    <w:rsid w:val="3DAD20DD"/>
    <w:rsid w:val="3DB72FC9"/>
    <w:rsid w:val="3DB8289D"/>
    <w:rsid w:val="3DEB0EC4"/>
    <w:rsid w:val="3DF02037"/>
    <w:rsid w:val="3DF17B5D"/>
    <w:rsid w:val="3DF638A0"/>
    <w:rsid w:val="3DFC418E"/>
    <w:rsid w:val="3DFD6502"/>
    <w:rsid w:val="3E0C1200"/>
    <w:rsid w:val="3E167563"/>
    <w:rsid w:val="3E2D5039"/>
    <w:rsid w:val="3E4F69BB"/>
    <w:rsid w:val="3E5C76CC"/>
    <w:rsid w:val="3E647289"/>
    <w:rsid w:val="3E7964D0"/>
    <w:rsid w:val="3E810EE1"/>
    <w:rsid w:val="3E891DA4"/>
    <w:rsid w:val="3E933797"/>
    <w:rsid w:val="3E976956"/>
    <w:rsid w:val="3EA52668"/>
    <w:rsid w:val="3EBD0EE2"/>
    <w:rsid w:val="3EFE4C27"/>
    <w:rsid w:val="3F141D55"/>
    <w:rsid w:val="3F222FE0"/>
    <w:rsid w:val="3F3441A5"/>
    <w:rsid w:val="3F3D5750"/>
    <w:rsid w:val="3F682C26"/>
    <w:rsid w:val="3F747261"/>
    <w:rsid w:val="3F8769CB"/>
    <w:rsid w:val="3F94000D"/>
    <w:rsid w:val="3FA330D9"/>
    <w:rsid w:val="3FAF7CCF"/>
    <w:rsid w:val="3FE43E1D"/>
    <w:rsid w:val="3FE47979"/>
    <w:rsid w:val="3FE8319B"/>
    <w:rsid w:val="4004305D"/>
    <w:rsid w:val="400870B8"/>
    <w:rsid w:val="401D10DD"/>
    <w:rsid w:val="40442B0E"/>
    <w:rsid w:val="40890521"/>
    <w:rsid w:val="40CE2673"/>
    <w:rsid w:val="40EE65D6"/>
    <w:rsid w:val="410F2FC5"/>
    <w:rsid w:val="416F7716"/>
    <w:rsid w:val="419B49AF"/>
    <w:rsid w:val="41A73354"/>
    <w:rsid w:val="41C23CEA"/>
    <w:rsid w:val="41C31810"/>
    <w:rsid w:val="41C757A4"/>
    <w:rsid w:val="41CE376B"/>
    <w:rsid w:val="41D41C6F"/>
    <w:rsid w:val="41DD1214"/>
    <w:rsid w:val="42162288"/>
    <w:rsid w:val="422C3859"/>
    <w:rsid w:val="424C7A58"/>
    <w:rsid w:val="428B1AA5"/>
    <w:rsid w:val="429D02B3"/>
    <w:rsid w:val="429F1251"/>
    <w:rsid w:val="42F36125"/>
    <w:rsid w:val="42F62490"/>
    <w:rsid w:val="43000978"/>
    <w:rsid w:val="43004B7A"/>
    <w:rsid w:val="43094BE2"/>
    <w:rsid w:val="430F539D"/>
    <w:rsid w:val="43212C92"/>
    <w:rsid w:val="43374264"/>
    <w:rsid w:val="43501FEC"/>
    <w:rsid w:val="43574906"/>
    <w:rsid w:val="435E5C94"/>
    <w:rsid w:val="435E718F"/>
    <w:rsid w:val="43972F54"/>
    <w:rsid w:val="439F6C52"/>
    <w:rsid w:val="43D16466"/>
    <w:rsid w:val="441445A5"/>
    <w:rsid w:val="443A0129"/>
    <w:rsid w:val="448C6831"/>
    <w:rsid w:val="449F47B6"/>
    <w:rsid w:val="44A0729C"/>
    <w:rsid w:val="44B24732"/>
    <w:rsid w:val="44CD4E80"/>
    <w:rsid w:val="44E81CBA"/>
    <w:rsid w:val="450308A1"/>
    <w:rsid w:val="45131232"/>
    <w:rsid w:val="452F12F5"/>
    <w:rsid w:val="453B44DF"/>
    <w:rsid w:val="45401AF6"/>
    <w:rsid w:val="457804D5"/>
    <w:rsid w:val="45DA5C68"/>
    <w:rsid w:val="45EC3A2B"/>
    <w:rsid w:val="45EC7588"/>
    <w:rsid w:val="45F20916"/>
    <w:rsid w:val="45FD1795"/>
    <w:rsid w:val="460839C1"/>
    <w:rsid w:val="463236F2"/>
    <w:rsid w:val="463D7DE3"/>
    <w:rsid w:val="4694464B"/>
    <w:rsid w:val="46954ED9"/>
    <w:rsid w:val="46A61E2C"/>
    <w:rsid w:val="46F22218"/>
    <w:rsid w:val="46F72688"/>
    <w:rsid w:val="46FB5788"/>
    <w:rsid w:val="47412EAE"/>
    <w:rsid w:val="474358CD"/>
    <w:rsid w:val="47487D3C"/>
    <w:rsid w:val="474A6C5C"/>
    <w:rsid w:val="475A2C17"/>
    <w:rsid w:val="47A02FEE"/>
    <w:rsid w:val="47A83982"/>
    <w:rsid w:val="47C66AE7"/>
    <w:rsid w:val="47D26C51"/>
    <w:rsid w:val="47DE55F6"/>
    <w:rsid w:val="47E04ECA"/>
    <w:rsid w:val="47E524E0"/>
    <w:rsid w:val="47EB3E1C"/>
    <w:rsid w:val="481E3AAF"/>
    <w:rsid w:val="483D056E"/>
    <w:rsid w:val="483D1893"/>
    <w:rsid w:val="485422E0"/>
    <w:rsid w:val="486C49B0"/>
    <w:rsid w:val="486F10A5"/>
    <w:rsid w:val="487565D5"/>
    <w:rsid w:val="48C26CC5"/>
    <w:rsid w:val="48C42A3E"/>
    <w:rsid w:val="48D16F09"/>
    <w:rsid w:val="48E82D4D"/>
    <w:rsid w:val="48FD385A"/>
    <w:rsid w:val="4921579A"/>
    <w:rsid w:val="493354CD"/>
    <w:rsid w:val="49341FF9"/>
    <w:rsid w:val="493556E9"/>
    <w:rsid w:val="49725FF6"/>
    <w:rsid w:val="49A32653"/>
    <w:rsid w:val="49A5461D"/>
    <w:rsid w:val="49D71785"/>
    <w:rsid w:val="49F04DE4"/>
    <w:rsid w:val="4A0B01F8"/>
    <w:rsid w:val="4A175E73"/>
    <w:rsid w:val="4A216F8B"/>
    <w:rsid w:val="4A560560"/>
    <w:rsid w:val="4A954A5F"/>
    <w:rsid w:val="4ADF52C2"/>
    <w:rsid w:val="4B1355B6"/>
    <w:rsid w:val="4B275B29"/>
    <w:rsid w:val="4B2E23F0"/>
    <w:rsid w:val="4B7676A2"/>
    <w:rsid w:val="4B7E2B72"/>
    <w:rsid w:val="4B8244EA"/>
    <w:rsid w:val="4B897627"/>
    <w:rsid w:val="4BA1327D"/>
    <w:rsid w:val="4BDE5BC4"/>
    <w:rsid w:val="4C225B2C"/>
    <w:rsid w:val="4C464A47"/>
    <w:rsid w:val="4C567E51"/>
    <w:rsid w:val="4C667968"/>
    <w:rsid w:val="4C8C4B93"/>
    <w:rsid w:val="4CA010CC"/>
    <w:rsid w:val="4CEC6287"/>
    <w:rsid w:val="4D241CFD"/>
    <w:rsid w:val="4D5325E2"/>
    <w:rsid w:val="4D891B60"/>
    <w:rsid w:val="4DC5444C"/>
    <w:rsid w:val="4DF0398D"/>
    <w:rsid w:val="4DFE3442"/>
    <w:rsid w:val="4E125FF9"/>
    <w:rsid w:val="4E185B3D"/>
    <w:rsid w:val="4E775E5C"/>
    <w:rsid w:val="4E9D50CF"/>
    <w:rsid w:val="4EA053B3"/>
    <w:rsid w:val="4EAB2916"/>
    <w:rsid w:val="4EC05A55"/>
    <w:rsid w:val="4ED908C5"/>
    <w:rsid w:val="4F053A58"/>
    <w:rsid w:val="4F1D4C56"/>
    <w:rsid w:val="4F2F6737"/>
    <w:rsid w:val="4F471CD3"/>
    <w:rsid w:val="4F590025"/>
    <w:rsid w:val="4F960564"/>
    <w:rsid w:val="4F9D5D96"/>
    <w:rsid w:val="4FFF2A2C"/>
    <w:rsid w:val="500951DA"/>
    <w:rsid w:val="50200DCA"/>
    <w:rsid w:val="503264DF"/>
    <w:rsid w:val="506D5769"/>
    <w:rsid w:val="50924895"/>
    <w:rsid w:val="512236AA"/>
    <w:rsid w:val="512E185C"/>
    <w:rsid w:val="51375377"/>
    <w:rsid w:val="51475FBA"/>
    <w:rsid w:val="51552C9C"/>
    <w:rsid w:val="51AC22C1"/>
    <w:rsid w:val="52025B23"/>
    <w:rsid w:val="520B6FE7"/>
    <w:rsid w:val="5224663F"/>
    <w:rsid w:val="52687391"/>
    <w:rsid w:val="527E5B61"/>
    <w:rsid w:val="528A2602"/>
    <w:rsid w:val="52976ACD"/>
    <w:rsid w:val="52EB11E0"/>
    <w:rsid w:val="53086608"/>
    <w:rsid w:val="536912CC"/>
    <w:rsid w:val="536C09D1"/>
    <w:rsid w:val="536F5815"/>
    <w:rsid w:val="53963CFA"/>
    <w:rsid w:val="540C0A08"/>
    <w:rsid w:val="54382383"/>
    <w:rsid w:val="543B5442"/>
    <w:rsid w:val="544D1B39"/>
    <w:rsid w:val="544F3B03"/>
    <w:rsid w:val="54A93FE9"/>
    <w:rsid w:val="54DC69F7"/>
    <w:rsid w:val="54E12D87"/>
    <w:rsid w:val="54EB4C35"/>
    <w:rsid w:val="55055F70"/>
    <w:rsid w:val="55124B31"/>
    <w:rsid w:val="555B2034"/>
    <w:rsid w:val="556829A3"/>
    <w:rsid w:val="557A3281"/>
    <w:rsid w:val="55CE6156"/>
    <w:rsid w:val="55D50038"/>
    <w:rsid w:val="561641AD"/>
    <w:rsid w:val="56B0015D"/>
    <w:rsid w:val="56B57E6A"/>
    <w:rsid w:val="56C360E3"/>
    <w:rsid w:val="56C85EF8"/>
    <w:rsid w:val="56CD6F61"/>
    <w:rsid w:val="570341F8"/>
    <w:rsid w:val="570861EB"/>
    <w:rsid w:val="571D6A2B"/>
    <w:rsid w:val="57201A20"/>
    <w:rsid w:val="57346FE0"/>
    <w:rsid w:val="575B27BF"/>
    <w:rsid w:val="578C4726"/>
    <w:rsid w:val="57AE1241"/>
    <w:rsid w:val="57B273E9"/>
    <w:rsid w:val="57B67C8D"/>
    <w:rsid w:val="57D40540"/>
    <w:rsid w:val="57EF4CB5"/>
    <w:rsid w:val="58346B6C"/>
    <w:rsid w:val="58372C70"/>
    <w:rsid w:val="583E1656"/>
    <w:rsid w:val="589D1393"/>
    <w:rsid w:val="58B55EFF"/>
    <w:rsid w:val="58C3061C"/>
    <w:rsid w:val="58E70221"/>
    <w:rsid w:val="58F22CAF"/>
    <w:rsid w:val="591B7FEB"/>
    <w:rsid w:val="59314975"/>
    <w:rsid w:val="59550740"/>
    <w:rsid w:val="59C10AB4"/>
    <w:rsid w:val="59D56296"/>
    <w:rsid w:val="59D95C1D"/>
    <w:rsid w:val="59DE3233"/>
    <w:rsid w:val="59DE62A0"/>
    <w:rsid w:val="59EA1BD8"/>
    <w:rsid w:val="5A026F22"/>
    <w:rsid w:val="5AA955EF"/>
    <w:rsid w:val="5AE568F8"/>
    <w:rsid w:val="5AE605F2"/>
    <w:rsid w:val="5AF54CD9"/>
    <w:rsid w:val="5AFD593B"/>
    <w:rsid w:val="5B225A37"/>
    <w:rsid w:val="5B8A42EF"/>
    <w:rsid w:val="5BA76E58"/>
    <w:rsid w:val="5BBC1352"/>
    <w:rsid w:val="5BFB631F"/>
    <w:rsid w:val="5C003935"/>
    <w:rsid w:val="5C0351D3"/>
    <w:rsid w:val="5C11169E"/>
    <w:rsid w:val="5C3E4412"/>
    <w:rsid w:val="5C3F3891"/>
    <w:rsid w:val="5C484871"/>
    <w:rsid w:val="5C81323B"/>
    <w:rsid w:val="5C875E04"/>
    <w:rsid w:val="5C8D658A"/>
    <w:rsid w:val="5C967DF5"/>
    <w:rsid w:val="5CAF3A11"/>
    <w:rsid w:val="5CBF734C"/>
    <w:rsid w:val="5CFF1E3E"/>
    <w:rsid w:val="5D6F2B20"/>
    <w:rsid w:val="5D7A3273"/>
    <w:rsid w:val="5D9C0A90"/>
    <w:rsid w:val="5DA4235E"/>
    <w:rsid w:val="5DAA334D"/>
    <w:rsid w:val="5DDF5B1F"/>
    <w:rsid w:val="5DE352BC"/>
    <w:rsid w:val="5DFC53C5"/>
    <w:rsid w:val="5E253BAB"/>
    <w:rsid w:val="5E4D4235"/>
    <w:rsid w:val="5E6F283B"/>
    <w:rsid w:val="5ED21F55"/>
    <w:rsid w:val="5ED22BFF"/>
    <w:rsid w:val="5EDA6D5D"/>
    <w:rsid w:val="5EE035AA"/>
    <w:rsid w:val="5EF57055"/>
    <w:rsid w:val="5F0D76A3"/>
    <w:rsid w:val="5F117C07"/>
    <w:rsid w:val="5F230066"/>
    <w:rsid w:val="5F2931A3"/>
    <w:rsid w:val="5F334021"/>
    <w:rsid w:val="5F3538F6"/>
    <w:rsid w:val="5F381638"/>
    <w:rsid w:val="5F385194"/>
    <w:rsid w:val="5F3F6522"/>
    <w:rsid w:val="5F4639E0"/>
    <w:rsid w:val="5F686E8E"/>
    <w:rsid w:val="5F73441E"/>
    <w:rsid w:val="5F8D1984"/>
    <w:rsid w:val="5FAB0CC9"/>
    <w:rsid w:val="5FAD7930"/>
    <w:rsid w:val="5FC829BC"/>
    <w:rsid w:val="5FCF3D4A"/>
    <w:rsid w:val="5FEA2B00"/>
    <w:rsid w:val="602D6CC3"/>
    <w:rsid w:val="607641C6"/>
    <w:rsid w:val="60883EF9"/>
    <w:rsid w:val="608A3882"/>
    <w:rsid w:val="608B2C81"/>
    <w:rsid w:val="608F34D9"/>
    <w:rsid w:val="60AF3879"/>
    <w:rsid w:val="60C56EFB"/>
    <w:rsid w:val="60EF149E"/>
    <w:rsid w:val="61693230"/>
    <w:rsid w:val="61972B6A"/>
    <w:rsid w:val="61B84E22"/>
    <w:rsid w:val="61FD5295"/>
    <w:rsid w:val="628D3A49"/>
    <w:rsid w:val="62CF5E0F"/>
    <w:rsid w:val="62E83E16"/>
    <w:rsid w:val="62E95123"/>
    <w:rsid w:val="630261E5"/>
    <w:rsid w:val="63067FD3"/>
    <w:rsid w:val="631F28F3"/>
    <w:rsid w:val="633839B4"/>
    <w:rsid w:val="636E387A"/>
    <w:rsid w:val="636E5E0F"/>
    <w:rsid w:val="637349EC"/>
    <w:rsid w:val="639C3F43"/>
    <w:rsid w:val="63A66B70"/>
    <w:rsid w:val="63DF2082"/>
    <w:rsid w:val="63ED479F"/>
    <w:rsid w:val="63F10999"/>
    <w:rsid w:val="641F4B74"/>
    <w:rsid w:val="645206D0"/>
    <w:rsid w:val="6502427A"/>
    <w:rsid w:val="6509385A"/>
    <w:rsid w:val="653D1756"/>
    <w:rsid w:val="653E102A"/>
    <w:rsid w:val="654B78CA"/>
    <w:rsid w:val="656C55D4"/>
    <w:rsid w:val="65AD4482"/>
    <w:rsid w:val="65B25CA0"/>
    <w:rsid w:val="65C07C91"/>
    <w:rsid w:val="65D8322D"/>
    <w:rsid w:val="65DC4ACB"/>
    <w:rsid w:val="66326DE1"/>
    <w:rsid w:val="66504D19"/>
    <w:rsid w:val="665243A2"/>
    <w:rsid w:val="66552ACF"/>
    <w:rsid w:val="665B6338"/>
    <w:rsid w:val="665E1984"/>
    <w:rsid w:val="66660838"/>
    <w:rsid w:val="667411A7"/>
    <w:rsid w:val="66742F55"/>
    <w:rsid w:val="668C58AE"/>
    <w:rsid w:val="66A7157D"/>
    <w:rsid w:val="66B5531C"/>
    <w:rsid w:val="66BC37E2"/>
    <w:rsid w:val="66DB2FD4"/>
    <w:rsid w:val="66F44096"/>
    <w:rsid w:val="670B7AEA"/>
    <w:rsid w:val="671E1113"/>
    <w:rsid w:val="672A3F5C"/>
    <w:rsid w:val="6756421A"/>
    <w:rsid w:val="67630CEF"/>
    <w:rsid w:val="67780EDA"/>
    <w:rsid w:val="679C7611"/>
    <w:rsid w:val="67A4786A"/>
    <w:rsid w:val="67A81366"/>
    <w:rsid w:val="67D46CDE"/>
    <w:rsid w:val="67FA392E"/>
    <w:rsid w:val="683F7593"/>
    <w:rsid w:val="688A7DAC"/>
    <w:rsid w:val="68A5389A"/>
    <w:rsid w:val="68AF1D6D"/>
    <w:rsid w:val="68B161D3"/>
    <w:rsid w:val="68CF43EA"/>
    <w:rsid w:val="68D93544"/>
    <w:rsid w:val="68E1070E"/>
    <w:rsid w:val="690B56C7"/>
    <w:rsid w:val="690C3CE7"/>
    <w:rsid w:val="69416EAD"/>
    <w:rsid w:val="694C3FC0"/>
    <w:rsid w:val="69765D89"/>
    <w:rsid w:val="698C6808"/>
    <w:rsid w:val="69D47128"/>
    <w:rsid w:val="69F25583"/>
    <w:rsid w:val="69F66377"/>
    <w:rsid w:val="6A2627B9"/>
    <w:rsid w:val="6A462E5B"/>
    <w:rsid w:val="6A49294B"/>
    <w:rsid w:val="6A503CD9"/>
    <w:rsid w:val="6A692CB7"/>
    <w:rsid w:val="6A696B49"/>
    <w:rsid w:val="6A8952C2"/>
    <w:rsid w:val="6AC65D4A"/>
    <w:rsid w:val="6AD46A66"/>
    <w:rsid w:val="6AED37F2"/>
    <w:rsid w:val="6B621F16"/>
    <w:rsid w:val="6B7D161D"/>
    <w:rsid w:val="6B9023FF"/>
    <w:rsid w:val="6B9F5BAD"/>
    <w:rsid w:val="6BA442DD"/>
    <w:rsid w:val="6BA46BE1"/>
    <w:rsid w:val="6BC04E8F"/>
    <w:rsid w:val="6BC404DB"/>
    <w:rsid w:val="6BCA6224"/>
    <w:rsid w:val="6BD41C61"/>
    <w:rsid w:val="6BE91CF0"/>
    <w:rsid w:val="6BF32B6E"/>
    <w:rsid w:val="6C0A614D"/>
    <w:rsid w:val="6C1D4188"/>
    <w:rsid w:val="6C8C114B"/>
    <w:rsid w:val="6CA672D2"/>
    <w:rsid w:val="6CF21078"/>
    <w:rsid w:val="6CF9407C"/>
    <w:rsid w:val="6D002DFC"/>
    <w:rsid w:val="6D194017"/>
    <w:rsid w:val="6D837F22"/>
    <w:rsid w:val="6DD10C8D"/>
    <w:rsid w:val="6DEF55B7"/>
    <w:rsid w:val="6DFA6436"/>
    <w:rsid w:val="6E22773B"/>
    <w:rsid w:val="6E5D0773"/>
    <w:rsid w:val="6E602011"/>
    <w:rsid w:val="6E761835"/>
    <w:rsid w:val="6E79211E"/>
    <w:rsid w:val="6E8126B3"/>
    <w:rsid w:val="6E82467D"/>
    <w:rsid w:val="6EA6211A"/>
    <w:rsid w:val="6EC23191"/>
    <w:rsid w:val="6F3C65DA"/>
    <w:rsid w:val="6F5837CB"/>
    <w:rsid w:val="6F6D5423"/>
    <w:rsid w:val="6F7C0E3D"/>
    <w:rsid w:val="6F887838"/>
    <w:rsid w:val="6F8E41A4"/>
    <w:rsid w:val="6FA32AFD"/>
    <w:rsid w:val="6FDD600F"/>
    <w:rsid w:val="6FEC0000"/>
    <w:rsid w:val="6FEE70E9"/>
    <w:rsid w:val="703235D5"/>
    <w:rsid w:val="70380103"/>
    <w:rsid w:val="70705949"/>
    <w:rsid w:val="70744007"/>
    <w:rsid w:val="70BF6642"/>
    <w:rsid w:val="70FF075C"/>
    <w:rsid w:val="710650F2"/>
    <w:rsid w:val="71066EA0"/>
    <w:rsid w:val="71431EA2"/>
    <w:rsid w:val="715C2F64"/>
    <w:rsid w:val="71804EA4"/>
    <w:rsid w:val="722F68CA"/>
    <w:rsid w:val="724D08F0"/>
    <w:rsid w:val="72534367"/>
    <w:rsid w:val="72A5093A"/>
    <w:rsid w:val="72BF2E76"/>
    <w:rsid w:val="73497518"/>
    <w:rsid w:val="734E4B2E"/>
    <w:rsid w:val="73634A7D"/>
    <w:rsid w:val="73682094"/>
    <w:rsid w:val="73740A39"/>
    <w:rsid w:val="737C169B"/>
    <w:rsid w:val="739C3AEB"/>
    <w:rsid w:val="73C343E4"/>
    <w:rsid w:val="73E56BC8"/>
    <w:rsid w:val="73E831D5"/>
    <w:rsid w:val="73F25E01"/>
    <w:rsid w:val="740B2A1F"/>
    <w:rsid w:val="74117C8D"/>
    <w:rsid w:val="74220923"/>
    <w:rsid w:val="74806F69"/>
    <w:rsid w:val="74852401"/>
    <w:rsid w:val="74B471B3"/>
    <w:rsid w:val="74E03EAC"/>
    <w:rsid w:val="75022074"/>
    <w:rsid w:val="75221B04"/>
    <w:rsid w:val="75717E89"/>
    <w:rsid w:val="757A6A57"/>
    <w:rsid w:val="758331B5"/>
    <w:rsid w:val="75F419BD"/>
    <w:rsid w:val="762A27DA"/>
    <w:rsid w:val="763E0E8A"/>
    <w:rsid w:val="76430936"/>
    <w:rsid w:val="76524935"/>
    <w:rsid w:val="76740D50"/>
    <w:rsid w:val="76816FC9"/>
    <w:rsid w:val="76832D41"/>
    <w:rsid w:val="76F679B7"/>
    <w:rsid w:val="77356731"/>
    <w:rsid w:val="773D1603"/>
    <w:rsid w:val="77400C32"/>
    <w:rsid w:val="774A6156"/>
    <w:rsid w:val="77D71596"/>
    <w:rsid w:val="77EB35FA"/>
    <w:rsid w:val="780D320A"/>
    <w:rsid w:val="78434E7D"/>
    <w:rsid w:val="78C4148F"/>
    <w:rsid w:val="7924080B"/>
    <w:rsid w:val="792D540E"/>
    <w:rsid w:val="797F5A41"/>
    <w:rsid w:val="798F3644"/>
    <w:rsid w:val="79D10450"/>
    <w:rsid w:val="7A245426"/>
    <w:rsid w:val="7A286917"/>
    <w:rsid w:val="7A290118"/>
    <w:rsid w:val="7A5C2227"/>
    <w:rsid w:val="7A601D17"/>
    <w:rsid w:val="7A97688D"/>
    <w:rsid w:val="7AF256B6"/>
    <w:rsid w:val="7AF449C4"/>
    <w:rsid w:val="7B051225"/>
    <w:rsid w:val="7B0846E3"/>
    <w:rsid w:val="7B4C229B"/>
    <w:rsid w:val="7B4C5DF7"/>
    <w:rsid w:val="7B7F7F7B"/>
    <w:rsid w:val="7B914268"/>
    <w:rsid w:val="7B965AB3"/>
    <w:rsid w:val="7BC2255D"/>
    <w:rsid w:val="7BEF7850"/>
    <w:rsid w:val="7C280612"/>
    <w:rsid w:val="7C444D20"/>
    <w:rsid w:val="7C5C650E"/>
    <w:rsid w:val="7C7C0DEA"/>
    <w:rsid w:val="7CB00608"/>
    <w:rsid w:val="7CF14EA8"/>
    <w:rsid w:val="7CF718EF"/>
    <w:rsid w:val="7D07647A"/>
    <w:rsid w:val="7D3935CB"/>
    <w:rsid w:val="7D7D6095"/>
    <w:rsid w:val="7D9A4AFF"/>
    <w:rsid w:val="7DAC5273"/>
    <w:rsid w:val="7DAD28DC"/>
    <w:rsid w:val="7DB14637"/>
    <w:rsid w:val="7DBF464A"/>
    <w:rsid w:val="7DC15CCA"/>
    <w:rsid w:val="7DF84014"/>
    <w:rsid w:val="7E0105AB"/>
    <w:rsid w:val="7E074257"/>
    <w:rsid w:val="7E384472"/>
    <w:rsid w:val="7E795155"/>
    <w:rsid w:val="7E885398"/>
    <w:rsid w:val="7E9F4667"/>
    <w:rsid w:val="7EAD3051"/>
    <w:rsid w:val="7EB20667"/>
    <w:rsid w:val="7EF94618"/>
    <w:rsid w:val="7F211349"/>
    <w:rsid w:val="7F2B19DA"/>
    <w:rsid w:val="7F2C21C7"/>
    <w:rsid w:val="7F405C73"/>
    <w:rsid w:val="7F460DAF"/>
    <w:rsid w:val="7F4736ED"/>
    <w:rsid w:val="7F4946CE"/>
    <w:rsid w:val="7F631B2A"/>
    <w:rsid w:val="7F65392B"/>
    <w:rsid w:val="7F743B6E"/>
    <w:rsid w:val="7F98785D"/>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2024-04-02T01:14:48Z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