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4</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3</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三大股指全线收跌，道指跌1%报39170.24点，标普500指数跌0.72%报5205.81点，纳指跌0.95%报16240.45点。美元指数跌0.18%报104.77，非美货币多数上涨，离岸人民币对美元涨51个基点报7.2543。国际油价全线上涨，美油5月合约涨2.07%，报85.44美元/桶。布油6月合约涨2.09%，报89.25美元/桶。国际贵金属期货大幅收涨，COMEX黄金期货涨1.94%报2301美元/盎司，COMEX白银期货涨4.71%报26.255美元/盎司；LME期铜涨1.62%报9011美元/吨。ICE 5月原糖</w:t>
      </w:r>
      <w:r>
        <w:rPr>
          <w:rFonts w:hint="eastAsia" w:ascii="微软雅黑" w:hAnsi="微软雅黑" w:eastAsia="微软雅黑" w:cs="微软雅黑"/>
          <w:spacing w:val="4"/>
          <w:sz w:val="24"/>
          <w:szCs w:val="24"/>
          <w:lang w:val="en-US" w:eastAsia="zh-CN"/>
        </w:rPr>
        <w:t>期货合约</w:t>
      </w:r>
      <w:r>
        <w:rPr>
          <w:rFonts w:hint="eastAsia" w:ascii="微软雅黑" w:hAnsi="微软雅黑" w:eastAsia="微软雅黑" w:cs="微软雅黑"/>
          <w:spacing w:val="4"/>
          <w:sz w:val="24"/>
          <w:szCs w:val="24"/>
          <w:lang w:eastAsia="zh-CN"/>
        </w:rPr>
        <w:t>收</w:t>
      </w:r>
      <w:r>
        <w:rPr>
          <w:rFonts w:hint="eastAsia" w:ascii="微软雅黑" w:hAnsi="微软雅黑" w:eastAsia="微软雅黑" w:cs="微软雅黑"/>
          <w:spacing w:val="4"/>
          <w:sz w:val="24"/>
          <w:szCs w:val="24"/>
          <w:lang w:val="en-US" w:eastAsia="zh-CN"/>
        </w:rPr>
        <w:t>跌1.8%</w:t>
      </w:r>
      <w:r>
        <w:rPr>
          <w:rFonts w:hint="eastAsia" w:ascii="微软雅黑" w:hAnsi="微软雅黑" w:eastAsia="微软雅黑" w:cs="微软雅黑"/>
          <w:spacing w:val="4"/>
          <w:sz w:val="24"/>
          <w:szCs w:val="24"/>
          <w:lang w:eastAsia="zh-CN"/>
        </w:rPr>
        <w:t>，结算价报22.</w:t>
      </w:r>
      <w:r>
        <w:rPr>
          <w:rFonts w:hint="eastAsia" w:ascii="微软雅黑" w:hAnsi="微软雅黑" w:eastAsia="微软雅黑" w:cs="微软雅黑"/>
          <w:spacing w:val="4"/>
          <w:sz w:val="24"/>
          <w:szCs w:val="24"/>
          <w:lang w:val="en-US" w:eastAsia="zh-CN"/>
        </w:rPr>
        <w:t>32</w:t>
      </w:r>
      <w:r>
        <w:rPr>
          <w:rFonts w:hint="eastAsia" w:ascii="微软雅黑" w:hAnsi="微软雅黑" w:eastAsia="微软雅黑" w:cs="微软雅黑"/>
          <w:spacing w:val="4"/>
          <w:sz w:val="24"/>
          <w:szCs w:val="24"/>
          <w:lang w:eastAsia="zh-CN"/>
        </w:rPr>
        <w:t>美分/磅。ICE 5月期棉</w:t>
      </w:r>
      <w:r>
        <w:rPr>
          <w:rFonts w:hint="eastAsia" w:ascii="微软雅黑" w:hAnsi="微软雅黑" w:eastAsia="微软雅黑" w:cs="微软雅黑"/>
          <w:spacing w:val="4"/>
          <w:sz w:val="24"/>
          <w:szCs w:val="24"/>
          <w:lang w:val="en-US" w:eastAsia="zh-CN"/>
        </w:rPr>
        <w:t>期货合约</w:t>
      </w:r>
      <w:r>
        <w:rPr>
          <w:rFonts w:hint="eastAsia" w:ascii="微软雅黑" w:hAnsi="微软雅黑" w:eastAsia="微软雅黑" w:cs="微软雅黑"/>
          <w:spacing w:val="4"/>
          <w:sz w:val="24"/>
          <w:szCs w:val="24"/>
          <w:lang w:eastAsia="zh-CN"/>
        </w:rPr>
        <w:t>收</w:t>
      </w:r>
      <w:r>
        <w:rPr>
          <w:rFonts w:hint="eastAsia" w:ascii="微软雅黑" w:hAnsi="微软雅黑" w:eastAsia="微软雅黑" w:cs="微软雅黑"/>
          <w:spacing w:val="4"/>
          <w:sz w:val="24"/>
          <w:szCs w:val="24"/>
          <w:lang w:val="en-US" w:eastAsia="zh-CN"/>
        </w:rPr>
        <w:t>跌2.1</w:t>
      </w:r>
      <w:r>
        <w:rPr>
          <w:rFonts w:hint="eastAsia" w:ascii="微软雅黑" w:hAnsi="微软雅黑" w:eastAsia="微软雅黑" w:cs="微软雅黑"/>
          <w:spacing w:val="4"/>
          <w:sz w:val="24"/>
          <w:szCs w:val="24"/>
          <w:lang w:eastAsia="zh-CN"/>
        </w:rPr>
        <w:t>%，结算价报</w:t>
      </w:r>
      <w:r>
        <w:rPr>
          <w:rFonts w:hint="eastAsia" w:ascii="微软雅黑" w:hAnsi="微软雅黑" w:eastAsia="微软雅黑" w:cs="微软雅黑"/>
          <w:spacing w:val="4"/>
          <w:sz w:val="24"/>
          <w:szCs w:val="24"/>
          <w:lang w:val="en-US" w:eastAsia="zh-CN"/>
        </w:rPr>
        <w:t>90.81</w:t>
      </w:r>
      <w:r>
        <w:rPr>
          <w:rFonts w:hint="eastAsia" w:ascii="微软雅黑" w:hAnsi="微软雅黑" w:eastAsia="微软雅黑" w:cs="微软雅黑"/>
          <w:spacing w:val="4"/>
          <w:sz w:val="24"/>
          <w:szCs w:val="24"/>
          <w:lang w:eastAsia="zh-CN"/>
        </w:rPr>
        <w:t>美分/磅。</w:t>
      </w:r>
    </w:p>
    <w:p>
      <w:pPr>
        <w:spacing w:before="235" w:line="176" w:lineRule="auto"/>
        <w:jc w:val="both"/>
        <w:rPr>
          <w:rFonts w:ascii="微软雅黑" w:hAnsi="微软雅黑" w:eastAsia="微软雅黑" w:cs="微软雅黑"/>
          <w:spacing w:val="7"/>
          <w:sz w:val="21"/>
          <w:szCs w:val="21"/>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p>
    <w:p>
      <w:pPr>
        <w:spacing w:before="235" w:line="176" w:lineRule="auto"/>
        <w:jc w:val="both"/>
        <w:rPr>
          <w:rFonts w:hint="eastAsia" w:ascii="微软雅黑" w:hAnsi="微软雅黑" w:eastAsia="微软雅黑" w:cs="微软雅黑"/>
          <w:spacing w:val="12"/>
          <w:sz w:val="24"/>
          <w:szCs w:val="24"/>
          <w:lang w:eastAsia="zh-CN"/>
        </w:rPr>
      </w:pPr>
      <w:r>
        <w:drawing>
          <wp:inline distT="0" distB="0" distL="114300" distR="114300">
            <wp:extent cx="6086475" cy="3372485"/>
            <wp:effectExtent l="0" t="0" r="9525" b="1841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2"/>
                    <a:stretch>
                      <a:fillRect/>
                    </a:stretch>
                  </pic:blipFill>
                  <pic:spPr>
                    <a:xfrm>
                      <a:off x="0" y="0"/>
                      <a:ext cx="6086475" cy="3372485"/>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公开资料整理、瑞达国际</w:t>
      </w:r>
    </w:p>
    <w:p>
      <w:pPr>
        <w:spacing w:before="235" w:line="176" w:lineRule="auto"/>
        <w:jc w:val="both"/>
        <w:rPr>
          <w:rFonts w:ascii="微软雅黑" w:hAnsi="微软雅黑" w:eastAsia="微软雅黑" w:cs="微软雅黑"/>
          <w:spacing w:val="7"/>
          <w:sz w:val="21"/>
          <w:szCs w:val="21"/>
        </w:rPr>
      </w:pPr>
    </w:p>
    <w:p>
      <w:pPr>
        <w:pStyle w:val="2"/>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【美联储梅斯特：不对会议做出预判，不排除6月降息可能性；预计今年会降息三次；数据将决定美联储的货币政策；关注油价，但油价上涨需要持续才会成为问题。】</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ascii="微软雅黑" w:hAnsi="微软雅黑" w:eastAsia="微软雅黑" w:cs="微软雅黑"/>
          <w:spacing w:val="4"/>
          <w:sz w:val="24"/>
          <w:szCs w:val="24"/>
        </w:rPr>
      </w:pPr>
      <w:r>
        <w:rPr>
          <w:rFonts w:hint="eastAsia" w:ascii="微软雅黑" w:hAnsi="微软雅黑" w:eastAsia="微软雅黑" w:cs="微软雅黑"/>
          <w:spacing w:val="4"/>
          <w:sz w:val="24"/>
          <w:szCs w:val="24"/>
          <w:lang w:eastAsia="zh-CN"/>
        </w:rPr>
        <w:t>【美联储戴利：三月FOMC作出的决策是非常好的决策；不急于调整利率，需要考虑将利率保持在目前水平的时间多长；今年降息3次是合理的基准情景。】</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2月耐用品订单环比终值升1.3%，预期升1.4%，初值升1.4%，1月终值降6.2%。美国2月工厂订单环比升1.4%，预期升1.0%，前值降3.6%；扣除运输的工厂订单环比升1.1%，前值降0.8%；扣除国防的工厂订单环比升1.8%，前值降4.1%。】</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【欧元区3月制造业PMI终值46.1，预期45.7，前值46.5。】</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【德国3月制造业PMI终值41.9，预期41.6，前值42.5。3月CPI初值同比升2.2%，预期升2.2%，前值升2.5%；环比升0.4%，预期升0.6%，前值升0.4%。】</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【法国3月制造业PMI终值46.2，预期45.8，前值47.1。】</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【意大利3月制造业PMI为50.4，预期48.8，前值48.7。】</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【英国3月制造业PMI终值50.3，预期49.9，前值47.5。3月Nationwide房价指数同比升1.6%，预期升2.4%，前值升1.2%；环比降0.2%，预期升0.3%，前值升0.7%。】</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【瑞士2月实际零售销售同比降0.2%，前值升0.3%。】</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w:t>
      </w:r>
      <w:r>
        <w:rPr>
          <w:rFonts w:hint="eastAsia" w:ascii="微软雅黑" w:hAnsi="微软雅黑" w:eastAsia="微软雅黑" w:cs="微软雅黑"/>
          <w:spacing w:val="4"/>
          <w:sz w:val="24"/>
          <w:szCs w:val="24"/>
          <w:lang w:val="en-US" w:eastAsia="zh-CN"/>
        </w:rPr>
        <w:t>现货黄金突破2273.9美元/盎司</w:t>
      </w:r>
      <w:r>
        <w:rPr>
          <w:rFonts w:hint="eastAsia" w:ascii="微软雅黑" w:hAnsi="微软雅黑" w:eastAsia="微软雅黑" w:cs="微软雅黑"/>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【日本3月Markit服务业PMI54.1，前值54.9；综合PMI51.7，前值52.3。】</w:t>
      </w:r>
    </w:p>
    <w:p>
      <w:pPr>
        <w:spacing w:before="120" w:line="190" w:lineRule="auto"/>
        <w:rPr>
          <w:rFonts w:ascii="微软雅黑" w:hAnsi="微软雅黑" w:eastAsia="微软雅黑" w:cs="微软雅黑"/>
          <w:color w:val="036EB8"/>
          <w:position w:val="-4"/>
          <w:sz w:val="28"/>
          <w:szCs w:val="28"/>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1"/>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0"/>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0"/>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28" w:line="191" w:lineRule="auto"/>
              <w:ind w:left="449"/>
              <w:rPr>
                <w:rFonts w:hint="eastAsia"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3</w:t>
            </w:r>
          </w:p>
        </w:tc>
        <w:tc>
          <w:tcPr>
            <w:tcW w:w="1143" w:type="dxa"/>
            <w:vAlign w:val="top"/>
          </w:tcPr>
          <w:p>
            <w:pPr>
              <w:pStyle w:val="10"/>
              <w:spacing w:before="243" w:line="172" w:lineRule="auto"/>
              <w:ind w:left="94"/>
              <w:jc w:val="left"/>
              <w:rPr>
                <w:rFonts w:hint="default"/>
                <w:sz w:val="19"/>
                <w:szCs w:val="19"/>
                <w:lang w:val="en-US"/>
              </w:rPr>
            </w:pPr>
            <w:r>
              <w:rPr>
                <w:rFonts w:hint="eastAsia"/>
                <w:b/>
                <w:bCs/>
                <w:spacing w:val="6"/>
                <w:sz w:val="19"/>
                <w:szCs w:val="19"/>
                <w:lang w:val="en-US" w:eastAsia="zh-CN"/>
              </w:rPr>
              <w:t>16：00</w:t>
            </w:r>
          </w:p>
        </w:tc>
        <w:tc>
          <w:tcPr>
            <w:tcW w:w="6679" w:type="dxa"/>
            <w:vAlign w:val="top"/>
          </w:tcPr>
          <w:p>
            <w:pPr>
              <w:pStyle w:val="10"/>
              <w:spacing w:before="221" w:line="180" w:lineRule="auto"/>
              <w:jc w:val="center"/>
              <w:rPr>
                <w:rFonts w:hint="default" w:eastAsia="微软雅黑"/>
                <w:sz w:val="19"/>
                <w:szCs w:val="19"/>
                <w:lang w:val="en-US" w:eastAsia="zh-CN"/>
              </w:rPr>
            </w:pPr>
            <w:r>
              <w:rPr>
                <w:rFonts w:hint="eastAsia"/>
                <w:sz w:val="19"/>
                <w:szCs w:val="19"/>
                <w:lang w:val="en-US" w:eastAsia="zh-CN"/>
              </w:rPr>
              <w:t xml:space="preserve"> 意大利2月失业率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0" w:line="191" w:lineRule="auto"/>
              <w:ind w:left="449"/>
              <w:rPr>
                <w:rFonts w:hint="eastAsia"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3</w:t>
            </w:r>
          </w:p>
        </w:tc>
        <w:tc>
          <w:tcPr>
            <w:tcW w:w="1143" w:type="dxa"/>
            <w:shd w:val="clear" w:color="auto" w:fill="D3EAFF"/>
            <w:vAlign w:val="top"/>
          </w:tcPr>
          <w:p>
            <w:pPr>
              <w:pStyle w:val="10"/>
              <w:spacing w:before="245" w:line="172" w:lineRule="auto"/>
              <w:ind w:left="101"/>
              <w:jc w:val="left"/>
              <w:rPr>
                <w:rFonts w:hint="default"/>
                <w:sz w:val="19"/>
                <w:szCs w:val="19"/>
                <w:lang w:val="en-US"/>
              </w:rPr>
            </w:pPr>
            <w:r>
              <w:rPr>
                <w:rFonts w:hint="eastAsia"/>
                <w:b/>
                <w:bCs/>
                <w:spacing w:val="5"/>
                <w:sz w:val="19"/>
                <w:szCs w:val="19"/>
                <w:lang w:val="en-US" w:eastAsia="zh-CN"/>
              </w:rPr>
              <w:t>17：00</w:t>
            </w:r>
          </w:p>
        </w:tc>
        <w:tc>
          <w:tcPr>
            <w:tcW w:w="6679" w:type="dxa"/>
            <w:shd w:val="clear" w:color="auto" w:fill="D3EAFF"/>
            <w:vAlign w:val="top"/>
          </w:tcPr>
          <w:p>
            <w:pPr>
              <w:pStyle w:val="10"/>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欧元区2月失业率</w:t>
            </w:r>
            <w:r>
              <w:rPr>
                <w:rFonts w:hint="eastAsia"/>
                <w:sz w:val="19"/>
                <w:szCs w:val="19"/>
                <w:lang w:val="en-US" w:eastAsia="zh-CN"/>
              </w:rPr>
              <w:t>、3月核心调和CPI初值、3月调和CPI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0"/>
              <w:spacing w:before="231" w:line="191" w:lineRule="auto"/>
              <w:ind w:left="449"/>
              <w:rPr>
                <w:rFonts w:hint="eastAsia"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3</w:t>
            </w:r>
          </w:p>
        </w:tc>
        <w:tc>
          <w:tcPr>
            <w:tcW w:w="1143" w:type="dxa"/>
            <w:vAlign w:val="top"/>
          </w:tcPr>
          <w:p>
            <w:pPr>
              <w:pStyle w:val="10"/>
              <w:spacing w:before="245" w:line="172" w:lineRule="auto"/>
              <w:ind w:left="101"/>
              <w:jc w:val="left"/>
              <w:rPr>
                <w:rFonts w:hint="default" w:eastAsia="微软雅黑"/>
                <w:sz w:val="19"/>
                <w:szCs w:val="19"/>
                <w:lang w:val="en-US" w:eastAsia="zh-CN"/>
              </w:rPr>
            </w:pPr>
            <w:r>
              <w:rPr>
                <w:rFonts w:hint="eastAsia"/>
                <w:b/>
                <w:bCs/>
                <w:spacing w:val="5"/>
                <w:sz w:val="19"/>
                <w:szCs w:val="19"/>
                <w:lang w:val="en-US" w:eastAsia="zh-CN"/>
              </w:rPr>
              <w:t>21：15</w:t>
            </w:r>
          </w:p>
        </w:tc>
        <w:tc>
          <w:tcPr>
            <w:tcW w:w="6679" w:type="dxa"/>
            <w:vAlign w:val="top"/>
          </w:tcPr>
          <w:p>
            <w:pPr>
              <w:pStyle w:val="10"/>
              <w:spacing w:before="224" w:line="180" w:lineRule="auto"/>
              <w:jc w:val="center"/>
              <w:rPr>
                <w:rFonts w:hint="default" w:eastAsia="微软雅黑"/>
                <w:sz w:val="19"/>
                <w:szCs w:val="19"/>
                <w:lang w:val="en-US" w:eastAsia="zh-CN"/>
              </w:rPr>
            </w:pPr>
            <w:r>
              <w:rPr>
                <w:rFonts w:hint="default" w:eastAsia="微软雅黑"/>
                <w:sz w:val="19"/>
                <w:szCs w:val="19"/>
                <w:lang w:val="en-US" w:eastAsia="zh-CN"/>
              </w:rPr>
              <w:t>美国3月ADP就业人数变动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1" w:line="191" w:lineRule="auto"/>
              <w:ind w:left="449" w:leftChars="0"/>
              <w:rPr>
                <w:rFonts w:hint="eastAsia"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3</w:t>
            </w:r>
          </w:p>
        </w:tc>
        <w:tc>
          <w:tcPr>
            <w:tcW w:w="1143" w:type="dxa"/>
            <w:shd w:val="clear" w:color="auto" w:fill="D3EAFF"/>
            <w:vAlign w:val="top"/>
          </w:tcPr>
          <w:p>
            <w:pPr>
              <w:pStyle w:val="10"/>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21：45</w:t>
            </w:r>
          </w:p>
        </w:tc>
        <w:tc>
          <w:tcPr>
            <w:tcW w:w="6679" w:type="dxa"/>
            <w:shd w:val="clear" w:color="auto" w:fill="D3EAFF"/>
            <w:vAlign w:val="top"/>
          </w:tcPr>
          <w:p>
            <w:pPr>
              <w:pStyle w:val="10"/>
              <w:spacing w:before="224" w:line="180" w:lineRule="auto"/>
              <w:jc w:val="center"/>
              <w:rPr>
                <w:rFonts w:hint="eastAsia" w:eastAsia="微软雅黑"/>
                <w:sz w:val="19"/>
                <w:szCs w:val="19"/>
                <w:lang w:val="en-US" w:eastAsia="zh-CN"/>
              </w:rPr>
            </w:pPr>
            <w:r>
              <w:rPr>
                <w:rFonts w:hint="eastAsia" w:eastAsia="微软雅黑"/>
                <w:sz w:val="19"/>
                <w:szCs w:val="19"/>
                <w:lang w:val="en-US" w:eastAsia="zh-CN"/>
              </w:rPr>
              <w:t>美国3月Markit综合PMI终值</w:t>
            </w:r>
            <w:r>
              <w:rPr>
                <w:rFonts w:hint="eastAsia"/>
                <w:sz w:val="19"/>
                <w:szCs w:val="19"/>
                <w:lang w:val="en-US" w:eastAsia="zh-CN"/>
              </w:rPr>
              <w:t>、服务业PMI终值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32" w:line="191" w:lineRule="auto"/>
              <w:ind w:left="449"/>
              <w:rPr>
                <w:rFonts w:hint="eastAsia"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3</w:t>
            </w:r>
          </w:p>
        </w:tc>
        <w:tc>
          <w:tcPr>
            <w:tcW w:w="1143" w:type="dxa"/>
            <w:vAlign w:val="top"/>
          </w:tcPr>
          <w:p>
            <w:pPr>
              <w:pStyle w:val="10"/>
              <w:spacing w:before="246" w:line="172" w:lineRule="auto"/>
              <w:ind w:left="94"/>
              <w:jc w:val="left"/>
              <w:rPr>
                <w:rFonts w:hint="default" w:eastAsia="微软雅黑"/>
                <w:sz w:val="19"/>
                <w:szCs w:val="19"/>
                <w:lang w:val="en-US" w:eastAsia="zh-CN"/>
              </w:rPr>
            </w:pPr>
            <w:r>
              <w:rPr>
                <w:rFonts w:hint="eastAsia"/>
                <w:b/>
                <w:bCs/>
                <w:spacing w:val="5"/>
                <w:sz w:val="19"/>
                <w:szCs w:val="19"/>
                <w:lang w:val="en-US" w:eastAsia="zh-CN"/>
              </w:rPr>
              <w:t>22：00</w:t>
            </w:r>
          </w:p>
        </w:tc>
        <w:tc>
          <w:tcPr>
            <w:tcW w:w="6679" w:type="dxa"/>
            <w:vAlign w:val="top"/>
          </w:tcPr>
          <w:p>
            <w:pPr>
              <w:pStyle w:val="10"/>
              <w:spacing w:before="225" w:line="179" w:lineRule="auto"/>
              <w:jc w:val="center"/>
              <w:rPr>
                <w:rFonts w:hint="default" w:eastAsia="微软雅黑"/>
                <w:sz w:val="19"/>
                <w:szCs w:val="19"/>
                <w:lang w:val="en-US" w:eastAsia="zh-CN"/>
              </w:rPr>
            </w:pPr>
            <w:r>
              <w:rPr>
                <w:rFonts w:hint="default" w:eastAsia="微软雅黑"/>
                <w:sz w:val="19"/>
                <w:szCs w:val="19"/>
                <w:lang w:val="en-US" w:eastAsia="zh-CN"/>
              </w:rPr>
              <w:t>美国3月ISM非制造业指数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1" w:line="191" w:lineRule="auto"/>
              <w:ind w:left="449" w:leftChars="0"/>
              <w:rPr>
                <w:rFonts w:hint="eastAsia"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3</w:t>
            </w:r>
          </w:p>
        </w:tc>
        <w:tc>
          <w:tcPr>
            <w:tcW w:w="1143" w:type="dxa"/>
            <w:shd w:val="clear" w:color="auto" w:fill="D3EAFF"/>
            <w:vAlign w:val="top"/>
          </w:tcPr>
          <w:p>
            <w:pPr>
              <w:pStyle w:val="10"/>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22：30</w:t>
            </w:r>
          </w:p>
        </w:tc>
        <w:tc>
          <w:tcPr>
            <w:tcW w:w="6679" w:type="dxa"/>
            <w:shd w:val="clear" w:color="auto" w:fill="D3EAFF"/>
            <w:vAlign w:val="top"/>
          </w:tcPr>
          <w:p>
            <w:pPr>
              <w:pStyle w:val="10"/>
              <w:spacing w:before="224" w:line="180" w:lineRule="auto"/>
              <w:jc w:val="center"/>
              <w:rPr>
                <w:rFonts w:hint="eastAsia" w:eastAsia="微软雅黑"/>
                <w:sz w:val="19"/>
                <w:szCs w:val="19"/>
                <w:lang w:val="en-US" w:eastAsia="zh-CN"/>
              </w:rPr>
            </w:pPr>
            <w:r>
              <w:rPr>
                <w:rFonts w:hint="eastAsia"/>
                <w:sz w:val="19"/>
                <w:szCs w:val="19"/>
                <w:lang w:val="en-US" w:eastAsia="zh-CN"/>
              </w:rPr>
              <w:t>美国3月29日当周EIA原油库存变动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31" w:line="191" w:lineRule="auto"/>
              <w:ind w:left="449" w:leftChars="0"/>
              <w:rPr>
                <w:rFonts w:hint="eastAsia"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3</w:t>
            </w:r>
          </w:p>
        </w:tc>
        <w:tc>
          <w:tcPr>
            <w:tcW w:w="1143" w:type="dxa"/>
            <w:vAlign w:val="top"/>
          </w:tcPr>
          <w:p>
            <w:pPr>
              <w:pStyle w:val="10"/>
              <w:spacing w:before="245" w:line="172" w:lineRule="auto"/>
              <w:ind w:left="101" w:leftChars="0"/>
              <w:jc w:val="left"/>
              <w:rPr>
                <w:rFonts w:hint="eastAsia"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22：00</w:t>
            </w:r>
          </w:p>
        </w:tc>
        <w:tc>
          <w:tcPr>
            <w:tcW w:w="6679" w:type="dxa"/>
            <w:vAlign w:val="top"/>
          </w:tcPr>
          <w:p>
            <w:pPr>
              <w:pStyle w:val="10"/>
              <w:spacing w:before="225" w:line="179" w:lineRule="auto"/>
              <w:jc w:val="center"/>
              <w:rPr>
                <w:rFonts w:hint="default"/>
                <w:sz w:val="19"/>
                <w:szCs w:val="19"/>
                <w:lang w:val="en-US" w:eastAsia="zh-CN"/>
              </w:rPr>
            </w:pPr>
            <w:r>
              <w:rPr>
                <w:rFonts w:hint="eastAsia"/>
                <w:sz w:val="19"/>
                <w:szCs w:val="19"/>
                <w:lang w:val="en-US" w:eastAsia="zh-CN"/>
              </w:rPr>
              <w:t>美国非制造业PMI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1" w:line="191" w:lineRule="auto"/>
              <w:ind w:left="449" w:leftChars="0"/>
              <w:rPr>
                <w:rFonts w:hint="default" w:eastAsia="微软雅黑"/>
                <w:sz w:val="19"/>
                <w:szCs w:val="19"/>
                <w:lang w:val="en-US" w:eastAsia="zh-CN"/>
              </w:rPr>
            </w:pPr>
            <w:r>
              <w:rPr>
                <w:rFonts w:hint="eastAsia"/>
                <w:b/>
                <w:bCs/>
                <w:spacing w:val="3"/>
                <w:sz w:val="19"/>
                <w:szCs w:val="19"/>
                <w:lang w:val="en-US" w:eastAsia="zh-CN"/>
              </w:rPr>
              <w:t>次日</w:t>
            </w:r>
          </w:p>
        </w:tc>
        <w:tc>
          <w:tcPr>
            <w:tcW w:w="1143" w:type="dxa"/>
            <w:shd w:val="clear" w:color="auto" w:fill="D3EAFF"/>
            <w:vAlign w:val="top"/>
          </w:tcPr>
          <w:p>
            <w:pPr>
              <w:pStyle w:val="10"/>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00：10</w:t>
            </w:r>
          </w:p>
        </w:tc>
        <w:tc>
          <w:tcPr>
            <w:tcW w:w="6679" w:type="dxa"/>
            <w:shd w:val="clear" w:color="auto" w:fill="D3EAFF"/>
            <w:vAlign w:val="top"/>
          </w:tcPr>
          <w:p>
            <w:pPr>
              <w:pStyle w:val="10"/>
              <w:spacing w:before="224" w:line="180" w:lineRule="auto"/>
              <w:jc w:val="center"/>
              <w:rPr>
                <w:rFonts w:hint="eastAsia" w:eastAsia="微软雅黑"/>
                <w:sz w:val="19"/>
                <w:szCs w:val="19"/>
                <w:lang w:val="en-US" w:eastAsia="zh-CN"/>
              </w:rPr>
            </w:pPr>
            <w:r>
              <w:rPr>
                <w:rFonts w:hint="eastAsia" w:eastAsia="微软雅黑"/>
                <w:sz w:val="19"/>
                <w:szCs w:val="19"/>
                <w:lang w:val="en-US" w:eastAsia="zh-CN"/>
              </w:rPr>
              <w:t>美联储主席鲍威尔发表讲话</w:t>
            </w:r>
          </w:p>
        </w:tc>
      </w:tr>
    </w:tbl>
    <w:p>
      <w:pPr>
        <w:spacing w:before="120" w:line="190" w:lineRule="auto"/>
        <w:rPr>
          <w:rFonts w:ascii="微软雅黑" w:hAnsi="微软雅黑" w:eastAsia="微软雅黑" w:cs="微软雅黑"/>
          <w:color w:val="036EB8"/>
          <w:position w:val="-4"/>
          <w:sz w:val="28"/>
          <w:szCs w:val="28"/>
        </w:rPr>
      </w:pPr>
    </w:p>
    <w:p>
      <w:pPr>
        <w:spacing w:before="120" w:line="190" w:lineRule="auto"/>
        <w:rPr>
          <w:rFonts w:ascii="微软雅黑" w:hAnsi="微软雅黑" w:eastAsia="微软雅黑" w:cs="微软雅黑"/>
          <w:color w:val="036EB8"/>
          <w:position w:val="-4"/>
          <w:sz w:val="28"/>
          <w:szCs w:val="28"/>
        </w:rPr>
      </w:pPr>
    </w:p>
    <w:p>
      <w:pPr>
        <w:spacing w:before="120" w:line="190" w:lineRule="auto"/>
        <w:rPr>
          <w:rFonts w:ascii="微软雅黑" w:hAnsi="微软雅黑" w:eastAsia="微软雅黑" w:cs="微软雅黑"/>
          <w:color w:val="036EB8"/>
          <w:position w:val="-4"/>
          <w:sz w:val="28"/>
          <w:szCs w:val="28"/>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周三，美元指数跌0.18%报104.77，非美货币多数上涨，欧元兑美元涨0.24%报1.0769，英镑兑美元涨0.2%报1.2576，澳元兑美元涨0.44%报0.6518，美元兑日元跌0.06%报151.56。昨日公布的美国2月耐用品订单低于预期但较前值有所回升，而2月工厂订单则远超预期，整体商品需求或仍保有一定韧性。欧元区及英国PMI均缓慢回升，整体经济活跃度持续修复，同时德国CPI数据录得2.2%再次走弱并接近欧洲央行目标区间，或有利欧洲央行提早执行降息。往后看，短期内美国经济数据走强导致利率预期抬升或持续给予美元指数一定支撑。</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欧元兑美元主力合约走势图</w:t>
      </w:r>
    </w:p>
    <w:p>
      <w:pPr>
        <w:spacing w:before="103" w:line="256" w:lineRule="auto"/>
        <w:ind w:right="743"/>
        <w:jc w:val="both"/>
      </w:pPr>
      <w:r>
        <w:drawing>
          <wp:inline distT="0" distB="0" distL="114300" distR="114300">
            <wp:extent cx="5824855" cy="2410460"/>
            <wp:effectExtent l="0" t="0" r="4445" b="889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3"/>
                    <a:stretch>
                      <a:fillRect/>
                    </a:stretch>
                  </pic:blipFill>
                  <pic:spPr>
                    <a:xfrm>
                      <a:off x="0" y="0"/>
                      <a:ext cx="5824855" cy="2410460"/>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wind、瑞达国际</w:t>
      </w:r>
    </w:p>
    <w:p>
      <w:pPr>
        <w:spacing w:before="103" w:line="256" w:lineRule="auto"/>
        <w:ind w:right="743"/>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rPr>
        <w:t>截至4月3日，标普500指数收跌0.72%至5205.81点；迷你标普500主力合约收跌0.60%至5262.0点。美股周二收跌</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rPr>
        <w:t>道指收跌近400点，为连续第二个交易日下滑</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rPr>
        <w:t>美债收益率继续上升，10年期美债收益率一度突破4.4%。交易员进一步下调了对美联储6月份和今年降息的押注。策略上，逢低试多。详细支撑阻力位请见图表</w:t>
      </w:r>
      <w:r>
        <w:rPr>
          <w:rFonts w:hint="eastAsia" w:ascii="微软雅黑" w:hAnsi="微软雅黑" w:eastAsia="微软雅黑" w:cs="微软雅黑"/>
          <w:spacing w:val="12"/>
          <w:sz w:val="24"/>
          <w:szCs w:val="24"/>
          <w:lang w:val="en-US" w:eastAsia="zh-CN"/>
        </w:rPr>
        <w:t>3。</w:t>
      </w:r>
    </w:p>
    <w:p>
      <w:pPr>
        <w:spacing w:before="103" w:line="256" w:lineRule="auto"/>
        <w:ind w:right="743"/>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120" w:line="190" w:lineRule="auto"/>
        <w:jc w:val="both"/>
        <w:rPr>
          <w:rFonts w:ascii="新宋体" w:hAnsi="新宋体" w:eastAsia="新宋体"/>
          <w:b/>
        </w:rPr>
      </w:pPr>
      <w:r>
        <w:rPr>
          <w:rFonts w:ascii="新宋体" w:hAnsi="新宋体" w:eastAsia="新宋体"/>
          <w:b/>
        </w:rPr>
        <w:drawing>
          <wp:inline distT="0" distB="0" distL="0" distR="0">
            <wp:extent cx="6207125" cy="2583815"/>
            <wp:effectExtent l="0" t="0" r="3175"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4"/>
                    <a:stretch>
                      <a:fillRect/>
                    </a:stretch>
                  </pic:blipFill>
                  <pic:spPr>
                    <a:xfrm>
                      <a:off x="0" y="0"/>
                      <a:ext cx="6207125" cy="2583815"/>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235" w:line="176"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left="3" w:right="743" w:firstLine="535"/>
        <w:jc w:val="both"/>
        <w:rPr>
          <w:rFonts w:hint="eastAsia" w:ascii="微软雅黑" w:hAnsi="微软雅黑" w:eastAsia="微软雅黑" w:cs="微软雅黑"/>
          <w:spacing w:val="12"/>
          <w:sz w:val="24"/>
          <w:szCs w:val="24"/>
          <w:lang w:eastAsia="zh-CN"/>
        </w:rPr>
      </w:pPr>
      <w:r>
        <w:rPr>
          <w:rFonts w:hint="eastAsia" w:ascii="微软雅黑" w:hAnsi="微软雅黑" w:eastAsia="微软雅黑" w:cs="微软雅黑"/>
          <w:spacing w:val="12"/>
          <w:sz w:val="24"/>
          <w:szCs w:val="24"/>
        </w:rPr>
        <w:t>截至4月2日，富时中国A50指数收跌0.21%至12270.25点；新交所富时A50期指主力合约收跌0.02%至12303点。考虑到1、2月经济数据超预期表现，预计一季度经济同比仍有望超目标5%。海外美联储降息预期降温，时点上分歧较大，考虑到当前通胀水平，预计三季度降息概率更高。策略上，短线逢低做多为主。详细支撑阻力位请见图表4。</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：富时中国A50指数</w:t>
      </w:r>
      <w:r>
        <w:rPr>
          <w:rFonts w:hint="eastAsia" w:ascii="微软雅黑" w:hAnsi="微软雅黑" w:eastAsia="微软雅黑" w:cs="微软雅黑"/>
          <w:spacing w:val="7"/>
          <w:sz w:val="21"/>
          <w:szCs w:val="21"/>
          <w:lang w:val="en-US" w:eastAsia="zh-CN"/>
        </w:rPr>
        <w:t>走势图</w:t>
      </w:r>
    </w:p>
    <w:p>
      <w:pPr>
        <w:spacing w:before="103" w:line="256" w:lineRule="auto"/>
        <w:ind w:right="743"/>
        <w:jc w:val="both"/>
        <w:rPr>
          <w:rFonts w:ascii="新宋体" w:hAnsi="新宋体" w:eastAsia="新宋体"/>
        </w:rPr>
      </w:pPr>
      <w:r>
        <w:rPr>
          <w:rFonts w:ascii="新宋体" w:hAnsi="新宋体" w:eastAsia="新宋体"/>
        </w:rPr>
        <w:drawing>
          <wp:inline distT="0" distB="0" distL="0" distR="0">
            <wp:extent cx="6045835" cy="2600325"/>
            <wp:effectExtent l="0" t="0" r="1206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045835" cy="2600325"/>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国际方面，旧金山联储主席戴利表示，今年降息3次是基线预测，若有需要可以增减。此前的“大鹰派”克利夫兰联储主席梅斯特也预计今年降息3次，不排除在6月降息，5月降息理由不足；两人均警告过早降息的风险。美元指数先涨后跌，长期美债触及年内高点。国内方面，国家主席习近平应约同美国总统拜登通电话。两国元首就中美关系以及双方共同关心的问题坦诚深入交换了意见。双边关系的开放稳定亦是经济复苏的良好基础，此次通电释放中性偏暖预期。基本面上，TC费用持续走低，矿端偏紧问题日趋显化。CSPT小组企业联合减产，减产幅度5%-10%，并推进落实。综合来看，铜价将受到成本及预期的支撑。操作上，震荡偏强走势为主，下有基本面托底，上方美元持续释压。</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COMEX铜日线走势图</w:t>
      </w:r>
    </w:p>
    <w:p>
      <w:pPr>
        <w:spacing w:before="103" w:line="256" w:lineRule="auto"/>
        <w:ind w:right="743"/>
        <w:jc w:val="both"/>
      </w:pPr>
      <w:r>
        <w:drawing>
          <wp:inline distT="0" distB="0" distL="0" distR="0">
            <wp:extent cx="6141085" cy="2596515"/>
            <wp:effectExtent l="0" t="0" r="12065" b="133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a:stretch>
                      <a:fillRect/>
                    </a:stretch>
                  </pic:blipFill>
                  <pic:spPr>
                    <a:xfrm>
                      <a:off x="0" y="0"/>
                      <a:ext cx="6141085" cy="2596515"/>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pPr>
    </w:p>
    <w:p>
      <w:pPr>
        <w:spacing w:before="103" w:line="256" w:lineRule="auto"/>
        <w:ind w:right="743"/>
        <w:jc w:val="both"/>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消息面：昨日公布的美国2月耐用品订单低于预期但较前值有所回升，而2月工厂订单则远超预期，整体商品需求或仍保有一定韧性。欧元区及英国PMI均缓慢回升，整体经济活跃度持续修复，同时德国CPI数据录得2.2%再次走弱并接近欧洲央行目标区间，或有利欧洲央行提早执行降息。</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外盘持仓方面：截至4月2日，SPDR Gold Trust黄金ETF持仓量为829吨，较上一交易日增加3.02吨。</w:t>
      </w:r>
    </w:p>
    <w:p>
      <w:pPr>
        <w:spacing w:before="103" w:line="256" w:lineRule="auto"/>
        <w:ind w:left="3" w:right="743" w:firstLine="535"/>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12"/>
          <w:sz w:val="24"/>
          <w:szCs w:val="24"/>
          <w:lang w:val="en-US" w:eastAsia="zh-CN"/>
        </w:rPr>
        <w:t>往后看，短期内美国经济数据走强叠加能源价格回升或使市场重燃对通胀水平再次上升的担忧，贵金属价格或将得到一定提振，而白银涨幅在金银比较高的影响下或将相对优异。操作上建议，日内轻仓做多，请投资者注意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r>
        <w:rPr>
          <w:rFonts w:hint="eastAsia" w:ascii="微软雅黑" w:hAnsi="微软雅黑" w:eastAsia="微软雅黑" w:cs="微软雅黑"/>
          <w:spacing w:val="7"/>
          <w:sz w:val="21"/>
          <w:szCs w:val="21"/>
          <w:lang w:val="en-US" w:eastAsia="zh-CN"/>
        </w:rPr>
        <w:t xml:space="preserve">  </w:t>
      </w:r>
    </w:p>
    <w:p>
      <w:pPr>
        <w:spacing w:before="103" w:line="256" w:lineRule="auto"/>
        <w:ind w:right="743"/>
        <w:jc w:val="both"/>
      </w:pPr>
      <w:r>
        <w:drawing>
          <wp:inline distT="0" distB="0" distL="114300" distR="114300">
            <wp:extent cx="6237605" cy="2336165"/>
            <wp:effectExtent l="0" t="0" r="10795"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7"/>
                    <a:stretch>
                      <a:fillRect/>
                    </a:stretch>
                  </pic:blipFill>
                  <pic:spPr>
                    <a:xfrm>
                      <a:off x="0" y="0"/>
                      <a:ext cx="6237605" cy="2336165"/>
                    </a:xfrm>
                    <a:prstGeom prst="rect">
                      <a:avLst/>
                    </a:prstGeom>
                    <a:noFill/>
                    <a:ln>
                      <a:noFill/>
                    </a:ln>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left="528" w:right="743" w:hanging="528" w:hangingChars="200"/>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原油</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743" w:firstLine="528" w:firstLineChars="200"/>
        <w:jc w:val="both"/>
        <w:textAlignment w:val="baseline"/>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周二，乌克兰的一架无人机袭击了距离俄乌前线1300公里的俄罗斯最大的炼油厂，产能为34万桶/日。俄罗斯是全球三大原油生产国之一，也是最大的成品油出口国之一。俄罗斯周二表示国内汽油和柴油库存仍处于高位。</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分析师表示，如果俄罗斯限制成品油出口，可能会进一步收紧供应，这突然迫使美国重新计算本月剩余时间甚至可能更长时间的美国（石油）余额。</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在中东，周二伊朗总统易卜拉欣莱西表示，伊朗将对以色列袭击伊朗驻叙利亚领事馆进行报复。周一以色列对伊朗驻大马士革大使馆的空袭导致两名伊朗高级将领和五名军事顾问死亡。</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石油经纪商PVM公司的分析师塔玛斯瓦尔加表示，以色列一直在加沙与伊朗支持的哈马斯抵抗组织交战，但是伊朗如果直接参与，可能导致地区冲突升级，对原油供应也将造成影响。</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瑞穗能源期货主管鲍勃亚戈尔表示，尽管一系列外交活动旨在缓和中东局势，但伊朗人这次的反应肯定不会轻描淡写。</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澳新银行分析师表示，迄今为止，市场并未真正担忧供应中断，因为冲突规模依然受控。但是如果（以色列袭击使馆）导致伊朗直接介入，可能导致原油供应受到威胁。</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周三欧佩克联盟将召开部长级联合监测委员会在线会议，以审查市场状况和减产执行情况。市场普遍预期欧佩克联盟将维持当前的产量政策，将自愿减产220万桶/日的计划持续到六月底。</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其他消息包括，一个生态组织表示，欧洲卫星在哈萨克斯坦卡莎干油田附近的里海北部发现漏油事件。</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此外，需求端的信号也在回暖。3月份中国制造业活动六个月来首次扩张，美国制造业活动出现一年半来首次扩张，这应该会转化为今年原油需求的上升。中国是世界最大的原油进口国和第二大消费国，而美国是世界最大的原油消费国。</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743" w:firstLine="528" w:firstLineChars="200"/>
        <w:jc w:val="both"/>
        <w:textAlignment w:val="baseline"/>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12"/>
          <w:sz w:val="24"/>
          <w:szCs w:val="24"/>
          <w:lang w:val="en-US" w:eastAsia="zh-CN"/>
        </w:rPr>
        <w:t>纽约商品期货交易所（NYMEX）的西德克萨斯中质原油（WTI）5月合约较上一交易日上涨1.44美元或1.72%，报85.15美元/桶，短期呈现强势震荡走势。支撑位：82.6；压力位：87.5。</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en-US" w:eastAsia="zh-CN"/>
        </w:rPr>
        <w:t>图7：原油（WTI）</w:t>
      </w:r>
    </w:p>
    <w:p>
      <w:pPr>
        <w:spacing w:before="103" w:line="256" w:lineRule="auto"/>
        <w:ind w:right="743"/>
        <w:jc w:val="both"/>
        <w:rPr>
          <w:rFonts w:hint="eastAsia" w:ascii="微软雅黑" w:hAnsi="微软雅黑" w:eastAsia="微软雅黑" w:cs="微软雅黑"/>
          <w:spacing w:val="12"/>
          <w:sz w:val="24"/>
          <w:szCs w:val="24"/>
        </w:rPr>
      </w:pPr>
      <w:r>
        <w:drawing>
          <wp:inline distT="0" distB="0" distL="0" distR="0">
            <wp:extent cx="6179185" cy="3222625"/>
            <wp:effectExtent l="0" t="0" r="12065" b="158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a:stretch>
                      <a:fillRect/>
                    </a:stretch>
                  </pic:blipFill>
                  <pic:spPr>
                    <a:xfrm>
                      <a:off x="0" y="0"/>
                      <a:ext cx="6179185" cy="3222625"/>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bookmarkStart w:id="0" w:name="OLE_LINK3"/>
      <w:bookmarkStart w:id="1" w:name="OLE_LINK4"/>
    </w:p>
    <w:bookmarkEnd w:id="0"/>
    <w:bookmarkEnd w:id="1"/>
    <w:p>
      <w:pPr>
        <w:spacing w:before="103" w:line="256" w:lineRule="auto"/>
        <w:ind w:right="743" w:firstLine="528" w:firstLineChars="200"/>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洲际期货交易所（ICE）原糖期货周二收跌，市场焦点集中在巴西更多糖厂是否开榨。交投最活跃的ICE 5月原糖期货合约收盘收跌0.4美分或1.8%，结算价每磅22.32美分。操作上，建议5月 ICE 原糖短期暂且观望。</w:t>
      </w:r>
    </w:p>
    <w:p>
      <w:pPr>
        <w:spacing w:before="103" w:line="256" w:lineRule="auto"/>
        <w:ind w:right="743" w:firstLine="528" w:firstLineChars="200"/>
        <w:jc w:val="both"/>
        <w:rPr>
          <w:rFonts w:hint="eastAsia" w:ascii="微软雅黑" w:hAnsi="微软雅黑" w:eastAsia="微软雅黑" w:cs="微软雅黑"/>
          <w:spacing w:val="12"/>
          <w:sz w:val="24"/>
          <w:szCs w:val="24"/>
        </w:rPr>
      </w:pP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w:t>
      </w:r>
      <w:r>
        <w:rPr>
          <w:rFonts w:hint="eastAsia" w:ascii="微软雅黑" w:hAnsi="微软雅黑" w:eastAsia="微软雅黑" w:cs="微软雅黑"/>
          <w:spacing w:val="7"/>
          <w:sz w:val="21"/>
          <w:szCs w:val="21"/>
          <w:lang w:val="zh-CN" w:eastAsia="zh-CN"/>
        </w:rPr>
        <w:t>原糖期货主力合约日走势图及支撑位、阻力位</w:t>
      </w:r>
    </w:p>
    <w:p>
      <w:pPr>
        <w:spacing w:before="103" w:line="256" w:lineRule="auto"/>
        <w:ind w:right="743"/>
        <w:jc w:val="both"/>
        <w:rPr>
          <w:rFonts w:hint="eastAsia" w:ascii="微软雅黑" w:hAnsi="微软雅黑" w:eastAsia="微软雅黑" w:cs="微软雅黑"/>
          <w:spacing w:val="7"/>
          <w:sz w:val="21"/>
          <w:szCs w:val="21"/>
          <w:lang w:val="zh-CN" w:eastAsia="zh-CN"/>
        </w:rPr>
      </w:pPr>
      <w:bookmarkStart w:id="2" w:name="_GoBack"/>
      <w:r>
        <w:rPr>
          <w:rFonts w:hint="eastAsia" w:ascii="微软雅黑" w:hAnsi="微软雅黑" w:eastAsia="微软雅黑" w:cs="微软雅黑"/>
          <w:spacing w:val="7"/>
          <w:sz w:val="21"/>
          <w:szCs w:val="21"/>
          <w:lang w:val="zh-CN" w:eastAsia="zh-CN"/>
        </w:rPr>
        <w:drawing>
          <wp:inline distT="0" distB="0" distL="114300" distR="114300">
            <wp:extent cx="6065520" cy="2372995"/>
            <wp:effectExtent l="0" t="0" r="11430" b="8255"/>
            <wp:docPr id="22" name="图片 22" descr="5ad2ff5e9b7dcffb50b103457b0ab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ad2ff5e9b7dcffb50b103457b0ab5e"/>
                    <pic:cNvPicPr>
                      <a:picLocks noChangeAspect="1"/>
                    </pic:cNvPicPr>
                  </pic:nvPicPr>
                  <pic:blipFill>
                    <a:blip r:embed="rId19"/>
                    <a:stretch>
                      <a:fillRect/>
                    </a:stretch>
                  </pic:blipFill>
                  <pic:spPr>
                    <a:xfrm>
                      <a:off x="0" y="0"/>
                      <a:ext cx="6065520" cy="2372995"/>
                    </a:xfrm>
                    <a:prstGeom prst="rect">
                      <a:avLst/>
                    </a:prstGeom>
                  </pic:spPr>
                </pic:pic>
              </a:graphicData>
            </a:graphic>
          </wp:inline>
        </w:drawing>
      </w:r>
      <w:bookmarkEnd w:id="2"/>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spacing w:val="12"/>
          <w:sz w:val="24"/>
          <w:szCs w:val="24"/>
          <w:lang w:eastAsia="zh-CN"/>
        </w:rPr>
      </w:pPr>
      <w:r>
        <w:rPr>
          <w:rFonts w:hint="eastAsia" w:ascii="微软雅黑" w:hAnsi="微软雅黑" w:eastAsia="微软雅黑" w:cs="微软雅黑"/>
          <w:b/>
          <w:bCs/>
          <w:spacing w:val="12"/>
          <w:sz w:val="24"/>
          <w:szCs w:val="24"/>
          <w:lang w:val="en-US" w:eastAsia="zh-CN"/>
        </w:rPr>
        <w:t>ICE棉花</w:t>
      </w:r>
    </w:p>
    <w:p>
      <w:pPr>
        <w:spacing w:before="103" w:line="256" w:lineRule="auto"/>
        <w:ind w:left="3" w:right="743" w:firstLine="535"/>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12"/>
          <w:sz w:val="24"/>
          <w:szCs w:val="24"/>
          <w:lang w:val="en-US" w:eastAsia="zh-CN"/>
        </w:rPr>
        <w:t>洲际交易所(ICE)棉花期货周二收跌，因需求疲软拖累投最活跃的ICE 5月期棉收跌1.95美分或2.10%，结算价报90.81美分/磅，建议5月ICE期棉短期暂且观望为宜。</w:t>
      </w:r>
    </w:p>
    <w:p>
      <w:pPr>
        <w:spacing w:before="103" w:line="256" w:lineRule="auto"/>
        <w:ind w:right="743"/>
        <w:jc w:val="both"/>
        <w:rPr>
          <w:rFonts w:ascii="微软雅黑" w:hAnsi="微软雅黑" w:eastAsia="微软雅黑" w:cs="微软雅黑"/>
          <w:color w:val="CE393F"/>
          <w:spacing w:val="8"/>
          <w:position w:val="2"/>
          <w:sz w:val="40"/>
          <w:szCs w:val="40"/>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9：ICE棉花</w:t>
      </w:r>
      <w:r>
        <w:rPr>
          <w:rFonts w:hint="eastAsia" w:ascii="微软雅黑" w:hAnsi="微软雅黑" w:eastAsia="微软雅黑" w:cs="微软雅黑"/>
          <w:spacing w:val="7"/>
          <w:sz w:val="21"/>
          <w:szCs w:val="21"/>
          <w:lang w:val="zh-CN" w:eastAsia="zh-CN"/>
        </w:rPr>
        <w:t>期货主力合约日走势图及支撑位、阻力位</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drawing>
          <wp:inline distT="0" distB="0" distL="114300" distR="114300">
            <wp:extent cx="6143625" cy="2207260"/>
            <wp:effectExtent l="0" t="0" r="9525" b="2540"/>
            <wp:docPr id="23" name="图片 23" descr="47640fff92f8ad0147ac49503f67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7640fff92f8ad0147ac49503f67c31"/>
                    <pic:cNvPicPr>
                      <a:picLocks noChangeAspect="1"/>
                    </pic:cNvPicPr>
                  </pic:nvPicPr>
                  <pic:blipFill>
                    <a:blip r:embed="rId20"/>
                    <a:stretch>
                      <a:fillRect/>
                    </a:stretch>
                  </pic:blipFill>
                  <pic:spPr>
                    <a:xfrm>
                      <a:off x="0" y="0"/>
                      <a:ext cx="6143625" cy="2207260"/>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72" w:line="417" w:lineRule="exact"/>
        <w:rPr>
          <w:rFonts w:ascii="微软雅黑" w:hAnsi="微软雅黑" w:eastAsia="微软雅黑" w:cs="微软雅黑"/>
          <w:color w:val="036EB8"/>
          <w:position w:val="-4"/>
          <w:sz w:val="28"/>
          <w:szCs w:val="28"/>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8"/>
          <w:sz w:val="18"/>
          <w:szCs w:val="18"/>
        </w:rPr>
        <w:t>则。</w:t>
      </w:r>
    </w:p>
    <w:p>
      <w:pPr>
        <w:spacing w:before="34" w:line="189" w:lineRule="auto"/>
        <w:ind w:left="337" w:right="707" w:firstLine="381"/>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2"/>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2"/>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181D4B"/>
    <w:rsid w:val="00593490"/>
    <w:rsid w:val="005F4A09"/>
    <w:rsid w:val="00920750"/>
    <w:rsid w:val="00CA7EEA"/>
    <w:rsid w:val="00CE6532"/>
    <w:rsid w:val="00D348C5"/>
    <w:rsid w:val="00DC19CB"/>
    <w:rsid w:val="00E16FE2"/>
    <w:rsid w:val="011E3D92"/>
    <w:rsid w:val="01486DF0"/>
    <w:rsid w:val="01761E20"/>
    <w:rsid w:val="018F67B1"/>
    <w:rsid w:val="019734A3"/>
    <w:rsid w:val="01B6046E"/>
    <w:rsid w:val="01C257A0"/>
    <w:rsid w:val="01FA65AD"/>
    <w:rsid w:val="021052EA"/>
    <w:rsid w:val="02151639"/>
    <w:rsid w:val="021D5BFB"/>
    <w:rsid w:val="024953BD"/>
    <w:rsid w:val="02A97FD3"/>
    <w:rsid w:val="02B7624C"/>
    <w:rsid w:val="02BC7D06"/>
    <w:rsid w:val="02DC4B76"/>
    <w:rsid w:val="030659D3"/>
    <w:rsid w:val="033C0E47"/>
    <w:rsid w:val="03661A20"/>
    <w:rsid w:val="03705048"/>
    <w:rsid w:val="038E44A6"/>
    <w:rsid w:val="03AA4003"/>
    <w:rsid w:val="03CF5817"/>
    <w:rsid w:val="03D44348"/>
    <w:rsid w:val="03D64DF8"/>
    <w:rsid w:val="03F31506"/>
    <w:rsid w:val="03FE7EAB"/>
    <w:rsid w:val="0402799B"/>
    <w:rsid w:val="04405814"/>
    <w:rsid w:val="044F0706"/>
    <w:rsid w:val="045A6DD9"/>
    <w:rsid w:val="04620439"/>
    <w:rsid w:val="04695C6C"/>
    <w:rsid w:val="04725735"/>
    <w:rsid w:val="0495080F"/>
    <w:rsid w:val="049D5915"/>
    <w:rsid w:val="04CD0E7B"/>
    <w:rsid w:val="04E43544"/>
    <w:rsid w:val="04E55250"/>
    <w:rsid w:val="04FB69FF"/>
    <w:rsid w:val="05173E06"/>
    <w:rsid w:val="053D4696"/>
    <w:rsid w:val="054933A7"/>
    <w:rsid w:val="056D52E8"/>
    <w:rsid w:val="059D2DAA"/>
    <w:rsid w:val="05C869C2"/>
    <w:rsid w:val="06874187"/>
    <w:rsid w:val="06920D0C"/>
    <w:rsid w:val="06AC1E40"/>
    <w:rsid w:val="06D40C03"/>
    <w:rsid w:val="06D860E7"/>
    <w:rsid w:val="06E91363"/>
    <w:rsid w:val="072919FB"/>
    <w:rsid w:val="07375BAD"/>
    <w:rsid w:val="07634D60"/>
    <w:rsid w:val="07652B87"/>
    <w:rsid w:val="077A4193"/>
    <w:rsid w:val="07950B26"/>
    <w:rsid w:val="07D9719C"/>
    <w:rsid w:val="07EB25E1"/>
    <w:rsid w:val="07F5280A"/>
    <w:rsid w:val="07F67816"/>
    <w:rsid w:val="080F6B2A"/>
    <w:rsid w:val="082F186D"/>
    <w:rsid w:val="085B34CE"/>
    <w:rsid w:val="089E2E0C"/>
    <w:rsid w:val="08AF5C17"/>
    <w:rsid w:val="08B5322E"/>
    <w:rsid w:val="08DD2784"/>
    <w:rsid w:val="08E949DF"/>
    <w:rsid w:val="08F817D8"/>
    <w:rsid w:val="090E293E"/>
    <w:rsid w:val="09174F67"/>
    <w:rsid w:val="09252A9B"/>
    <w:rsid w:val="093E76C7"/>
    <w:rsid w:val="09491BC8"/>
    <w:rsid w:val="09840E52"/>
    <w:rsid w:val="099A2423"/>
    <w:rsid w:val="09AC6674"/>
    <w:rsid w:val="09D26E62"/>
    <w:rsid w:val="09DA6CC4"/>
    <w:rsid w:val="09F02DF6"/>
    <w:rsid w:val="09F31EAA"/>
    <w:rsid w:val="0A1470E4"/>
    <w:rsid w:val="0A2A37A7"/>
    <w:rsid w:val="0A2C17A5"/>
    <w:rsid w:val="0A3E54A5"/>
    <w:rsid w:val="0A434869"/>
    <w:rsid w:val="0A533A62"/>
    <w:rsid w:val="0A544CC8"/>
    <w:rsid w:val="0A7D5FCD"/>
    <w:rsid w:val="0A823CEB"/>
    <w:rsid w:val="0A8F399C"/>
    <w:rsid w:val="0A9A6B7F"/>
    <w:rsid w:val="0A9B3267"/>
    <w:rsid w:val="0AA82AC5"/>
    <w:rsid w:val="0ABF0394"/>
    <w:rsid w:val="0AC0235E"/>
    <w:rsid w:val="0AC75B18"/>
    <w:rsid w:val="0AFD2C6A"/>
    <w:rsid w:val="0B0B2B07"/>
    <w:rsid w:val="0B0C10FF"/>
    <w:rsid w:val="0B116814"/>
    <w:rsid w:val="0B156206"/>
    <w:rsid w:val="0B3F14D4"/>
    <w:rsid w:val="0B3F6A8F"/>
    <w:rsid w:val="0B6149B5"/>
    <w:rsid w:val="0B696551"/>
    <w:rsid w:val="0B775713"/>
    <w:rsid w:val="0B7C44D7"/>
    <w:rsid w:val="0B837613"/>
    <w:rsid w:val="0BA87886"/>
    <w:rsid w:val="0BB06CD5"/>
    <w:rsid w:val="0C023101"/>
    <w:rsid w:val="0C1E10EA"/>
    <w:rsid w:val="0C6311F3"/>
    <w:rsid w:val="0C7358DA"/>
    <w:rsid w:val="0C7426EC"/>
    <w:rsid w:val="0C874AB1"/>
    <w:rsid w:val="0C8A677F"/>
    <w:rsid w:val="0CA53877"/>
    <w:rsid w:val="0CE00A95"/>
    <w:rsid w:val="0CE7389C"/>
    <w:rsid w:val="0D272220"/>
    <w:rsid w:val="0D3A56A0"/>
    <w:rsid w:val="0D6945E7"/>
    <w:rsid w:val="0D766D04"/>
    <w:rsid w:val="0D815DD4"/>
    <w:rsid w:val="0DEB161A"/>
    <w:rsid w:val="0E211365"/>
    <w:rsid w:val="0E304A35"/>
    <w:rsid w:val="0E4F7C80"/>
    <w:rsid w:val="0E680D42"/>
    <w:rsid w:val="0E6A2D0C"/>
    <w:rsid w:val="0E7D63D0"/>
    <w:rsid w:val="0E8A6F0A"/>
    <w:rsid w:val="0E9D4E90"/>
    <w:rsid w:val="0EC40C69"/>
    <w:rsid w:val="0F0E09E8"/>
    <w:rsid w:val="0F425337"/>
    <w:rsid w:val="0F53554E"/>
    <w:rsid w:val="0F83743D"/>
    <w:rsid w:val="0F8B4EFC"/>
    <w:rsid w:val="0FB51D65"/>
    <w:rsid w:val="0FB7564B"/>
    <w:rsid w:val="0FCF7FFC"/>
    <w:rsid w:val="0FD85A54"/>
    <w:rsid w:val="0FDC5544"/>
    <w:rsid w:val="0FE10DAC"/>
    <w:rsid w:val="0FFA2AB6"/>
    <w:rsid w:val="100D7DF3"/>
    <w:rsid w:val="101E5B5C"/>
    <w:rsid w:val="10240C99"/>
    <w:rsid w:val="103B02B6"/>
    <w:rsid w:val="104135F9"/>
    <w:rsid w:val="105A46BB"/>
    <w:rsid w:val="10A51DDA"/>
    <w:rsid w:val="10F1501F"/>
    <w:rsid w:val="1126167A"/>
    <w:rsid w:val="112C1D96"/>
    <w:rsid w:val="112D2A00"/>
    <w:rsid w:val="115D0CDB"/>
    <w:rsid w:val="115F642C"/>
    <w:rsid w:val="118367EC"/>
    <w:rsid w:val="119A2EC2"/>
    <w:rsid w:val="11DF575B"/>
    <w:rsid w:val="12064AFA"/>
    <w:rsid w:val="123A47A4"/>
    <w:rsid w:val="12837EF9"/>
    <w:rsid w:val="129245E0"/>
    <w:rsid w:val="12B72AC8"/>
    <w:rsid w:val="12C53BAB"/>
    <w:rsid w:val="12C56763"/>
    <w:rsid w:val="12D6271E"/>
    <w:rsid w:val="12DD56D0"/>
    <w:rsid w:val="12E453E1"/>
    <w:rsid w:val="130A686C"/>
    <w:rsid w:val="13392CAD"/>
    <w:rsid w:val="13581385"/>
    <w:rsid w:val="136F66CF"/>
    <w:rsid w:val="137D0DEC"/>
    <w:rsid w:val="13914897"/>
    <w:rsid w:val="13AC16D1"/>
    <w:rsid w:val="13E83022"/>
    <w:rsid w:val="14055F2A"/>
    <w:rsid w:val="142D2812"/>
    <w:rsid w:val="145B4DEA"/>
    <w:rsid w:val="146B1AFA"/>
    <w:rsid w:val="146B50E8"/>
    <w:rsid w:val="148B7538"/>
    <w:rsid w:val="14914C87"/>
    <w:rsid w:val="14B24AC5"/>
    <w:rsid w:val="14D35F6D"/>
    <w:rsid w:val="14E03753"/>
    <w:rsid w:val="14EF7AC7"/>
    <w:rsid w:val="15227E9D"/>
    <w:rsid w:val="15357EA3"/>
    <w:rsid w:val="153F7762"/>
    <w:rsid w:val="1546345F"/>
    <w:rsid w:val="157A3DE6"/>
    <w:rsid w:val="15A20FDE"/>
    <w:rsid w:val="15AD4515"/>
    <w:rsid w:val="15BF56EC"/>
    <w:rsid w:val="15FA0A52"/>
    <w:rsid w:val="160F471D"/>
    <w:rsid w:val="162163A6"/>
    <w:rsid w:val="162F6237"/>
    <w:rsid w:val="163007A4"/>
    <w:rsid w:val="16323E9D"/>
    <w:rsid w:val="16526560"/>
    <w:rsid w:val="16532BAF"/>
    <w:rsid w:val="16640041"/>
    <w:rsid w:val="167A1613"/>
    <w:rsid w:val="167F4E7B"/>
    <w:rsid w:val="169F376F"/>
    <w:rsid w:val="16A86180"/>
    <w:rsid w:val="16AB5CAD"/>
    <w:rsid w:val="16B17A67"/>
    <w:rsid w:val="16C117E9"/>
    <w:rsid w:val="16C136E5"/>
    <w:rsid w:val="16C3745D"/>
    <w:rsid w:val="16CE195E"/>
    <w:rsid w:val="16E84EEA"/>
    <w:rsid w:val="16ED5F07"/>
    <w:rsid w:val="16FE3FF2"/>
    <w:rsid w:val="17231CAA"/>
    <w:rsid w:val="17343EB7"/>
    <w:rsid w:val="174F2A9F"/>
    <w:rsid w:val="1750680B"/>
    <w:rsid w:val="17602EFE"/>
    <w:rsid w:val="176B1094"/>
    <w:rsid w:val="179E5F3A"/>
    <w:rsid w:val="17A62F40"/>
    <w:rsid w:val="17C36FE9"/>
    <w:rsid w:val="17EF6030"/>
    <w:rsid w:val="181A30AD"/>
    <w:rsid w:val="183124A5"/>
    <w:rsid w:val="188F46B1"/>
    <w:rsid w:val="188F6EFF"/>
    <w:rsid w:val="18AB1F57"/>
    <w:rsid w:val="18BF5A03"/>
    <w:rsid w:val="18DA6CE0"/>
    <w:rsid w:val="193957B5"/>
    <w:rsid w:val="19891B44"/>
    <w:rsid w:val="19E37FA1"/>
    <w:rsid w:val="1A1A3838"/>
    <w:rsid w:val="1A2A15A2"/>
    <w:rsid w:val="1A3760C8"/>
    <w:rsid w:val="1A7F5449"/>
    <w:rsid w:val="1A926B26"/>
    <w:rsid w:val="1AB33345"/>
    <w:rsid w:val="1ADA4D76"/>
    <w:rsid w:val="1AEE342A"/>
    <w:rsid w:val="1AFE6CB6"/>
    <w:rsid w:val="1B0B3181"/>
    <w:rsid w:val="1B143435"/>
    <w:rsid w:val="1B593EEC"/>
    <w:rsid w:val="1B6F441F"/>
    <w:rsid w:val="1B6F54BE"/>
    <w:rsid w:val="1B8A054A"/>
    <w:rsid w:val="1BCC2910"/>
    <w:rsid w:val="1BE952E4"/>
    <w:rsid w:val="1BEC2FB3"/>
    <w:rsid w:val="1C220782"/>
    <w:rsid w:val="1C2A3ADB"/>
    <w:rsid w:val="1C2C7853"/>
    <w:rsid w:val="1C2F2E9F"/>
    <w:rsid w:val="1C3C502D"/>
    <w:rsid w:val="1C56667E"/>
    <w:rsid w:val="1C5C2AF3"/>
    <w:rsid w:val="1C6F246D"/>
    <w:rsid w:val="1C705992"/>
    <w:rsid w:val="1C840E30"/>
    <w:rsid w:val="1C847E13"/>
    <w:rsid w:val="1C9871D4"/>
    <w:rsid w:val="1C9961A4"/>
    <w:rsid w:val="1CA32066"/>
    <w:rsid w:val="1CB6536F"/>
    <w:rsid w:val="1CB6711D"/>
    <w:rsid w:val="1CDB7F58"/>
    <w:rsid w:val="1CE56411"/>
    <w:rsid w:val="1D063C00"/>
    <w:rsid w:val="1D077978"/>
    <w:rsid w:val="1D317F46"/>
    <w:rsid w:val="1D5038FF"/>
    <w:rsid w:val="1D8A2164"/>
    <w:rsid w:val="1DB70C3A"/>
    <w:rsid w:val="1DD62C34"/>
    <w:rsid w:val="1DE026A3"/>
    <w:rsid w:val="1E140822"/>
    <w:rsid w:val="1EDA46D4"/>
    <w:rsid w:val="1F047D4E"/>
    <w:rsid w:val="1F066139"/>
    <w:rsid w:val="1F2E743E"/>
    <w:rsid w:val="1F43738D"/>
    <w:rsid w:val="1F570A81"/>
    <w:rsid w:val="1F69491A"/>
    <w:rsid w:val="1FA34B99"/>
    <w:rsid w:val="1FAA1158"/>
    <w:rsid w:val="1FBB3CE7"/>
    <w:rsid w:val="1FCF6E73"/>
    <w:rsid w:val="1FD47FE6"/>
    <w:rsid w:val="1FD955FC"/>
    <w:rsid w:val="1FE453E9"/>
    <w:rsid w:val="1FE50445"/>
    <w:rsid w:val="200B4005"/>
    <w:rsid w:val="201C373B"/>
    <w:rsid w:val="203B1E13"/>
    <w:rsid w:val="2040567B"/>
    <w:rsid w:val="20C067BC"/>
    <w:rsid w:val="20DA5ACF"/>
    <w:rsid w:val="210A2CE1"/>
    <w:rsid w:val="210F504D"/>
    <w:rsid w:val="213571AA"/>
    <w:rsid w:val="213836B0"/>
    <w:rsid w:val="213B4094"/>
    <w:rsid w:val="21690C01"/>
    <w:rsid w:val="21893052"/>
    <w:rsid w:val="21934DFE"/>
    <w:rsid w:val="219E4C0D"/>
    <w:rsid w:val="21E0526C"/>
    <w:rsid w:val="22016465"/>
    <w:rsid w:val="22237002"/>
    <w:rsid w:val="224156DA"/>
    <w:rsid w:val="22456F79"/>
    <w:rsid w:val="224C47AB"/>
    <w:rsid w:val="224C6559"/>
    <w:rsid w:val="225243A2"/>
    <w:rsid w:val="22695B2D"/>
    <w:rsid w:val="227B0BEC"/>
    <w:rsid w:val="22CF093F"/>
    <w:rsid w:val="22D57132"/>
    <w:rsid w:val="22F20137"/>
    <w:rsid w:val="23476D20"/>
    <w:rsid w:val="23503E27"/>
    <w:rsid w:val="23517B9F"/>
    <w:rsid w:val="235F71C6"/>
    <w:rsid w:val="23713D9D"/>
    <w:rsid w:val="237750EB"/>
    <w:rsid w:val="238179BB"/>
    <w:rsid w:val="23F01166"/>
    <w:rsid w:val="23F24EDE"/>
    <w:rsid w:val="23F82635"/>
    <w:rsid w:val="240B5FA0"/>
    <w:rsid w:val="24613C0B"/>
    <w:rsid w:val="24651B54"/>
    <w:rsid w:val="24711BFF"/>
    <w:rsid w:val="2490190B"/>
    <w:rsid w:val="24904744"/>
    <w:rsid w:val="24BB79C6"/>
    <w:rsid w:val="24E0742D"/>
    <w:rsid w:val="24F212CA"/>
    <w:rsid w:val="25096983"/>
    <w:rsid w:val="25205A7B"/>
    <w:rsid w:val="25283888"/>
    <w:rsid w:val="25323DC4"/>
    <w:rsid w:val="25324D05"/>
    <w:rsid w:val="253B28B5"/>
    <w:rsid w:val="25472113"/>
    <w:rsid w:val="257D4C7B"/>
    <w:rsid w:val="25853B30"/>
    <w:rsid w:val="25873D4C"/>
    <w:rsid w:val="25A3141D"/>
    <w:rsid w:val="25B71060"/>
    <w:rsid w:val="25BF3AFF"/>
    <w:rsid w:val="25D8182D"/>
    <w:rsid w:val="26583EBF"/>
    <w:rsid w:val="26591245"/>
    <w:rsid w:val="266A530B"/>
    <w:rsid w:val="268F2EB8"/>
    <w:rsid w:val="268F3365"/>
    <w:rsid w:val="269C3827"/>
    <w:rsid w:val="269E134D"/>
    <w:rsid w:val="26AC3A6A"/>
    <w:rsid w:val="26C708A4"/>
    <w:rsid w:val="26E2748C"/>
    <w:rsid w:val="26EA6341"/>
    <w:rsid w:val="27104DCE"/>
    <w:rsid w:val="27196C26"/>
    <w:rsid w:val="274912B9"/>
    <w:rsid w:val="27541A0C"/>
    <w:rsid w:val="27547C5E"/>
    <w:rsid w:val="275639D6"/>
    <w:rsid w:val="276C31F9"/>
    <w:rsid w:val="276F4A98"/>
    <w:rsid w:val="279A1B15"/>
    <w:rsid w:val="27B84C56"/>
    <w:rsid w:val="27BA1634"/>
    <w:rsid w:val="27D03788"/>
    <w:rsid w:val="28575C58"/>
    <w:rsid w:val="287265EE"/>
    <w:rsid w:val="28D450EA"/>
    <w:rsid w:val="28D5055F"/>
    <w:rsid w:val="28FC39E6"/>
    <w:rsid w:val="291C5438"/>
    <w:rsid w:val="297457A6"/>
    <w:rsid w:val="29895F83"/>
    <w:rsid w:val="2A1831C5"/>
    <w:rsid w:val="2A581813"/>
    <w:rsid w:val="2A64640A"/>
    <w:rsid w:val="2A7D74CC"/>
    <w:rsid w:val="2A930039"/>
    <w:rsid w:val="2AA841F2"/>
    <w:rsid w:val="2AF43C32"/>
    <w:rsid w:val="2B0A5203"/>
    <w:rsid w:val="2B2E2991"/>
    <w:rsid w:val="2BBF5FEE"/>
    <w:rsid w:val="2BCA04EF"/>
    <w:rsid w:val="2BCE6231"/>
    <w:rsid w:val="2BFD08C4"/>
    <w:rsid w:val="2C0E487F"/>
    <w:rsid w:val="2C0F5A5F"/>
    <w:rsid w:val="2C5030EA"/>
    <w:rsid w:val="2C7C5C8D"/>
    <w:rsid w:val="2C934D84"/>
    <w:rsid w:val="2CC413E2"/>
    <w:rsid w:val="2CCF6074"/>
    <w:rsid w:val="2CE028C6"/>
    <w:rsid w:val="2D012F66"/>
    <w:rsid w:val="2D771923"/>
    <w:rsid w:val="2D776454"/>
    <w:rsid w:val="2D7B5F44"/>
    <w:rsid w:val="2D875411"/>
    <w:rsid w:val="2DA709E8"/>
    <w:rsid w:val="2DA84860"/>
    <w:rsid w:val="2DAF3E40"/>
    <w:rsid w:val="2DDD09AD"/>
    <w:rsid w:val="2DE81100"/>
    <w:rsid w:val="2DEC299E"/>
    <w:rsid w:val="2DFB5908"/>
    <w:rsid w:val="2E0065CE"/>
    <w:rsid w:val="2E312AA7"/>
    <w:rsid w:val="2E556795"/>
    <w:rsid w:val="2E746294"/>
    <w:rsid w:val="2EBF315F"/>
    <w:rsid w:val="2EC90F31"/>
    <w:rsid w:val="2EC93975"/>
    <w:rsid w:val="2EF22236"/>
    <w:rsid w:val="2EF91480"/>
    <w:rsid w:val="2F1F6DA3"/>
    <w:rsid w:val="2F261EE0"/>
    <w:rsid w:val="2F391C13"/>
    <w:rsid w:val="2F3D7961"/>
    <w:rsid w:val="2F45680A"/>
    <w:rsid w:val="2F666780"/>
    <w:rsid w:val="2F7075FF"/>
    <w:rsid w:val="2F8C1E45"/>
    <w:rsid w:val="2FA63021"/>
    <w:rsid w:val="2FAA2B11"/>
    <w:rsid w:val="2FD7142C"/>
    <w:rsid w:val="2FF41FDE"/>
    <w:rsid w:val="2FFB511A"/>
    <w:rsid w:val="300F0BC6"/>
    <w:rsid w:val="30151978"/>
    <w:rsid w:val="30155912"/>
    <w:rsid w:val="3070283C"/>
    <w:rsid w:val="307F5D4C"/>
    <w:rsid w:val="309A4933"/>
    <w:rsid w:val="30C9346B"/>
    <w:rsid w:val="30F32296"/>
    <w:rsid w:val="30FD0529"/>
    <w:rsid w:val="30FF50DE"/>
    <w:rsid w:val="31197F4E"/>
    <w:rsid w:val="311D7312"/>
    <w:rsid w:val="313E79B5"/>
    <w:rsid w:val="3163417D"/>
    <w:rsid w:val="318A49A8"/>
    <w:rsid w:val="31C51E84"/>
    <w:rsid w:val="31D644AB"/>
    <w:rsid w:val="31E242A6"/>
    <w:rsid w:val="32554509"/>
    <w:rsid w:val="326951F3"/>
    <w:rsid w:val="32A24300"/>
    <w:rsid w:val="32A61AD2"/>
    <w:rsid w:val="32AE46C6"/>
    <w:rsid w:val="32CC0FF0"/>
    <w:rsid w:val="32E92FB9"/>
    <w:rsid w:val="33150101"/>
    <w:rsid w:val="334E2397"/>
    <w:rsid w:val="33526CEF"/>
    <w:rsid w:val="338418CB"/>
    <w:rsid w:val="33AD30C5"/>
    <w:rsid w:val="33C64D45"/>
    <w:rsid w:val="33EC0EFE"/>
    <w:rsid w:val="33F64119"/>
    <w:rsid w:val="33F8661C"/>
    <w:rsid w:val="342015F4"/>
    <w:rsid w:val="3454129D"/>
    <w:rsid w:val="345968B4"/>
    <w:rsid w:val="348025C6"/>
    <w:rsid w:val="34945433"/>
    <w:rsid w:val="349F4C0E"/>
    <w:rsid w:val="34A2025B"/>
    <w:rsid w:val="350D601C"/>
    <w:rsid w:val="35204032"/>
    <w:rsid w:val="354B627A"/>
    <w:rsid w:val="356814A4"/>
    <w:rsid w:val="35885E60"/>
    <w:rsid w:val="358E3D56"/>
    <w:rsid w:val="360311CD"/>
    <w:rsid w:val="36435665"/>
    <w:rsid w:val="3647730B"/>
    <w:rsid w:val="367C49A1"/>
    <w:rsid w:val="36C26992"/>
    <w:rsid w:val="36D52B69"/>
    <w:rsid w:val="36D55C7A"/>
    <w:rsid w:val="36EF34FF"/>
    <w:rsid w:val="3710594F"/>
    <w:rsid w:val="37364480"/>
    <w:rsid w:val="37545800"/>
    <w:rsid w:val="375D66BB"/>
    <w:rsid w:val="376B702A"/>
    <w:rsid w:val="37C26C87"/>
    <w:rsid w:val="37E1553E"/>
    <w:rsid w:val="381474C6"/>
    <w:rsid w:val="38183E1B"/>
    <w:rsid w:val="38295077"/>
    <w:rsid w:val="382F0057"/>
    <w:rsid w:val="384D08D4"/>
    <w:rsid w:val="38613F89"/>
    <w:rsid w:val="3895243A"/>
    <w:rsid w:val="38B00000"/>
    <w:rsid w:val="38BB18EB"/>
    <w:rsid w:val="38D37AC3"/>
    <w:rsid w:val="38E30E42"/>
    <w:rsid w:val="38F66DC7"/>
    <w:rsid w:val="392C04C3"/>
    <w:rsid w:val="39377035"/>
    <w:rsid w:val="39904B26"/>
    <w:rsid w:val="39AB195F"/>
    <w:rsid w:val="39D35282"/>
    <w:rsid w:val="3A1439A9"/>
    <w:rsid w:val="3A357A7E"/>
    <w:rsid w:val="3A5E4C24"/>
    <w:rsid w:val="3A6B10EF"/>
    <w:rsid w:val="3A8F494D"/>
    <w:rsid w:val="3AAA7E69"/>
    <w:rsid w:val="3AD06868"/>
    <w:rsid w:val="3AEB650A"/>
    <w:rsid w:val="3AF5356F"/>
    <w:rsid w:val="3AF61300"/>
    <w:rsid w:val="3B3460C0"/>
    <w:rsid w:val="3B691AD2"/>
    <w:rsid w:val="3B6A75F8"/>
    <w:rsid w:val="3B755158"/>
    <w:rsid w:val="3B7A3CDF"/>
    <w:rsid w:val="3B837F8F"/>
    <w:rsid w:val="3B842468"/>
    <w:rsid w:val="3B862684"/>
    <w:rsid w:val="3B885799"/>
    <w:rsid w:val="3BA90120"/>
    <w:rsid w:val="3BD56240"/>
    <w:rsid w:val="3BE23632"/>
    <w:rsid w:val="3BEB0739"/>
    <w:rsid w:val="3BF5780A"/>
    <w:rsid w:val="3BFF2436"/>
    <w:rsid w:val="3C045336"/>
    <w:rsid w:val="3C241E9D"/>
    <w:rsid w:val="3C485465"/>
    <w:rsid w:val="3C4E5B21"/>
    <w:rsid w:val="3C540EF7"/>
    <w:rsid w:val="3C5462DE"/>
    <w:rsid w:val="3C7060DA"/>
    <w:rsid w:val="3C917BA0"/>
    <w:rsid w:val="3CBA010B"/>
    <w:rsid w:val="3CC11038"/>
    <w:rsid w:val="3CE32F55"/>
    <w:rsid w:val="3D001FC2"/>
    <w:rsid w:val="3D255ECD"/>
    <w:rsid w:val="3D695EAF"/>
    <w:rsid w:val="3D7824A0"/>
    <w:rsid w:val="3D8F7BCA"/>
    <w:rsid w:val="3D932E36"/>
    <w:rsid w:val="3DAD20DD"/>
    <w:rsid w:val="3DB72FC9"/>
    <w:rsid w:val="3DB8289D"/>
    <w:rsid w:val="3DC54FBA"/>
    <w:rsid w:val="3DEB0EC4"/>
    <w:rsid w:val="3DF02037"/>
    <w:rsid w:val="3DF17B5D"/>
    <w:rsid w:val="3DF638A0"/>
    <w:rsid w:val="3DFC418E"/>
    <w:rsid w:val="3DFD6502"/>
    <w:rsid w:val="3E0C1200"/>
    <w:rsid w:val="3E167563"/>
    <w:rsid w:val="3E2D5039"/>
    <w:rsid w:val="3E4F69BB"/>
    <w:rsid w:val="3E5C76CC"/>
    <w:rsid w:val="3E647289"/>
    <w:rsid w:val="3E7964D0"/>
    <w:rsid w:val="3E810EE1"/>
    <w:rsid w:val="3E891DA4"/>
    <w:rsid w:val="3E933797"/>
    <w:rsid w:val="3E976956"/>
    <w:rsid w:val="3EA52668"/>
    <w:rsid w:val="3EBD0EE2"/>
    <w:rsid w:val="3EFE4C27"/>
    <w:rsid w:val="3F141D55"/>
    <w:rsid w:val="3F222FE0"/>
    <w:rsid w:val="3F3441A5"/>
    <w:rsid w:val="3F3D5750"/>
    <w:rsid w:val="3F4B6BF0"/>
    <w:rsid w:val="3F682C26"/>
    <w:rsid w:val="3F6D16D7"/>
    <w:rsid w:val="3F747261"/>
    <w:rsid w:val="3F8769CB"/>
    <w:rsid w:val="3F94000D"/>
    <w:rsid w:val="3FA330D9"/>
    <w:rsid w:val="3FAF7CCF"/>
    <w:rsid w:val="3FE32A90"/>
    <w:rsid w:val="3FE43E1D"/>
    <w:rsid w:val="3FE47979"/>
    <w:rsid w:val="3FE8319B"/>
    <w:rsid w:val="4004305D"/>
    <w:rsid w:val="400870B8"/>
    <w:rsid w:val="401D10DD"/>
    <w:rsid w:val="40442B0E"/>
    <w:rsid w:val="40890521"/>
    <w:rsid w:val="40CE2673"/>
    <w:rsid w:val="40EE65D6"/>
    <w:rsid w:val="410F2FC5"/>
    <w:rsid w:val="4134048C"/>
    <w:rsid w:val="4158794C"/>
    <w:rsid w:val="416F7716"/>
    <w:rsid w:val="419B49AF"/>
    <w:rsid w:val="41A73354"/>
    <w:rsid w:val="41C23CEA"/>
    <w:rsid w:val="41C31810"/>
    <w:rsid w:val="41C757A4"/>
    <w:rsid w:val="41CE376B"/>
    <w:rsid w:val="41D41C6F"/>
    <w:rsid w:val="41DD1214"/>
    <w:rsid w:val="42162288"/>
    <w:rsid w:val="42277FF1"/>
    <w:rsid w:val="422C3859"/>
    <w:rsid w:val="424C7A58"/>
    <w:rsid w:val="428B1AA5"/>
    <w:rsid w:val="429D02B3"/>
    <w:rsid w:val="429F1251"/>
    <w:rsid w:val="42F36125"/>
    <w:rsid w:val="42F62490"/>
    <w:rsid w:val="43000978"/>
    <w:rsid w:val="43004B7A"/>
    <w:rsid w:val="43094BE2"/>
    <w:rsid w:val="430F539D"/>
    <w:rsid w:val="43212C92"/>
    <w:rsid w:val="43374264"/>
    <w:rsid w:val="43501FEC"/>
    <w:rsid w:val="43574906"/>
    <w:rsid w:val="435E5C94"/>
    <w:rsid w:val="435E718F"/>
    <w:rsid w:val="43972F54"/>
    <w:rsid w:val="439F6C52"/>
    <w:rsid w:val="43D16466"/>
    <w:rsid w:val="43F108B7"/>
    <w:rsid w:val="441445A5"/>
    <w:rsid w:val="443A0129"/>
    <w:rsid w:val="448C6831"/>
    <w:rsid w:val="449F47B6"/>
    <w:rsid w:val="44A0729C"/>
    <w:rsid w:val="44B24732"/>
    <w:rsid w:val="44CD4E80"/>
    <w:rsid w:val="44E81CBA"/>
    <w:rsid w:val="450308A1"/>
    <w:rsid w:val="45131232"/>
    <w:rsid w:val="452F12F5"/>
    <w:rsid w:val="453B44DF"/>
    <w:rsid w:val="45401AF6"/>
    <w:rsid w:val="457804D5"/>
    <w:rsid w:val="45DA5C68"/>
    <w:rsid w:val="45EC3A2B"/>
    <w:rsid w:val="45EC7588"/>
    <w:rsid w:val="45F20916"/>
    <w:rsid w:val="45FD1795"/>
    <w:rsid w:val="460839C1"/>
    <w:rsid w:val="463236F2"/>
    <w:rsid w:val="463D7DE3"/>
    <w:rsid w:val="4694464B"/>
    <w:rsid w:val="46954ED9"/>
    <w:rsid w:val="46A61E2C"/>
    <w:rsid w:val="46F22218"/>
    <w:rsid w:val="46F72688"/>
    <w:rsid w:val="46FB5788"/>
    <w:rsid w:val="47412EAE"/>
    <w:rsid w:val="474358CD"/>
    <w:rsid w:val="47487D3C"/>
    <w:rsid w:val="474A6C5C"/>
    <w:rsid w:val="475A2C17"/>
    <w:rsid w:val="47A02FEE"/>
    <w:rsid w:val="47A83982"/>
    <w:rsid w:val="47C66AE7"/>
    <w:rsid w:val="47D26C51"/>
    <w:rsid w:val="47DE55F6"/>
    <w:rsid w:val="47E04ECA"/>
    <w:rsid w:val="47E524E0"/>
    <w:rsid w:val="47EB3E1C"/>
    <w:rsid w:val="481E3AAF"/>
    <w:rsid w:val="483D056E"/>
    <w:rsid w:val="483D1893"/>
    <w:rsid w:val="485422E0"/>
    <w:rsid w:val="48547666"/>
    <w:rsid w:val="486C49B0"/>
    <w:rsid w:val="486F10A5"/>
    <w:rsid w:val="487565D5"/>
    <w:rsid w:val="48C26CC5"/>
    <w:rsid w:val="48C42A3E"/>
    <w:rsid w:val="48D16F09"/>
    <w:rsid w:val="48E82D4D"/>
    <w:rsid w:val="48FD385A"/>
    <w:rsid w:val="4921579A"/>
    <w:rsid w:val="493354CD"/>
    <w:rsid w:val="49341FF9"/>
    <w:rsid w:val="493556E9"/>
    <w:rsid w:val="493B1243"/>
    <w:rsid w:val="49725FF6"/>
    <w:rsid w:val="49A32653"/>
    <w:rsid w:val="49A5461D"/>
    <w:rsid w:val="49D71785"/>
    <w:rsid w:val="49F04DE4"/>
    <w:rsid w:val="4A0B01F8"/>
    <w:rsid w:val="4A175E73"/>
    <w:rsid w:val="4A1C545E"/>
    <w:rsid w:val="4A216F8B"/>
    <w:rsid w:val="4A560560"/>
    <w:rsid w:val="4A954A5F"/>
    <w:rsid w:val="4ADF52C2"/>
    <w:rsid w:val="4B1355B6"/>
    <w:rsid w:val="4B275B29"/>
    <w:rsid w:val="4B2E23F0"/>
    <w:rsid w:val="4B7676A2"/>
    <w:rsid w:val="4B7E2B72"/>
    <w:rsid w:val="4B8244EA"/>
    <w:rsid w:val="4B897627"/>
    <w:rsid w:val="4BA1327D"/>
    <w:rsid w:val="4BDE5BC4"/>
    <w:rsid w:val="4C225B2C"/>
    <w:rsid w:val="4C464A47"/>
    <w:rsid w:val="4C567E51"/>
    <w:rsid w:val="4C667968"/>
    <w:rsid w:val="4C8C4B93"/>
    <w:rsid w:val="4CA010CC"/>
    <w:rsid w:val="4CEC6287"/>
    <w:rsid w:val="4D241CFD"/>
    <w:rsid w:val="4D5325E2"/>
    <w:rsid w:val="4D891B60"/>
    <w:rsid w:val="4DA33696"/>
    <w:rsid w:val="4DC5444C"/>
    <w:rsid w:val="4DF0398D"/>
    <w:rsid w:val="4DF60C80"/>
    <w:rsid w:val="4DFE3442"/>
    <w:rsid w:val="4E125FF9"/>
    <w:rsid w:val="4E185B3D"/>
    <w:rsid w:val="4E775E5C"/>
    <w:rsid w:val="4E9D50CF"/>
    <w:rsid w:val="4EA053B3"/>
    <w:rsid w:val="4EAB2916"/>
    <w:rsid w:val="4EC05A55"/>
    <w:rsid w:val="4ED908C5"/>
    <w:rsid w:val="4F053A58"/>
    <w:rsid w:val="4F1D4C56"/>
    <w:rsid w:val="4F2F6737"/>
    <w:rsid w:val="4F471CD3"/>
    <w:rsid w:val="4F590025"/>
    <w:rsid w:val="4F960564"/>
    <w:rsid w:val="4F9D5D96"/>
    <w:rsid w:val="4FFF2A2C"/>
    <w:rsid w:val="500951DA"/>
    <w:rsid w:val="50200DCA"/>
    <w:rsid w:val="503264DF"/>
    <w:rsid w:val="506D5769"/>
    <w:rsid w:val="50924895"/>
    <w:rsid w:val="512236AA"/>
    <w:rsid w:val="512E185C"/>
    <w:rsid w:val="51375377"/>
    <w:rsid w:val="51475FBA"/>
    <w:rsid w:val="51552C9C"/>
    <w:rsid w:val="51AC22C1"/>
    <w:rsid w:val="52025B23"/>
    <w:rsid w:val="520B6FE7"/>
    <w:rsid w:val="5224663F"/>
    <w:rsid w:val="52687391"/>
    <w:rsid w:val="52792ECE"/>
    <w:rsid w:val="527E5B61"/>
    <w:rsid w:val="528A2602"/>
    <w:rsid w:val="52976ACD"/>
    <w:rsid w:val="52EB11E0"/>
    <w:rsid w:val="53086608"/>
    <w:rsid w:val="53536310"/>
    <w:rsid w:val="536912CC"/>
    <w:rsid w:val="536C09D1"/>
    <w:rsid w:val="536F5815"/>
    <w:rsid w:val="53963CFA"/>
    <w:rsid w:val="540C0A08"/>
    <w:rsid w:val="54382383"/>
    <w:rsid w:val="543B5442"/>
    <w:rsid w:val="544D1B39"/>
    <w:rsid w:val="544F3B03"/>
    <w:rsid w:val="54A93FE9"/>
    <w:rsid w:val="54DC69F7"/>
    <w:rsid w:val="54E12D87"/>
    <w:rsid w:val="54EB4C35"/>
    <w:rsid w:val="55055F70"/>
    <w:rsid w:val="55124B31"/>
    <w:rsid w:val="555B2034"/>
    <w:rsid w:val="556829A3"/>
    <w:rsid w:val="557A3281"/>
    <w:rsid w:val="55CE0A58"/>
    <w:rsid w:val="55CE6156"/>
    <w:rsid w:val="55D50038"/>
    <w:rsid w:val="561603B2"/>
    <w:rsid w:val="561641AD"/>
    <w:rsid w:val="56464A92"/>
    <w:rsid w:val="564B20A8"/>
    <w:rsid w:val="56B0015D"/>
    <w:rsid w:val="56B57E6A"/>
    <w:rsid w:val="56C360E3"/>
    <w:rsid w:val="56C85EF8"/>
    <w:rsid w:val="56CD6F61"/>
    <w:rsid w:val="570341F8"/>
    <w:rsid w:val="570861EB"/>
    <w:rsid w:val="571D6A2B"/>
    <w:rsid w:val="57201A20"/>
    <w:rsid w:val="57346FE0"/>
    <w:rsid w:val="575B27BF"/>
    <w:rsid w:val="578C4726"/>
    <w:rsid w:val="57AE1241"/>
    <w:rsid w:val="57B273E9"/>
    <w:rsid w:val="57B67C8D"/>
    <w:rsid w:val="57D40540"/>
    <w:rsid w:val="57EF4CB5"/>
    <w:rsid w:val="58346B6C"/>
    <w:rsid w:val="58372C70"/>
    <w:rsid w:val="583E1656"/>
    <w:rsid w:val="589D1393"/>
    <w:rsid w:val="58B55EFF"/>
    <w:rsid w:val="58C3061C"/>
    <w:rsid w:val="58E70221"/>
    <w:rsid w:val="58F22CAF"/>
    <w:rsid w:val="591B7FEB"/>
    <w:rsid w:val="59314975"/>
    <w:rsid w:val="59550740"/>
    <w:rsid w:val="59C10AB4"/>
    <w:rsid w:val="59D56296"/>
    <w:rsid w:val="59D95C1D"/>
    <w:rsid w:val="59DE3233"/>
    <w:rsid w:val="59DE62A0"/>
    <w:rsid w:val="59EA1BD8"/>
    <w:rsid w:val="5A026F22"/>
    <w:rsid w:val="5AA955EF"/>
    <w:rsid w:val="5AE568F8"/>
    <w:rsid w:val="5AE605F2"/>
    <w:rsid w:val="5AF54CD9"/>
    <w:rsid w:val="5AFD593B"/>
    <w:rsid w:val="5B225A37"/>
    <w:rsid w:val="5B4F0440"/>
    <w:rsid w:val="5B8A42EF"/>
    <w:rsid w:val="5BA76E58"/>
    <w:rsid w:val="5BBC1352"/>
    <w:rsid w:val="5BFB631F"/>
    <w:rsid w:val="5C003935"/>
    <w:rsid w:val="5C0351D3"/>
    <w:rsid w:val="5C11169E"/>
    <w:rsid w:val="5C3E4412"/>
    <w:rsid w:val="5C3F3891"/>
    <w:rsid w:val="5C484871"/>
    <w:rsid w:val="5C81323B"/>
    <w:rsid w:val="5C875E04"/>
    <w:rsid w:val="5C8D658A"/>
    <w:rsid w:val="5C967DF5"/>
    <w:rsid w:val="5CA83399"/>
    <w:rsid w:val="5CAF3A11"/>
    <w:rsid w:val="5CBF734C"/>
    <w:rsid w:val="5CFF1E3E"/>
    <w:rsid w:val="5D6F2B20"/>
    <w:rsid w:val="5D7A3273"/>
    <w:rsid w:val="5D9C0A90"/>
    <w:rsid w:val="5DA4235E"/>
    <w:rsid w:val="5DAA334D"/>
    <w:rsid w:val="5DDF5B1F"/>
    <w:rsid w:val="5DE352BC"/>
    <w:rsid w:val="5DFC53C5"/>
    <w:rsid w:val="5E196EBA"/>
    <w:rsid w:val="5E253BAB"/>
    <w:rsid w:val="5E4D4235"/>
    <w:rsid w:val="5E504395"/>
    <w:rsid w:val="5E6F283B"/>
    <w:rsid w:val="5ED21F55"/>
    <w:rsid w:val="5ED22BFF"/>
    <w:rsid w:val="5EDA6D5D"/>
    <w:rsid w:val="5EE035AA"/>
    <w:rsid w:val="5EE412EC"/>
    <w:rsid w:val="5EF57055"/>
    <w:rsid w:val="5F0D76A3"/>
    <w:rsid w:val="5F117C07"/>
    <w:rsid w:val="5F230066"/>
    <w:rsid w:val="5F2931A3"/>
    <w:rsid w:val="5F334021"/>
    <w:rsid w:val="5F3538F6"/>
    <w:rsid w:val="5F381638"/>
    <w:rsid w:val="5F385194"/>
    <w:rsid w:val="5F3F6522"/>
    <w:rsid w:val="5F4639E0"/>
    <w:rsid w:val="5F686E8E"/>
    <w:rsid w:val="5F73441E"/>
    <w:rsid w:val="5F8D1984"/>
    <w:rsid w:val="5FAB0CC9"/>
    <w:rsid w:val="5FAD7930"/>
    <w:rsid w:val="5FC829BC"/>
    <w:rsid w:val="5FCF3D4A"/>
    <w:rsid w:val="5FEA2B00"/>
    <w:rsid w:val="602D6CC3"/>
    <w:rsid w:val="607641C6"/>
    <w:rsid w:val="60883EF9"/>
    <w:rsid w:val="608A3882"/>
    <w:rsid w:val="608B2C81"/>
    <w:rsid w:val="608F34D9"/>
    <w:rsid w:val="60AF3879"/>
    <w:rsid w:val="60C56EFB"/>
    <w:rsid w:val="60EF149E"/>
    <w:rsid w:val="61693230"/>
    <w:rsid w:val="61972B6A"/>
    <w:rsid w:val="61B84E22"/>
    <w:rsid w:val="61FD5295"/>
    <w:rsid w:val="628D3A49"/>
    <w:rsid w:val="62CF5E0F"/>
    <w:rsid w:val="62E83E16"/>
    <w:rsid w:val="62E95123"/>
    <w:rsid w:val="630261E5"/>
    <w:rsid w:val="63067FD3"/>
    <w:rsid w:val="631F28F3"/>
    <w:rsid w:val="633839B4"/>
    <w:rsid w:val="636E387A"/>
    <w:rsid w:val="636E5E0F"/>
    <w:rsid w:val="637349EC"/>
    <w:rsid w:val="639C3F43"/>
    <w:rsid w:val="63A66B70"/>
    <w:rsid w:val="63DF2082"/>
    <w:rsid w:val="63ED479F"/>
    <w:rsid w:val="63F10999"/>
    <w:rsid w:val="641F4B74"/>
    <w:rsid w:val="645206D0"/>
    <w:rsid w:val="645E6CBF"/>
    <w:rsid w:val="65002A2C"/>
    <w:rsid w:val="6502427A"/>
    <w:rsid w:val="6509385A"/>
    <w:rsid w:val="653D1756"/>
    <w:rsid w:val="653E102A"/>
    <w:rsid w:val="654B78CA"/>
    <w:rsid w:val="656C55D4"/>
    <w:rsid w:val="65AD4482"/>
    <w:rsid w:val="65B25CA0"/>
    <w:rsid w:val="65C07C91"/>
    <w:rsid w:val="65D8322D"/>
    <w:rsid w:val="65DC4ACB"/>
    <w:rsid w:val="66326DE1"/>
    <w:rsid w:val="66504D19"/>
    <w:rsid w:val="665243A2"/>
    <w:rsid w:val="66552ACF"/>
    <w:rsid w:val="665B6338"/>
    <w:rsid w:val="665E1984"/>
    <w:rsid w:val="66660838"/>
    <w:rsid w:val="667411A7"/>
    <w:rsid w:val="66742F55"/>
    <w:rsid w:val="668C58AE"/>
    <w:rsid w:val="66A7157D"/>
    <w:rsid w:val="66B5531C"/>
    <w:rsid w:val="66BC37E2"/>
    <w:rsid w:val="66DB2FD4"/>
    <w:rsid w:val="66F44096"/>
    <w:rsid w:val="670B7AEA"/>
    <w:rsid w:val="671E1113"/>
    <w:rsid w:val="672A3F5C"/>
    <w:rsid w:val="6756421A"/>
    <w:rsid w:val="67630CEF"/>
    <w:rsid w:val="67780EDA"/>
    <w:rsid w:val="679C7611"/>
    <w:rsid w:val="67A4786A"/>
    <w:rsid w:val="67A81366"/>
    <w:rsid w:val="67D46CDE"/>
    <w:rsid w:val="67FA392E"/>
    <w:rsid w:val="6819475B"/>
    <w:rsid w:val="681A3DE2"/>
    <w:rsid w:val="683F7593"/>
    <w:rsid w:val="688A7DAC"/>
    <w:rsid w:val="68A5389A"/>
    <w:rsid w:val="68AF1D6D"/>
    <w:rsid w:val="68B161D3"/>
    <w:rsid w:val="68CF43EA"/>
    <w:rsid w:val="68D93544"/>
    <w:rsid w:val="68E1070E"/>
    <w:rsid w:val="690B56C7"/>
    <w:rsid w:val="690C3CE7"/>
    <w:rsid w:val="69416EAD"/>
    <w:rsid w:val="694C3FC0"/>
    <w:rsid w:val="69765D89"/>
    <w:rsid w:val="698C6808"/>
    <w:rsid w:val="699163F6"/>
    <w:rsid w:val="69D47128"/>
    <w:rsid w:val="69F25583"/>
    <w:rsid w:val="69F66377"/>
    <w:rsid w:val="6A2627B9"/>
    <w:rsid w:val="6A462E5B"/>
    <w:rsid w:val="6A49294B"/>
    <w:rsid w:val="6A503CD9"/>
    <w:rsid w:val="6A692CB7"/>
    <w:rsid w:val="6A696B49"/>
    <w:rsid w:val="6A8952C2"/>
    <w:rsid w:val="6AC65D4A"/>
    <w:rsid w:val="6AD46A66"/>
    <w:rsid w:val="6AED37F2"/>
    <w:rsid w:val="6B621F16"/>
    <w:rsid w:val="6B7D161D"/>
    <w:rsid w:val="6B9023FF"/>
    <w:rsid w:val="6B9F5BAD"/>
    <w:rsid w:val="6BA442DD"/>
    <w:rsid w:val="6BA46BE1"/>
    <w:rsid w:val="6BC04E8F"/>
    <w:rsid w:val="6BC404DB"/>
    <w:rsid w:val="6BCA6224"/>
    <w:rsid w:val="6BD41C61"/>
    <w:rsid w:val="6BE91CF0"/>
    <w:rsid w:val="6BF32B6E"/>
    <w:rsid w:val="6C0A614D"/>
    <w:rsid w:val="6C1D4188"/>
    <w:rsid w:val="6C8C114B"/>
    <w:rsid w:val="6CA672D2"/>
    <w:rsid w:val="6CF21078"/>
    <w:rsid w:val="6CF9407C"/>
    <w:rsid w:val="6D002DFC"/>
    <w:rsid w:val="6D194017"/>
    <w:rsid w:val="6D837F22"/>
    <w:rsid w:val="6DD10C8D"/>
    <w:rsid w:val="6DEF55B7"/>
    <w:rsid w:val="6DFA6436"/>
    <w:rsid w:val="6E22773B"/>
    <w:rsid w:val="6E5D0773"/>
    <w:rsid w:val="6E602011"/>
    <w:rsid w:val="6E761835"/>
    <w:rsid w:val="6E79211E"/>
    <w:rsid w:val="6E8126B3"/>
    <w:rsid w:val="6E82467D"/>
    <w:rsid w:val="6E8439ED"/>
    <w:rsid w:val="6EA6211A"/>
    <w:rsid w:val="6EC23191"/>
    <w:rsid w:val="6F3C65DA"/>
    <w:rsid w:val="6F5837CB"/>
    <w:rsid w:val="6F6D5423"/>
    <w:rsid w:val="6F7C0E3D"/>
    <w:rsid w:val="6F886353"/>
    <w:rsid w:val="6F887838"/>
    <w:rsid w:val="6F8E41A4"/>
    <w:rsid w:val="6FA32AFD"/>
    <w:rsid w:val="6FDD600F"/>
    <w:rsid w:val="6FEC0000"/>
    <w:rsid w:val="6FEE70E9"/>
    <w:rsid w:val="703235D5"/>
    <w:rsid w:val="70380103"/>
    <w:rsid w:val="70705949"/>
    <w:rsid w:val="70744007"/>
    <w:rsid w:val="70BF6642"/>
    <w:rsid w:val="70FF075C"/>
    <w:rsid w:val="710650F2"/>
    <w:rsid w:val="71066EA0"/>
    <w:rsid w:val="71431EA2"/>
    <w:rsid w:val="71525070"/>
    <w:rsid w:val="715C2F64"/>
    <w:rsid w:val="71804EA4"/>
    <w:rsid w:val="722F68CA"/>
    <w:rsid w:val="724D08F0"/>
    <w:rsid w:val="72534367"/>
    <w:rsid w:val="72A5093A"/>
    <w:rsid w:val="72BF2E76"/>
    <w:rsid w:val="73497518"/>
    <w:rsid w:val="734E4B2E"/>
    <w:rsid w:val="73634A7D"/>
    <w:rsid w:val="73682094"/>
    <w:rsid w:val="73740A39"/>
    <w:rsid w:val="737C169B"/>
    <w:rsid w:val="739C3AEB"/>
    <w:rsid w:val="73C343E4"/>
    <w:rsid w:val="73E56BC8"/>
    <w:rsid w:val="73E831D5"/>
    <w:rsid w:val="73F25E01"/>
    <w:rsid w:val="73F506D6"/>
    <w:rsid w:val="740B2A1F"/>
    <w:rsid w:val="74117C8D"/>
    <w:rsid w:val="74220923"/>
    <w:rsid w:val="74806F69"/>
    <w:rsid w:val="74852401"/>
    <w:rsid w:val="74B471B3"/>
    <w:rsid w:val="74E03EAC"/>
    <w:rsid w:val="75022074"/>
    <w:rsid w:val="75221B04"/>
    <w:rsid w:val="75717E89"/>
    <w:rsid w:val="757A6A57"/>
    <w:rsid w:val="758331B5"/>
    <w:rsid w:val="75F419BD"/>
    <w:rsid w:val="762A27DA"/>
    <w:rsid w:val="763E0E8A"/>
    <w:rsid w:val="76430936"/>
    <w:rsid w:val="76524935"/>
    <w:rsid w:val="76740D50"/>
    <w:rsid w:val="76816FC9"/>
    <w:rsid w:val="76832D41"/>
    <w:rsid w:val="76A50965"/>
    <w:rsid w:val="76F679B7"/>
    <w:rsid w:val="77356731"/>
    <w:rsid w:val="773D1603"/>
    <w:rsid w:val="77400C32"/>
    <w:rsid w:val="774A6156"/>
    <w:rsid w:val="77D71596"/>
    <w:rsid w:val="77EB35FA"/>
    <w:rsid w:val="780D320A"/>
    <w:rsid w:val="78434E7D"/>
    <w:rsid w:val="78C4148F"/>
    <w:rsid w:val="7924080B"/>
    <w:rsid w:val="792D540E"/>
    <w:rsid w:val="794F07DE"/>
    <w:rsid w:val="797F5A41"/>
    <w:rsid w:val="798F3644"/>
    <w:rsid w:val="79C142AC"/>
    <w:rsid w:val="79D10450"/>
    <w:rsid w:val="7A245426"/>
    <w:rsid w:val="7A286917"/>
    <w:rsid w:val="7A290118"/>
    <w:rsid w:val="7A5C2227"/>
    <w:rsid w:val="7A601D17"/>
    <w:rsid w:val="7A97688D"/>
    <w:rsid w:val="7AF256B6"/>
    <w:rsid w:val="7AF449C4"/>
    <w:rsid w:val="7B051225"/>
    <w:rsid w:val="7B0846E3"/>
    <w:rsid w:val="7B4C229B"/>
    <w:rsid w:val="7B4C5DF7"/>
    <w:rsid w:val="7B7F7F7B"/>
    <w:rsid w:val="7B914268"/>
    <w:rsid w:val="7B965AB3"/>
    <w:rsid w:val="7BC2255D"/>
    <w:rsid w:val="7BEF7850"/>
    <w:rsid w:val="7C280612"/>
    <w:rsid w:val="7C444D20"/>
    <w:rsid w:val="7C5C650E"/>
    <w:rsid w:val="7C7C0DEA"/>
    <w:rsid w:val="7CB00608"/>
    <w:rsid w:val="7CD442F6"/>
    <w:rsid w:val="7CF14EA8"/>
    <w:rsid w:val="7CF718EF"/>
    <w:rsid w:val="7D07647A"/>
    <w:rsid w:val="7D3935CB"/>
    <w:rsid w:val="7D5316BF"/>
    <w:rsid w:val="7D72364A"/>
    <w:rsid w:val="7D7D6095"/>
    <w:rsid w:val="7D9A4AFF"/>
    <w:rsid w:val="7DAC5273"/>
    <w:rsid w:val="7DAD28DC"/>
    <w:rsid w:val="7DB14637"/>
    <w:rsid w:val="7DBF464A"/>
    <w:rsid w:val="7DC15CCA"/>
    <w:rsid w:val="7DF84014"/>
    <w:rsid w:val="7E0105AB"/>
    <w:rsid w:val="7E074257"/>
    <w:rsid w:val="7E384472"/>
    <w:rsid w:val="7E795155"/>
    <w:rsid w:val="7E885398"/>
    <w:rsid w:val="7E9F4667"/>
    <w:rsid w:val="7EAD3051"/>
    <w:rsid w:val="7EB20667"/>
    <w:rsid w:val="7EF94618"/>
    <w:rsid w:val="7F211349"/>
    <w:rsid w:val="7F2B19DA"/>
    <w:rsid w:val="7F2C21C7"/>
    <w:rsid w:val="7F405C73"/>
    <w:rsid w:val="7F460DAF"/>
    <w:rsid w:val="7F4736ED"/>
    <w:rsid w:val="7F4946CE"/>
    <w:rsid w:val="7F5D6825"/>
    <w:rsid w:val="7F631B2A"/>
    <w:rsid w:val="7F65392B"/>
    <w:rsid w:val="7F743B6E"/>
    <w:rsid w:val="7F98785D"/>
    <w:rsid w:val="7FC9626B"/>
    <w:rsid w:val="7FD0349B"/>
    <w:rsid w:val="7FE505C8"/>
    <w:rsid w:val="7FEC7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rPr>
      <w:sz w:val="24"/>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qFormat/>
    <w:uiPriority w:val="0"/>
    <w:rPr>
      <w:color w:val="0000FF"/>
      <w:u w:val="single"/>
    </w:rPr>
  </w:style>
  <w:style w:type="paragraph" w:customStyle="1" w:styleId="10">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1">
    <w:name w:val="Table Normal"/>
    <w:autoRedefine/>
    <w:semiHidden/>
    <w:unhideWhenUsed/>
    <w:qFormat/>
    <w:uiPriority w:val="0"/>
    <w:tblPr>
      <w:tblCellMar>
        <w:top w:w="0" w:type="dxa"/>
        <w:left w:w="0" w:type="dxa"/>
        <w:bottom w:w="0" w:type="dxa"/>
        <w:right w:w="0" w:type="dxa"/>
      </w:tblCellMar>
    </w:tblPr>
  </w:style>
  <w:style w:type="paragraph" w:customStyle="1" w:styleId="12">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3507</Words>
  <Characters>4281</Characters>
  <Lines>0</Lines>
  <Paragraphs>0</Paragraphs>
  <TotalTime>0</TotalTime>
  <ScaleCrop>false</ScaleCrop>
  <LinksUpToDate>false</LinksUpToDate>
  <CharactersWithSpaces>4340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2024-04-03T01:14:16Z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D23AE21371AD4B2A936F48373C5D0EDD_13</vt:lpwstr>
  </property>
</Properties>
</file>