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10</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美</w:t>
      </w:r>
      <w:r>
        <w:rPr>
          <w:rFonts w:hint="eastAsia" w:ascii="微软雅黑" w:hAnsi="微软雅黑" w:eastAsia="微软雅黑" w:cs="微软雅黑"/>
          <w:spacing w:val="4"/>
          <w:sz w:val="24"/>
          <w:szCs w:val="24"/>
          <w:lang w:eastAsia="zh-CN"/>
        </w:rPr>
        <w:t>国三大股指收盘涨跌不一，道指跌0.02%报38883.67点，标普500指数涨0.14%报5209.91点，纳指涨0.32%报16306.64点，录得连续第三日上涨。美元指数跌0.03%报104.11，非美货币多数上涨，离岸人民币对美元涨41个基点报7.2381。国际油价全线下跌，美油5月合约跌1.26%，报85.34美元/桶。布油6月合约跌0.94%，报89.53美元/桶。国际贵金属期货普遍收涨，COMEX黄金期货涨0.89%报2372美元/盎司，再创历史新高；COMEX白银期货涨1.7%报28.28美元/盎司。LME期铜涨0.16%报9427美元/吨。ICE 5月原糖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跌0.5%</w:t>
      </w:r>
      <w:r>
        <w:rPr>
          <w:rFonts w:hint="eastAsia" w:ascii="微软雅黑" w:hAnsi="微软雅黑" w:eastAsia="微软雅黑" w:cs="微软雅黑"/>
          <w:spacing w:val="4"/>
          <w:sz w:val="24"/>
          <w:szCs w:val="24"/>
          <w:lang w:eastAsia="zh-CN"/>
        </w:rPr>
        <w:t>，结算价报2</w:t>
      </w:r>
      <w:r>
        <w:rPr>
          <w:rFonts w:hint="eastAsia" w:ascii="微软雅黑" w:hAnsi="微软雅黑" w:eastAsia="微软雅黑" w:cs="微软雅黑"/>
          <w:spacing w:val="4"/>
          <w:sz w:val="24"/>
          <w:szCs w:val="24"/>
          <w:lang w:val="en-US" w:eastAsia="zh-CN"/>
        </w:rPr>
        <w:t>1.49</w:t>
      </w:r>
      <w:r>
        <w:rPr>
          <w:rFonts w:hint="eastAsia" w:ascii="微软雅黑" w:hAnsi="微软雅黑" w:eastAsia="微软雅黑" w:cs="微软雅黑"/>
          <w:spacing w:val="4"/>
          <w:sz w:val="24"/>
          <w:szCs w:val="24"/>
          <w:lang w:eastAsia="zh-CN"/>
        </w:rPr>
        <w:t>美分/磅。ICE 5月期棉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收跌0.62%</w:t>
      </w:r>
      <w:r>
        <w:rPr>
          <w:rFonts w:hint="eastAsia" w:ascii="微软雅黑" w:hAnsi="微软雅黑" w:eastAsia="微软雅黑" w:cs="微软雅黑"/>
          <w:spacing w:val="4"/>
          <w:sz w:val="24"/>
          <w:szCs w:val="24"/>
          <w:lang w:eastAsia="zh-CN"/>
        </w:rPr>
        <w:t>，结算价报8</w:t>
      </w:r>
      <w:r>
        <w:rPr>
          <w:rFonts w:hint="eastAsia" w:ascii="微软雅黑" w:hAnsi="微软雅黑" w:eastAsia="微软雅黑" w:cs="微软雅黑"/>
          <w:spacing w:val="4"/>
          <w:sz w:val="24"/>
          <w:szCs w:val="24"/>
          <w:lang w:val="en-US" w:eastAsia="zh-CN"/>
        </w:rPr>
        <w:t>6.11美</w:t>
      </w:r>
      <w:r>
        <w:rPr>
          <w:rFonts w:hint="eastAsia" w:ascii="微软雅黑" w:hAnsi="微软雅黑" w:eastAsia="微软雅黑" w:cs="微软雅黑"/>
          <w:spacing w:val="4"/>
          <w:sz w:val="24"/>
          <w:szCs w:val="24"/>
          <w:lang w:eastAsia="zh-CN"/>
        </w:rPr>
        <w:t>分/磅。</w:t>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hint="eastAsia"/>
          <w:lang w:eastAsia="zh-CN"/>
        </w:rPr>
      </w:pPr>
      <w:r>
        <w:drawing>
          <wp:inline distT="0" distB="0" distL="114300" distR="114300">
            <wp:extent cx="6024880" cy="3893820"/>
            <wp:effectExtent l="0" t="0" r="1397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6024880" cy="389382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博斯蒂克：可能需要进一步推迟降息；如果通胀回落的速度恢复，可能会提前进行降息。美联储的经济增长预测有可能上调；重申其预计2024年通胀回落步伐缓慢；CPI数据若符合预期，将是受欢迎的进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欧洲央行调查显示，欧元区银行去年第四季度降低抵押贷款审批标准，但在借贷成本高企和经济停滞不前的情况下，信贷需求持续下降。欧洲央行为抑制通胀已将利率推升至历史新高，这使得欧元区国家银行信贷增长陷入停滞。</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【日本央行行长植田和男预计，日本央行债券持有量将在短期内保持稳定，将来会减少债券购买，但现在无法确定具体时间和幅度。植田和男表示，暂无计划在近期出售所持ETF，利率调整速度取决于经济情况。】</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【由于强劲的劳资谈判结果，日本央行考虑提高通胀预测，上修2024财年CPI预期。】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【韩国总统尹锡悦表示，韩国计划到2027年在人工智能和人工智能芯片领域投资9.4万亿韩元。】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【美国3月NFIB小型企业信心指数为88.5，创2012年2月以来新低，预期89.9，前值89.4。美国上周红皮书商业零售销售同比上升5.4%，前值5.2%。】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【法国2月贸易帐逆差52.44亿欧元，创2021年1月来最小逆差，前值73.88亿欧元。】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【美国和欧盟召开了贸易与技术委员会会议（TTC），并发表联合声明，双方将在传统半导体（主要是成熟制程芯片）领域加强合作，并将采取“下一步措施”。】</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【全球铜价持续走高，国际铜价报价9390美元/吨，已经逼近1万美元关口。】</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vAlign w:val="top"/>
          </w:tcPr>
          <w:p>
            <w:pPr>
              <w:pStyle w:val="10"/>
              <w:spacing w:before="243" w:line="172" w:lineRule="auto"/>
              <w:ind w:left="94"/>
              <w:jc w:val="left"/>
              <w:rPr>
                <w:rFonts w:hint="default"/>
                <w:sz w:val="19"/>
                <w:szCs w:val="19"/>
                <w:lang w:val="en-US"/>
              </w:rPr>
            </w:pPr>
            <w:r>
              <w:rPr>
                <w:rFonts w:hint="eastAsia"/>
                <w:b/>
                <w:bCs/>
                <w:spacing w:val="6"/>
                <w:sz w:val="19"/>
                <w:szCs w:val="19"/>
                <w:lang w:val="en-US" w:eastAsia="zh-CN"/>
              </w:rPr>
              <w:t>07：50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 xml:space="preserve"> 日本3月企业商品价格指数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0"/>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6"/>
                <w:sz w:val="19"/>
                <w:szCs w:val="19"/>
                <w:lang w:val="en-US" w:eastAsia="zh-CN"/>
              </w:rPr>
              <w:t>10：00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新西兰联储公布利率决议和货币政策评估报告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vAlign w:val="top"/>
          </w:tcPr>
          <w:p>
            <w:pPr>
              <w:pStyle w:val="10"/>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14：00</w:t>
            </w:r>
          </w:p>
        </w:tc>
        <w:tc>
          <w:tcPr>
            <w:tcW w:w="6679" w:type="dxa"/>
            <w:vAlign w:val="top"/>
          </w:tcPr>
          <w:p>
            <w:pPr>
              <w:pStyle w:val="10"/>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日本央行行长植田和男发表讲话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16：00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意大利2月零售销售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20：00</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巴西3月广义消费者物价指数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1"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0"/>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0"/>
              <w:spacing w:before="224" w:line="180" w:lineRule="auto"/>
              <w:jc w:val="center"/>
              <w:rPr>
                <w:rFonts w:hint="default" w:eastAsia="微软雅黑"/>
                <w:sz w:val="19"/>
                <w:szCs w:val="19"/>
                <w:lang w:val="en-US" w:eastAsia="zh-CN"/>
              </w:rPr>
            </w:pPr>
            <w:r>
              <w:rPr>
                <w:rFonts w:hint="eastAsia" w:eastAsia="微软雅黑"/>
                <w:sz w:val="19"/>
                <w:szCs w:val="19"/>
                <w:lang w:val="en-US" w:eastAsia="zh-CN"/>
              </w:rPr>
              <w:t>美国3月</w:t>
            </w:r>
            <w:r>
              <w:rPr>
                <w:rFonts w:hint="eastAsia"/>
                <w:sz w:val="19"/>
                <w:szCs w:val="19"/>
                <w:lang w:val="en-US" w:eastAsia="zh-CN"/>
              </w:rPr>
              <w:t>季调CPI、核心CPI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1"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vAlign w:val="top"/>
          </w:tcPr>
          <w:p>
            <w:pPr>
              <w:pStyle w:val="10"/>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21：45</w:t>
            </w:r>
          </w:p>
        </w:tc>
        <w:tc>
          <w:tcPr>
            <w:tcW w:w="6679" w:type="dxa"/>
            <w:vAlign w:val="top"/>
          </w:tcPr>
          <w:p>
            <w:pPr>
              <w:pStyle w:val="10"/>
              <w:spacing w:before="225" w:line="179" w:lineRule="auto"/>
              <w:jc w:val="center"/>
              <w:rPr>
                <w:rFonts w:hint="default" w:eastAsia="微软雅黑"/>
                <w:sz w:val="19"/>
                <w:szCs w:val="19"/>
                <w:lang w:val="en-US" w:eastAsia="zh-CN"/>
              </w:rPr>
            </w:pPr>
            <w:r>
              <w:rPr>
                <w:rFonts w:hint="default" w:eastAsia="微软雅黑"/>
                <w:sz w:val="19"/>
                <w:szCs w:val="19"/>
                <w:lang w:val="en-US" w:eastAsia="zh-CN"/>
              </w:rPr>
              <w:t>加拿大央行公布利率决议和货币政策报告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0"/>
              <w:spacing w:before="246" w:line="172" w:lineRule="auto"/>
              <w:ind w:left="94" w:leftChars="0"/>
              <w:jc w:val="left"/>
              <w:rPr>
                <w:rFonts w:hint="eastAsia"/>
                <w:b/>
                <w:bCs/>
                <w:spacing w:val="5"/>
                <w:sz w:val="19"/>
                <w:szCs w:val="19"/>
                <w:lang w:val="en-US" w:eastAsia="zh-CN"/>
              </w:rPr>
            </w:pPr>
            <w:r>
              <w:rPr>
                <w:rFonts w:hint="eastAsia"/>
                <w:b/>
                <w:bCs/>
                <w:spacing w:val="5"/>
                <w:sz w:val="19"/>
                <w:szCs w:val="19"/>
                <w:lang w:val="en-US" w:eastAsia="zh-CN"/>
              </w:rPr>
              <w:t>22：00</w:t>
            </w:r>
          </w:p>
        </w:tc>
        <w:tc>
          <w:tcPr>
            <w:tcW w:w="6679" w:type="dxa"/>
            <w:shd w:val="clear" w:color="auto" w:fill="D3EAFF"/>
            <w:vAlign w:val="top"/>
          </w:tcPr>
          <w:p>
            <w:pPr>
              <w:pStyle w:val="10"/>
              <w:spacing w:before="225" w:line="179" w:lineRule="auto"/>
              <w:jc w:val="center"/>
              <w:rPr>
                <w:rFonts w:hint="eastAsia"/>
                <w:sz w:val="19"/>
                <w:szCs w:val="19"/>
                <w:lang w:val="en-US" w:eastAsia="zh-CN"/>
              </w:rPr>
            </w:pPr>
            <w:r>
              <w:rPr>
                <w:rFonts w:hint="eastAsia"/>
                <w:sz w:val="19"/>
                <w:szCs w:val="19"/>
                <w:lang w:val="en-US" w:eastAsia="zh-CN"/>
              </w:rPr>
              <w:t>美国2月商业批发销售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vAlign w:val="top"/>
          </w:tcPr>
          <w:p>
            <w:pPr>
              <w:pStyle w:val="10"/>
              <w:spacing w:before="246"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22：00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美国美国2月批发库存环比终值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leftChars="0"/>
              <w:rPr>
                <w:b/>
                <w:bCs/>
                <w:spacing w:val="3"/>
                <w:sz w:val="19"/>
                <w:szCs w:val="19"/>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143" w:type="dxa"/>
            <w:shd w:val="clear" w:color="auto" w:fill="D3EAFF"/>
            <w:vAlign w:val="top"/>
          </w:tcPr>
          <w:p>
            <w:pPr>
              <w:pStyle w:val="10"/>
              <w:spacing w:before="246" w:line="172" w:lineRule="auto"/>
              <w:ind w:left="94" w:leftChars="0"/>
              <w:jc w:val="left"/>
              <w:rPr>
                <w:rFonts w:hint="eastAsia"/>
                <w:b/>
                <w:bCs/>
                <w:spacing w:val="5"/>
                <w:sz w:val="19"/>
                <w:szCs w:val="19"/>
                <w:lang w:val="en-US" w:eastAsia="zh-CN"/>
              </w:rPr>
            </w:pPr>
            <w:r>
              <w:rPr>
                <w:rFonts w:hint="eastAsia"/>
                <w:b/>
                <w:bCs/>
                <w:spacing w:val="5"/>
                <w:sz w:val="19"/>
                <w:szCs w:val="19"/>
                <w:lang w:val="en-US" w:eastAsia="zh-CN"/>
              </w:rPr>
              <w:t>22：30</w:t>
            </w:r>
          </w:p>
        </w:tc>
        <w:tc>
          <w:tcPr>
            <w:tcW w:w="6679" w:type="dxa"/>
            <w:shd w:val="clear" w:color="auto" w:fill="D3EAFF"/>
            <w:vAlign w:val="top"/>
          </w:tcPr>
          <w:p>
            <w:pPr>
              <w:pStyle w:val="10"/>
              <w:spacing w:before="225" w:line="179" w:lineRule="auto"/>
              <w:jc w:val="center"/>
              <w:rPr>
                <w:rFonts w:hint="eastAsia"/>
                <w:sz w:val="19"/>
                <w:szCs w:val="19"/>
                <w:lang w:val="en-US" w:eastAsia="zh-CN"/>
              </w:rPr>
            </w:pPr>
            <w:r>
              <w:rPr>
                <w:rFonts w:hint="eastAsia"/>
                <w:sz w:val="19"/>
                <w:szCs w:val="19"/>
                <w:lang w:val="en-US" w:eastAsia="zh-CN"/>
              </w:rPr>
              <w:t>美国4月5日EIA库存周报、成品油出口量</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跌0.03%报104.11，非美货币多数上涨，欧元兑美元跌0.02%报1.0857，英镑兑美元涨0.17%报1.2676，澳元兑美元涨0.36%报0.6628，美元兑日元跌0.04%报151.79。昨日美联储博斯蒂克表示可能需要进一步推迟降息，如果通胀回落的速度恢复，则可能会提前进行降息。他认为美联储的经济增长预测有可能上调，并重申其预计2024年通胀回落步伐缓慢，整体发言基调相对偏鹰。非美国家方面，欧洲央行数据则显示欧元区整体信贷水平在高利率环境下持续降低，未来降息前经济增速或将持续受到抑制。往后看，短期内能源价格上涨叠加就业数据走强，市场或有所提升3月通胀预期，利率预期走高或持续给予美元指数一定支撑。</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103" w:line="256" w:lineRule="auto"/>
        <w:ind w:right="743"/>
        <w:jc w:val="both"/>
      </w:pPr>
      <w:r>
        <w:drawing>
          <wp:inline distT="0" distB="0" distL="114300" distR="114300">
            <wp:extent cx="6200140" cy="2061210"/>
            <wp:effectExtent l="0" t="0" r="10160" b="1524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6200140" cy="206121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rPr>
        <w:t>截至4月10日，标普500指数收涨0.14%至5209.91点；迷你标普500主力合约收涨0.16%至5265.5点。美股周二收盘涨跌不一。市场等待周三将公布的3月CPI通胀数据与美联储3月货币政策会议纪要。摩根大通等大型银行将在本周公布财报，由此拉开美股一季报的帷幕。策略上，逢低试多。详细支撑阻力位请见图</w:t>
      </w:r>
      <w:r>
        <w:rPr>
          <w:rFonts w:hint="eastAsia" w:ascii="微软雅黑" w:hAnsi="微软雅黑" w:eastAsia="微软雅黑" w:cs="微软雅黑"/>
          <w:spacing w:val="12"/>
          <w:sz w:val="24"/>
          <w:szCs w:val="24"/>
          <w:lang w:val="en-US" w:eastAsia="zh-CN"/>
        </w:rPr>
        <w:t>3。</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drawing>
          <wp:inline distT="0" distB="0" distL="0" distR="0">
            <wp:extent cx="6083935" cy="1682115"/>
            <wp:effectExtent l="0" t="0" r="1206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6083935" cy="168211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9日，富时中国A50指数收跌0.38%至12090.67点；新交所富时A50期指主力合约收跌0.40%至12092点。当前市场处于国内经济预期和全球流动性预期的修正期，市场正从增量资金推动转变为存量资金博弈。美债收益率上行，美元指数波动放大，美联储降息预期降温，时点上分歧较大，考虑到当前通胀水平与经济韧性，预计三季度后降息概率更高。整体来看，反弹行情的延续取决于宏微观基本面数据验证情况。策略上，短线观望为主。详细支撑阻力位请见图表4。</w:t>
      </w:r>
    </w:p>
    <w:p>
      <w:pPr>
        <w:spacing w:before="103" w:line="256" w:lineRule="auto"/>
        <w:ind w:right="743"/>
        <w:jc w:val="both"/>
        <w:rPr>
          <w:rFonts w:ascii="新宋体" w:hAnsi="新宋体" w:eastAsia="新宋体"/>
        </w:rPr>
      </w:pPr>
      <w:r>
        <w:drawing>
          <wp:inline distT="0" distB="0" distL="0" distR="0">
            <wp:extent cx="6179185" cy="1679575"/>
            <wp:effectExtent l="0" t="0" r="1206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6179185" cy="167957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bookmarkStart w:id="2" w:name="_GoBack"/>
      <w:bookmarkEnd w:id="2"/>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方面，亚特兰大联储主席博斯蒂克重申了他对今年降息一次的预期，但他补充说，如果经济形势发生变化，他对推迟降息或进一步降息持开放态度。国内方面，近期中国经济运行释放积极信号。从消费看，市场活跃度有所上升；从账面看，部分上市公司一季度盈利改善。随着设备更新改造和消费品以旧换新等政策加快落地显效，经济回升向好基础有望进一步巩固。基本面上，铜精矿国内报价小幅上涨状态，原材料供应趋紧暂无明显改善迹象，需求方面整体预期向好，下游铜材加工产能利用率已逐步回归常态。在供给偏紧，需求向好的背景下，铜价仍有保持偏强运行的可能。操作建议，轻仓震荡偏多交易，注意控制节奏及交易风险。</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r>
        <w:drawing>
          <wp:inline distT="0" distB="0" distL="0" distR="0">
            <wp:extent cx="6111875" cy="196215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6111875" cy="196215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pP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昨日美联储博斯蒂克表示可能需要进一步推迟降息，如果通胀回落的速度恢复，则可能会提前进行降息。他认为美联储的经济增长预测有可能上调，并重申其预计2024年通胀回落步伐缓慢，整体发言基调相对偏鹰。</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外盘持仓方面：截至4月9日，SPDR Gold Trust黄金ETF持仓量为828.71吨，较上一交易日增加0.86吨。</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能源价格上涨叠加就业数据走强，市场或有所提升3月通胀预期，利率预期走高或持续给予美元指数以及美债收益率一定支撑。在美元维持强劲且利率水平尚高的情况下，贵金属短期内在避险情绪退潮的情况下或有所回调。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020435" cy="1739265"/>
            <wp:effectExtent l="0" t="0" r="18415"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tretch>
                      <a:fillRect/>
                    </a:stretch>
                  </pic:blipFill>
                  <pic:spPr>
                    <a:xfrm>
                      <a:off x="0" y="0"/>
                      <a:ext cx="6020435" cy="1739265"/>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left="528" w:right="743" w:hanging="528" w:hangingChars="200"/>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周一，国际原油期货出现七个交易日以来的首次下跌，因为以色列与哈马斯在开罗举行的新一轮停火讨论，引发人们对达成停火协议的希望。周二，美国中央情报局局长伯恩斯也出席了在开罗举行的停火谈判，但迄今未能取得突破。哈马斯表示，以色列的停火提议没有满足他们提出的任何一项要求，但将进一步研究该提议，并向调解人做出回应。</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城市指数公司的分析师菲奥娜辛科塔表示，如果（巴以）冲突不结束，其他国家被卷入战争的风险就会增加，特别是欧佩克第三大产油国伊朗。</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伊朗革命卫队海军司令表示，如果有必要，伊朗可能会关闭霍尔木兹海峡。每天通过该海峡的原油大约相当于全球原油消费总量的五分之一。</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在以色列禁止土耳其向加沙空投援助物资后，周二土耳其宣布将限制向以色列出口包括航空燃料在内的各种产品，直至加沙实现停火。</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墨西哥国家石油公司Pemex表示，5月份将减少33万桶/日的原油出口，以便向国内炼油厂供应更多原油，其中墨西哥向美国、欧洲以及亚洲供应的原油数量将会分别减少三分之一，加剧了市场紧张的担忧。墨西哥国家石油公司已将4月份出口量削减了43.6万桶/日。</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BOK金融公司高级副总裁丹尼斯基斯勒表示，由于供应紧张的基本面总体没有改变，这将会限制油价下跌。他列举了欧佩克联盟减产、俄罗斯减少燃料出口以及地缘政治不稳定等因素。</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美国能源信息署(EIA)预计2024年美国原油产量将增加28万桶/日，达到1321万桶/日，而此前的预测为增加26万桶/日。EIA预计2024年布伦特原油平均价格为每桶88.55美元，高于此前预测的每桶87美元。</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周二，维托尔集团（Vitol）在英国金融时报大宗商品全球峰会上表示，今年油价可能在每桶80至100美元之间波动，该公司预计需求增长水平与去年类似。贡渥集团全球研究主管也表示需求预期有所增长，这与托克集团周一的言论相呼应。</w:t>
      </w:r>
      <w:r>
        <w:rPr>
          <w:rFonts w:hint="eastAsia" w:ascii="微软雅黑" w:hAnsi="微软雅黑" w:eastAsia="微软雅黑" w:cs="微软雅黑"/>
          <w:spacing w:val="12"/>
          <w:sz w:val="24"/>
          <w:szCs w:val="24"/>
          <w:lang w:val="en-US" w:eastAsia="zh-CN"/>
        </w:rPr>
        <w:br w:type="textWrapping"/>
      </w:r>
      <w:r>
        <w:rPr>
          <w:rFonts w:hint="eastAsia" w:ascii="微软雅黑" w:hAnsi="微软雅黑" w:eastAsia="微软雅黑" w:cs="微软雅黑"/>
          <w:spacing w:val="12"/>
          <w:sz w:val="24"/>
          <w:szCs w:val="24"/>
          <w:lang w:val="en-US" w:eastAsia="zh-CN"/>
        </w:rPr>
        <w:t>　　摩根士丹利分析师表示，最近几周油价上涨在一定程度上受到了基本面消息利好的支持。该银行在报告中上调了今年的油价预测。</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纽约商品期货交易所（NYMEX）的西德克萨斯中质原油（WTI）5月合约较上一交易日下跌1.20美元或1.4%，报85.23美元/桶，短期呈现强势震荡走势。支撑位：83.3；压力位：87。</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0" distR="0">
            <wp:extent cx="5864225" cy="2179320"/>
            <wp:effectExtent l="0" t="0" r="317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864225" cy="217932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4"/>
      <w:bookmarkStart w:id="1" w:name="OLE_LINK3"/>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rPr>
        <w:t>洲际交易所(ICE)棉花期货周二收跌。交投最活跃的ICE 5月期棉收跌0.54美分或0.62%，收盘价报86.11分/磅。操作上，建议5月ICE期棉短期暂且观望为宜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drawing>
          <wp:inline distT="0" distB="0" distL="114300" distR="114300">
            <wp:extent cx="6253480" cy="2086610"/>
            <wp:effectExtent l="0" t="0" r="13970" b="8890"/>
            <wp:docPr id="18" name="图片 18" descr="07691801310d26eaccc7d7b2c2ef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7691801310d26eaccc7d7b2c2efd37"/>
                    <pic:cNvPicPr>
                      <a:picLocks noChangeAspect="1"/>
                    </pic:cNvPicPr>
                  </pic:nvPicPr>
                  <pic:blipFill>
                    <a:blip r:embed="rId19"/>
                    <a:stretch>
                      <a:fillRect/>
                    </a:stretch>
                  </pic:blipFill>
                  <pic:spPr>
                    <a:xfrm>
                      <a:off x="0" y="0"/>
                      <a:ext cx="6253480" cy="208661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洲际期货交易所（ICE）原糖期货周二收低，受供应增加的预期拖累。交投最活跃的ICE 5月原糖期货合约收盘收低0.10美分或0.5%，结算价每磅21.49美分。操作上，建议5月 ICE 原糖短期暂且观望。</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期货主力合约日走势图及支撑位、阻力位</w:t>
      </w:r>
    </w:p>
    <w:p>
      <w:pPr>
        <w:spacing w:before="103" w:line="256" w:lineRule="auto"/>
        <w:ind w:right="743"/>
        <w:jc w:val="both"/>
        <w:rPr>
          <w:rFonts w:hint="eastAsia" w:ascii="微软雅黑" w:hAnsi="微软雅黑" w:eastAsia="微软雅黑" w:cs="微软雅黑"/>
          <w:spacing w:val="12"/>
          <w:sz w:val="24"/>
          <w:szCs w:val="24"/>
          <w:lang w:val="en-US" w:eastAsia="zh-CN"/>
        </w:rPr>
      </w:pPr>
      <w:r>
        <w:drawing>
          <wp:inline distT="0" distB="0" distL="114300" distR="114300">
            <wp:extent cx="5273040" cy="2385060"/>
            <wp:effectExtent l="0" t="0" r="381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3040" cy="238506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1431C1"/>
    <w:rsid w:val="00181D4B"/>
    <w:rsid w:val="00593490"/>
    <w:rsid w:val="005F4A09"/>
    <w:rsid w:val="008D4A14"/>
    <w:rsid w:val="00920750"/>
    <w:rsid w:val="00A42231"/>
    <w:rsid w:val="00C177F8"/>
    <w:rsid w:val="00CA7EEA"/>
    <w:rsid w:val="00CE6532"/>
    <w:rsid w:val="00D348C5"/>
    <w:rsid w:val="00DC19CB"/>
    <w:rsid w:val="00E16FE2"/>
    <w:rsid w:val="00E442E6"/>
    <w:rsid w:val="011E3D92"/>
    <w:rsid w:val="0140116F"/>
    <w:rsid w:val="01486DF0"/>
    <w:rsid w:val="01761E20"/>
    <w:rsid w:val="018F67B1"/>
    <w:rsid w:val="019734A3"/>
    <w:rsid w:val="019E3125"/>
    <w:rsid w:val="01B6046E"/>
    <w:rsid w:val="01C257A0"/>
    <w:rsid w:val="01FA65AD"/>
    <w:rsid w:val="021052EA"/>
    <w:rsid w:val="02151639"/>
    <w:rsid w:val="021D5BFB"/>
    <w:rsid w:val="02296E92"/>
    <w:rsid w:val="024953BD"/>
    <w:rsid w:val="028D7421"/>
    <w:rsid w:val="02A97FD3"/>
    <w:rsid w:val="02B7624C"/>
    <w:rsid w:val="02BC7D06"/>
    <w:rsid w:val="02CD47AD"/>
    <w:rsid w:val="02DC4B76"/>
    <w:rsid w:val="030659D3"/>
    <w:rsid w:val="033C0E47"/>
    <w:rsid w:val="03661A20"/>
    <w:rsid w:val="03705048"/>
    <w:rsid w:val="038E44A6"/>
    <w:rsid w:val="03AA4003"/>
    <w:rsid w:val="03B31109"/>
    <w:rsid w:val="03C54999"/>
    <w:rsid w:val="03CF5817"/>
    <w:rsid w:val="03D44348"/>
    <w:rsid w:val="03D64DF8"/>
    <w:rsid w:val="03E33071"/>
    <w:rsid w:val="03F31506"/>
    <w:rsid w:val="03FE7EAB"/>
    <w:rsid w:val="0402799B"/>
    <w:rsid w:val="04253689"/>
    <w:rsid w:val="04405814"/>
    <w:rsid w:val="044F0706"/>
    <w:rsid w:val="045A6DD9"/>
    <w:rsid w:val="04620439"/>
    <w:rsid w:val="04695C6C"/>
    <w:rsid w:val="04725735"/>
    <w:rsid w:val="04787C5D"/>
    <w:rsid w:val="0495080F"/>
    <w:rsid w:val="049D5915"/>
    <w:rsid w:val="04CD0E7B"/>
    <w:rsid w:val="04CD5176"/>
    <w:rsid w:val="04E43544"/>
    <w:rsid w:val="04E55250"/>
    <w:rsid w:val="04FB69FF"/>
    <w:rsid w:val="05173E06"/>
    <w:rsid w:val="053D4696"/>
    <w:rsid w:val="054933A7"/>
    <w:rsid w:val="055F4D69"/>
    <w:rsid w:val="056D52E8"/>
    <w:rsid w:val="058F34B0"/>
    <w:rsid w:val="059D2DAA"/>
    <w:rsid w:val="05C869C2"/>
    <w:rsid w:val="06874187"/>
    <w:rsid w:val="06920D0C"/>
    <w:rsid w:val="06AC1E40"/>
    <w:rsid w:val="06D40C03"/>
    <w:rsid w:val="06D860E7"/>
    <w:rsid w:val="06E91363"/>
    <w:rsid w:val="072919FB"/>
    <w:rsid w:val="07375BAD"/>
    <w:rsid w:val="073D6F5B"/>
    <w:rsid w:val="07634D60"/>
    <w:rsid w:val="07652B87"/>
    <w:rsid w:val="077A4193"/>
    <w:rsid w:val="07950B26"/>
    <w:rsid w:val="07D9719C"/>
    <w:rsid w:val="07DD49A7"/>
    <w:rsid w:val="07EB25E1"/>
    <w:rsid w:val="07F5280A"/>
    <w:rsid w:val="07F67816"/>
    <w:rsid w:val="080F6B2A"/>
    <w:rsid w:val="082F186D"/>
    <w:rsid w:val="085B34CE"/>
    <w:rsid w:val="089E2E0C"/>
    <w:rsid w:val="08AF5C17"/>
    <w:rsid w:val="08B5322E"/>
    <w:rsid w:val="08DD2784"/>
    <w:rsid w:val="08E949DF"/>
    <w:rsid w:val="08F817D8"/>
    <w:rsid w:val="090E293E"/>
    <w:rsid w:val="09174F67"/>
    <w:rsid w:val="09252A9B"/>
    <w:rsid w:val="093E76C7"/>
    <w:rsid w:val="09491BC8"/>
    <w:rsid w:val="09840E52"/>
    <w:rsid w:val="098E4672"/>
    <w:rsid w:val="09903C9B"/>
    <w:rsid w:val="099A2423"/>
    <w:rsid w:val="09AC6674"/>
    <w:rsid w:val="09D26E62"/>
    <w:rsid w:val="09DA6CC4"/>
    <w:rsid w:val="09F02DF6"/>
    <w:rsid w:val="09F31EAA"/>
    <w:rsid w:val="0A037FC9"/>
    <w:rsid w:val="0A140428"/>
    <w:rsid w:val="0A1470E4"/>
    <w:rsid w:val="0A2A37A7"/>
    <w:rsid w:val="0A2C17A5"/>
    <w:rsid w:val="0A3E54A5"/>
    <w:rsid w:val="0A434869"/>
    <w:rsid w:val="0A533A62"/>
    <w:rsid w:val="0A544CC8"/>
    <w:rsid w:val="0A7D5FCD"/>
    <w:rsid w:val="0A823CEB"/>
    <w:rsid w:val="0A8F399C"/>
    <w:rsid w:val="0A943317"/>
    <w:rsid w:val="0A9A6B7F"/>
    <w:rsid w:val="0A9B3267"/>
    <w:rsid w:val="0AA82AC5"/>
    <w:rsid w:val="0ABF0394"/>
    <w:rsid w:val="0AC0235E"/>
    <w:rsid w:val="0AC75B18"/>
    <w:rsid w:val="0AFD2C6A"/>
    <w:rsid w:val="0B02681E"/>
    <w:rsid w:val="0B0B2B07"/>
    <w:rsid w:val="0B0C10FF"/>
    <w:rsid w:val="0B116814"/>
    <w:rsid w:val="0B156206"/>
    <w:rsid w:val="0B3F14D4"/>
    <w:rsid w:val="0B3F6A8F"/>
    <w:rsid w:val="0B6149B5"/>
    <w:rsid w:val="0B696551"/>
    <w:rsid w:val="0B775713"/>
    <w:rsid w:val="0B7C44D7"/>
    <w:rsid w:val="0B837613"/>
    <w:rsid w:val="0BA87886"/>
    <w:rsid w:val="0BB06CD5"/>
    <w:rsid w:val="0C023101"/>
    <w:rsid w:val="0C1E10EA"/>
    <w:rsid w:val="0C6311F3"/>
    <w:rsid w:val="0C7358DA"/>
    <w:rsid w:val="0C7426EC"/>
    <w:rsid w:val="0C874AB1"/>
    <w:rsid w:val="0C8A677F"/>
    <w:rsid w:val="0CA53877"/>
    <w:rsid w:val="0CE00A95"/>
    <w:rsid w:val="0CE7389C"/>
    <w:rsid w:val="0D272220"/>
    <w:rsid w:val="0D3A56A0"/>
    <w:rsid w:val="0D6945E7"/>
    <w:rsid w:val="0D6E7E4F"/>
    <w:rsid w:val="0D766D04"/>
    <w:rsid w:val="0D815DD4"/>
    <w:rsid w:val="0D8E04F1"/>
    <w:rsid w:val="0DEB161A"/>
    <w:rsid w:val="0E211365"/>
    <w:rsid w:val="0E304A35"/>
    <w:rsid w:val="0E3A5F83"/>
    <w:rsid w:val="0E4F7C80"/>
    <w:rsid w:val="0E680D42"/>
    <w:rsid w:val="0E6A2D0C"/>
    <w:rsid w:val="0E7D63D0"/>
    <w:rsid w:val="0E8A6F0A"/>
    <w:rsid w:val="0E9D4E90"/>
    <w:rsid w:val="0EC40C69"/>
    <w:rsid w:val="0F0E09E8"/>
    <w:rsid w:val="0F1B4006"/>
    <w:rsid w:val="0F425337"/>
    <w:rsid w:val="0F53554E"/>
    <w:rsid w:val="0F83743D"/>
    <w:rsid w:val="0F8B4EFC"/>
    <w:rsid w:val="0FB51D65"/>
    <w:rsid w:val="0FB7564B"/>
    <w:rsid w:val="0FCF7FFC"/>
    <w:rsid w:val="0FD85A54"/>
    <w:rsid w:val="0FDC5544"/>
    <w:rsid w:val="0FE10DAC"/>
    <w:rsid w:val="0FFA2AB6"/>
    <w:rsid w:val="100D7DF3"/>
    <w:rsid w:val="101E5B5C"/>
    <w:rsid w:val="10240C99"/>
    <w:rsid w:val="103B02B6"/>
    <w:rsid w:val="104135F9"/>
    <w:rsid w:val="105A46BB"/>
    <w:rsid w:val="10613C9B"/>
    <w:rsid w:val="10A51DDA"/>
    <w:rsid w:val="10F1501F"/>
    <w:rsid w:val="11005262"/>
    <w:rsid w:val="1126167A"/>
    <w:rsid w:val="112C1D96"/>
    <w:rsid w:val="112D2A00"/>
    <w:rsid w:val="115B7EC7"/>
    <w:rsid w:val="115D0CDB"/>
    <w:rsid w:val="115F642C"/>
    <w:rsid w:val="118367EC"/>
    <w:rsid w:val="119A2EC2"/>
    <w:rsid w:val="11DF575B"/>
    <w:rsid w:val="12064AFA"/>
    <w:rsid w:val="123A47A4"/>
    <w:rsid w:val="12837EF9"/>
    <w:rsid w:val="129245E0"/>
    <w:rsid w:val="12B72AC8"/>
    <w:rsid w:val="12C53BAB"/>
    <w:rsid w:val="12C56763"/>
    <w:rsid w:val="12D6271E"/>
    <w:rsid w:val="12DD56D0"/>
    <w:rsid w:val="12E453E1"/>
    <w:rsid w:val="130A686C"/>
    <w:rsid w:val="13392CAD"/>
    <w:rsid w:val="13581385"/>
    <w:rsid w:val="1360023A"/>
    <w:rsid w:val="136F66CF"/>
    <w:rsid w:val="137D0DEC"/>
    <w:rsid w:val="13914897"/>
    <w:rsid w:val="13AC16D1"/>
    <w:rsid w:val="13E83022"/>
    <w:rsid w:val="14027543"/>
    <w:rsid w:val="14055F2A"/>
    <w:rsid w:val="14073B5C"/>
    <w:rsid w:val="142D2812"/>
    <w:rsid w:val="144E4536"/>
    <w:rsid w:val="14587163"/>
    <w:rsid w:val="145B4DEA"/>
    <w:rsid w:val="146B1AFA"/>
    <w:rsid w:val="146B50E8"/>
    <w:rsid w:val="14795475"/>
    <w:rsid w:val="148B7538"/>
    <w:rsid w:val="14914C87"/>
    <w:rsid w:val="14AD6D4E"/>
    <w:rsid w:val="14B24AC5"/>
    <w:rsid w:val="14D35F6D"/>
    <w:rsid w:val="14E03753"/>
    <w:rsid w:val="14EF7AC7"/>
    <w:rsid w:val="15227E9D"/>
    <w:rsid w:val="153567EB"/>
    <w:rsid w:val="15357EA3"/>
    <w:rsid w:val="153F7762"/>
    <w:rsid w:val="1546345F"/>
    <w:rsid w:val="15595889"/>
    <w:rsid w:val="157A3DE6"/>
    <w:rsid w:val="15A20FDE"/>
    <w:rsid w:val="15AD4515"/>
    <w:rsid w:val="15BF56EC"/>
    <w:rsid w:val="15C23767"/>
    <w:rsid w:val="15FA0A52"/>
    <w:rsid w:val="160F471D"/>
    <w:rsid w:val="162163A6"/>
    <w:rsid w:val="162F6237"/>
    <w:rsid w:val="163007A4"/>
    <w:rsid w:val="16323E9D"/>
    <w:rsid w:val="16526560"/>
    <w:rsid w:val="16532BAF"/>
    <w:rsid w:val="16573B76"/>
    <w:rsid w:val="16640041"/>
    <w:rsid w:val="167A1613"/>
    <w:rsid w:val="167F4E7B"/>
    <w:rsid w:val="169F376F"/>
    <w:rsid w:val="16A86180"/>
    <w:rsid w:val="16AB5CAD"/>
    <w:rsid w:val="16AD19E8"/>
    <w:rsid w:val="16B17A67"/>
    <w:rsid w:val="16C117E9"/>
    <w:rsid w:val="16C136E5"/>
    <w:rsid w:val="16C3745D"/>
    <w:rsid w:val="16CE195E"/>
    <w:rsid w:val="16E84EEA"/>
    <w:rsid w:val="16ED5F07"/>
    <w:rsid w:val="16FE3FF2"/>
    <w:rsid w:val="17231CAA"/>
    <w:rsid w:val="17343EB7"/>
    <w:rsid w:val="174F2A9F"/>
    <w:rsid w:val="1750680B"/>
    <w:rsid w:val="17602EFE"/>
    <w:rsid w:val="176B1094"/>
    <w:rsid w:val="179E5F3A"/>
    <w:rsid w:val="17A62F40"/>
    <w:rsid w:val="17C36FE9"/>
    <w:rsid w:val="17EF6030"/>
    <w:rsid w:val="181A30AD"/>
    <w:rsid w:val="183124A5"/>
    <w:rsid w:val="1835627A"/>
    <w:rsid w:val="183E57A4"/>
    <w:rsid w:val="188F46B1"/>
    <w:rsid w:val="188F6EFF"/>
    <w:rsid w:val="18AB1F57"/>
    <w:rsid w:val="18BF5A03"/>
    <w:rsid w:val="18DA6CE0"/>
    <w:rsid w:val="19263CD4"/>
    <w:rsid w:val="19393A07"/>
    <w:rsid w:val="193957B5"/>
    <w:rsid w:val="197E141A"/>
    <w:rsid w:val="19891B44"/>
    <w:rsid w:val="19E37FA1"/>
    <w:rsid w:val="19F33BB6"/>
    <w:rsid w:val="1A004525"/>
    <w:rsid w:val="1A1A3838"/>
    <w:rsid w:val="1A2A15A2"/>
    <w:rsid w:val="1A3760C8"/>
    <w:rsid w:val="1A586B42"/>
    <w:rsid w:val="1A6F016E"/>
    <w:rsid w:val="1A7F5449"/>
    <w:rsid w:val="1A926B26"/>
    <w:rsid w:val="1AB33345"/>
    <w:rsid w:val="1ADA4D76"/>
    <w:rsid w:val="1AE300CE"/>
    <w:rsid w:val="1AEE342A"/>
    <w:rsid w:val="1AFE6CB6"/>
    <w:rsid w:val="1B0B3181"/>
    <w:rsid w:val="1B143435"/>
    <w:rsid w:val="1B2E0C1E"/>
    <w:rsid w:val="1B430B6D"/>
    <w:rsid w:val="1B593EEC"/>
    <w:rsid w:val="1B5E1503"/>
    <w:rsid w:val="1B6F441F"/>
    <w:rsid w:val="1B6F54BE"/>
    <w:rsid w:val="1B8A054A"/>
    <w:rsid w:val="1BCC2910"/>
    <w:rsid w:val="1BE952E4"/>
    <w:rsid w:val="1BEC2FB3"/>
    <w:rsid w:val="1C220782"/>
    <w:rsid w:val="1C2A3ADB"/>
    <w:rsid w:val="1C2C7853"/>
    <w:rsid w:val="1C2F2E9F"/>
    <w:rsid w:val="1C3C502D"/>
    <w:rsid w:val="1C56667E"/>
    <w:rsid w:val="1C5C2AF3"/>
    <w:rsid w:val="1C6F246D"/>
    <w:rsid w:val="1C705992"/>
    <w:rsid w:val="1C730FDE"/>
    <w:rsid w:val="1C840E30"/>
    <w:rsid w:val="1C847E13"/>
    <w:rsid w:val="1C876837"/>
    <w:rsid w:val="1C9871D4"/>
    <w:rsid w:val="1C9961A4"/>
    <w:rsid w:val="1C9B0EC5"/>
    <w:rsid w:val="1CA32066"/>
    <w:rsid w:val="1CB42B02"/>
    <w:rsid w:val="1CB6536F"/>
    <w:rsid w:val="1CB6711D"/>
    <w:rsid w:val="1CDB7F58"/>
    <w:rsid w:val="1CE56411"/>
    <w:rsid w:val="1D063C00"/>
    <w:rsid w:val="1D077978"/>
    <w:rsid w:val="1D317F46"/>
    <w:rsid w:val="1D5038FF"/>
    <w:rsid w:val="1D8A2164"/>
    <w:rsid w:val="1D94745E"/>
    <w:rsid w:val="1DA8010B"/>
    <w:rsid w:val="1DB70C3A"/>
    <w:rsid w:val="1DD62C34"/>
    <w:rsid w:val="1DE026A3"/>
    <w:rsid w:val="1E140822"/>
    <w:rsid w:val="1EAB5CA8"/>
    <w:rsid w:val="1EDA46D4"/>
    <w:rsid w:val="1F047D4E"/>
    <w:rsid w:val="1F066139"/>
    <w:rsid w:val="1F2E743E"/>
    <w:rsid w:val="1F43738D"/>
    <w:rsid w:val="1F570A81"/>
    <w:rsid w:val="1F69491A"/>
    <w:rsid w:val="1FA34B99"/>
    <w:rsid w:val="1FAA1158"/>
    <w:rsid w:val="1FBB3CE7"/>
    <w:rsid w:val="1FCF6E73"/>
    <w:rsid w:val="1FD47FE6"/>
    <w:rsid w:val="1FD955FC"/>
    <w:rsid w:val="1FE346CD"/>
    <w:rsid w:val="1FE453E9"/>
    <w:rsid w:val="1FE50445"/>
    <w:rsid w:val="200B4005"/>
    <w:rsid w:val="201C373B"/>
    <w:rsid w:val="202111B2"/>
    <w:rsid w:val="203B1E13"/>
    <w:rsid w:val="2040567B"/>
    <w:rsid w:val="20C067BC"/>
    <w:rsid w:val="20D73FFA"/>
    <w:rsid w:val="20DA5ACF"/>
    <w:rsid w:val="210A2CE1"/>
    <w:rsid w:val="210F504D"/>
    <w:rsid w:val="21194443"/>
    <w:rsid w:val="213571AA"/>
    <w:rsid w:val="213836B0"/>
    <w:rsid w:val="213B4094"/>
    <w:rsid w:val="21690C01"/>
    <w:rsid w:val="21893052"/>
    <w:rsid w:val="21934DFE"/>
    <w:rsid w:val="219E4C0D"/>
    <w:rsid w:val="21E0526C"/>
    <w:rsid w:val="21EE1107"/>
    <w:rsid w:val="22016465"/>
    <w:rsid w:val="22237002"/>
    <w:rsid w:val="224156DA"/>
    <w:rsid w:val="22456F79"/>
    <w:rsid w:val="224C47AB"/>
    <w:rsid w:val="224C6559"/>
    <w:rsid w:val="225243A2"/>
    <w:rsid w:val="22695B2D"/>
    <w:rsid w:val="226D64CF"/>
    <w:rsid w:val="227B0BEC"/>
    <w:rsid w:val="22B81E40"/>
    <w:rsid w:val="22CF093F"/>
    <w:rsid w:val="22D57132"/>
    <w:rsid w:val="22D64BAD"/>
    <w:rsid w:val="22F20137"/>
    <w:rsid w:val="23476D20"/>
    <w:rsid w:val="23503E27"/>
    <w:rsid w:val="23517B9F"/>
    <w:rsid w:val="235F71C6"/>
    <w:rsid w:val="23713D9D"/>
    <w:rsid w:val="237750EB"/>
    <w:rsid w:val="237815D0"/>
    <w:rsid w:val="238179BB"/>
    <w:rsid w:val="23F01166"/>
    <w:rsid w:val="23F24EDE"/>
    <w:rsid w:val="23F82635"/>
    <w:rsid w:val="240B5FA0"/>
    <w:rsid w:val="24613C0B"/>
    <w:rsid w:val="24651B54"/>
    <w:rsid w:val="24711BFF"/>
    <w:rsid w:val="2490190B"/>
    <w:rsid w:val="24904744"/>
    <w:rsid w:val="2497134E"/>
    <w:rsid w:val="24B86FB5"/>
    <w:rsid w:val="24BB79C6"/>
    <w:rsid w:val="24E0742D"/>
    <w:rsid w:val="24F212CA"/>
    <w:rsid w:val="25096983"/>
    <w:rsid w:val="250C0222"/>
    <w:rsid w:val="25205A7B"/>
    <w:rsid w:val="25283888"/>
    <w:rsid w:val="25323DC4"/>
    <w:rsid w:val="25324D05"/>
    <w:rsid w:val="253B28B5"/>
    <w:rsid w:val="25472113"/>
    <w:rsid w:val="254C6870"/>
    <w:rsid w:val="257D4C7B"/>
    <w:rsid w:val="25853B30"/>
    <w:rsid w:val="25873D4C"/>
    <w:rsid w:val="25A3141D"/>
    <w:rsid w:val="25B71060"/>
    <w:rsid w:val="25BF3AFF"/>
    <w:rsid w:val="25D8182D"/>
    <w:rsid w:val="25E42F4C"/>
    <w:rsid w:val="262275D1"/>
    <w:rsid w:val="265754CC"/>
    <w:rsid w:val="26583EBF"/>
    <w:rsid w:val="26591245"/>
    <w:rsid w:val="266A530B"/>
    <w:rsid w:val="268F2EB8"/>
    <w:rsid w:val="268F3365"/>
    <w:rsid w:val="269C3827"/>
    <w:rsid w:val="269E134D"/>
    <w:rsid w:val="26AC3A6A"/>
    <w:rsid w:val="26C708A4"/>
    <w:rsid w:val="26E2748C"/>
    <w:rsid w:val="26EA6341"/>
    <w:rsid w:val="27104DCE"/>
    <w:rsid w:val="27196C26"/>
    <w:rsid w:val="272827F6"/>
    <w:rsid w:val="274912B9"/>
    <w:rsid w:val="27541A0C"/>
    <w:rsid w:val="27547C5E"/>
    <w:rsid w:val="275639D6"/>
    <w:rsid w:val="276C31F9"/>
    <w:rsid w:val="276F4A98"/>
    <w:rsid w:val="279A1B15"/>
    <w:rsid w:val="27B84C56"/>
    <w:rsid w:val="27BA1634"/>
    <w:rsid w:val="27D03788"/>
    <w:rsid w:val="28575C58"/>
    <w:rsid w:val="287265EE"/>
    <w:rsid w:val="28D450EA"/>
    <w:rsid w:val="28D5055F"/>
    <w:rsid w:val="28FC39E6"/>
    <w:rsid w:val="291C5438"/>
    <w:rsid w:val="297457A6"/>
    <w:rsid w:val="29895F83"/>
    <w:rsid w:val="2A157B78"/>
    <w:rsid w:val="2A1831C5"/>
    <w:rsid w:val="2A581813"/>
    <w:rsid w:val="2A64640A"/>
    <w:rsid w:val="2A7D74CC"/>
    <w:rsid w:val="2A930039"/>
    <w:rsid w:val="2AA841F2"/>
    <w:rsid w:val="2AF43C32"/>
    <w:rsid w:val="2B0A5203"/>
    <w:rsid w:val="2B2E2991"/>
    <w:rsid w:val="2BA967CA"/>
    <w:rsid w:val="2BBF5FEE"/>
    <w:rsid w:val="2BCA04EF"/>
    <w:rsid w:val="2BCE6231"/>
    <w:rsid w:val="2BDD0222"/>
    <w:rsid w:val="2BFD08C4"/>
    <w:rsid w:val="2C0E487F"/>
    <w:rsid w:val="2C0F5A5F"/>
    <w:rsid w:val="2C5030EA"/>
    <w:rsid w:val="2C7C5C8D"/>
    <w:rsid w:val="2C934D84"/>
    <w:rsid w:val="2CB216AE"/>
    <w:rsid w:val="2CC413E2"/>
    <w:rsid w:val="2CC47634"/>
    <w:rsid w:val="2CCF6074"/>
    <w:rsid w:val="2CE028C6"/>
    <w:rsid w:val="2CEB2E12"/>
    <w:rsid w:val="2D012F66"/>
    <w:rsid w:val="2D2D342B"/>
    <w:rsid w:val="2D771923"/>
    <w:rsid w:val="2D776454"/>
    <w:rsid w:val="2D7B5F44"/>
    <w:rsid w:val="2D875411"/>
    <w:rsid w:val="2DA709E8"/>
    <w:rsid w:val="2DA84860"/>
    <w:rsid w:val="2DAF3E40"/>
    <w:rsid w:val="2DDD09AD"/>
    <w:rsid w:val="2DE81100"/>
    <w:rsid w:val="2DEC299E"/>
    <w:rsid w:val="2DFB5908"/>
    <w:rsid w:val="2E0065CE"/>
    <w:rsid w:val="2E0C1292"/>
    <w:rsid w:val="2E312AA7"/>
    <w:rsid w:val="2E426A62"/>
    <w:rsid w:val="2E4B1DBB"/>
    <w:rsid w:val="2E556795"/>
    <w:rsid w:val="2E746294"/>
    <w:rsid w:val="2EBF315F"/>
    <w:rsid w:val="2EC90F31"/>
    <w:rsid w:val="2EC93975"/>
    <w:rsid w:val="2ED0406E"/>
    <w:rsid w:val="2EF22236"/>
    <w:rsid w:val="2EF91480"/>
    <w:rsid w:val="2F176A2A"/>
    <w:rsid w:val="2F1F6DA3"/>
    <w:rsid w:val="2F261EE0"/>
    <w:rsid w:val="2F391C13"/>
    <w:rsid w:val="2F3D7961"/>
    <w:rsid w:val="2F45680A"/>
    <w:rsid w:val="2F4D3910"/>
    <w:rsid w:val="2F666780"/>
    <w:rsid w:val="2F7075FF"/>
    <w:rsid w:val="2F8C1E45"/>
    <w:rsid w:val="2FA63021"/>
    <w:rsid w:val="2FAA2B11"/>
    <w:rsid w:val="2FD7142C"/>
    <w:rsid w:val="2FF41FDE"/>
    <w:rsid w:val="2FFB511A"/>
    <w:rsid w:val="300F0BC6"/>
    <w:rsid w:val="30136908"/>
    <w:rsid w:val="30151978"/>
    <w:rsid w:val="30155912"/>
    <w:rsid w:val="30240B15"/>
    <w:rsid w:val="3070283C"/>
    <w:rsid w:val="307F5D4C"/>
    <w:rsid w:val="309A4933"/>
    <w:rsid w:val="30A12166"/>
    <w:rsid w:val="30C9346B"/>
    <w:rsid w:val="30F32296"/>
    <w:rsid w:val="30F84CE1"/>
    <w:rsid w:val="30FD0529"/>
    <w:rsid w:val="30FF50DE"/>
    <w:rsid w:val="31197F4E"/>
    <w:rsid w:val="311D7312"/>
    <w:rsid w:val="313E79B5"/>
    <w:rsid w:val="314D409C"/>
    <w:rsid w:val="3163417D"/>
    <w:rsid w:val="318A49A8"/>
    <w:rsid w:val="31C51E84"/>
    <w:rsid w:val="31D644AB"/>
    <w:rsid w:val="31E242A6"/>
    <w:rsid w:val="322A618B"/>
    <w:rsid w:val="323E5B9E"/>
    <w:rsid w:val="324E00CB"/>
    <w:rsid w:val="32554509"/>
    <w:rsid w:val="326951F3"/>
    <w:rsid w:val="32A24300"/>
    <w:rsid w:val="32A61AD2"/>
    <w:rsid w:val="32AE46C6"/>
    <w:rsid w:val="32CC0FF0"/>
    <w:rsid w:val="32D3678F"/>
    <w:rsid w:val="32E40B1B"/>
    <w:rsid w:val="32E92FB9"/>
    <w:rsid w:val="33150101"/>
    <w:rsid w:val="331704BD"/>
    <w:rsid w:val="334E2397"/>
    <w:rsid w:val="33526CEF"/>
    <w:rsid w:val="338418CB"/>
    <w:rsid w:val="33AD30C5"/>
    <w:rsid w:val="33BC1065"/>
    <w:rsid w:val="33C64D45"/>
    <w:rsid w:val="33EC0EFE"/>
    <w:rsid w:val="33F64119"/>
    <w:rsid w:val="33F8661C"/>
    <w:rsid w:val="341F3A1B"/>
    <w:rsid w:val="342015F4"/>
    <w:rsid w:val="3454129D"/>
    <w:rsid w:val="345968B4"/>
    <w:rsid w:val="348025C6"/>
    <w:rsid w:val="3492069F"/>
    <w:rsid w:val="34945433"/>
    <w:rsid w:val="349F4C0E"/>
    <w:rsid w:val="34A2025B"/>
    <w:rsid w:val="34E940DB"/>
    <w:rsid w:val="350D601C"/>
    <w:rsid w:val="35204032"/>
    <w:rsid w:val="35497CBA"/>
    <w:rsid w:val="354B627A"/>
    <w:rsid w:val="356814A4"/>
    <w:rsid w:val="356909C2"/>
    <w:rsid w:val="357C0AAC"/>
    <w:rsid w:val="35885E60"/>
    <w:rsid w:val="358E3D56"/>
    <w:rsid w:val="35E93C67"/>
    <w:rsid w:val="360311CD"/>
    <w:rsid w:val="36435665"/>
    <w:rsid w:val="3647730B"/>
    <w:rsid w:val="367C49A1"/>
    <w:rsid w:val="36C26992"/>
    <w:rsid w:val="36D52B69"/>
    <w:rsid w:val="36D55C7A"/>
    <w:rsid w:val="36E6103A"/>
    <w:rsid w:val="36EF34FF"/>
    <w:rsid w:val="3710594F"/>
    <w:rsid w:val="37364480"/>
    <w:rsid w:val="37545800"/>
    <w:rsid w:val="375D66BB"/>
    <w:rsid w:val="376B702A"/>
    <w:rsid w:val="379A346B"/>
    <w:rsid w:val="37C26C87"/>
    <w:rsid w:val="37E1553E"/>
    <w:rsid w:val="38007D90"/>
    <w:rsid w:val="380F3E59"/>
    <w:rsid w:val="381474C6"/>
    <w:rsid w:val="38183E1B"/>
    <w:rsid w:val="38295077"/>
    <w:rsid w:val="382B6D50"/>
    <w:rsid w:val="382F0057"/>
    <w:rsid w:val="384D08D4"/>
    <w:rsid w:val="38613F89"/>
    <w:rsid w:val="388D1222"/>
    <w:rsid w:val="3895243A"/>
    <w:rsid w:val="38A10829"/>
    <w:rsid w:val="38B00000"/>
    <w:rsid w:val="38BB18EB"/>
    <w:rsid w:val="38D37AC3"/>
    <w:rsid w:val="38E30E42"/>
    <w:rsid w:val="38F66DC7"/>
    <w:rsid w:val="39287D16"/>
    <w:rsid w:val="392C04C3"/>
    <w:rsid w:val="39377035"/>
    <w:rsid w:val="39904B26"/>
    <w:rsid w:val="39AB195F"/>
    <w:rsid w:val="39D35282"/>
    <w:rsid w:val="3A1439A9"/>
    <w:rsid w:val="3A357A7E"/>
    <w:rsid w:val="3A5E4C24"/>
    <w:rsid w:val="3A6B10EF"/>
    <w:rsid w:val="3A8F494D"/>
    <w:rsid w:val="3AAA7E69"/>
    <w:rsid w:val="3ACA050B"/>
    <w:rsid w:val="3AD06868"/>
    <w:rsid w:val="3AEB650A"/>
    <w:rsid w:val="3AF5356F"/>
    <w:rsid w:val="3AF61300"/>
    <w:rsid w:val="3B3460C0"/>
    <w:rsid w:val="3B6076B2"/>
    <w:rsid w:val="3B691AD2"/>
    <w:rsid w:val="3B6A75F8"/>
    <w:rsid w:val="3B755158"/>
    <w:rsid w:val="3B7A3CDF"/>
    <w:rsid w:val="3B837F8F"/>
    <w:rsid w:val="3B842468"/>
    <w:rsid w:val="3B862684"/>
    <w:rsid w:val="3B885799"/>
    <w:rsid w:val="3BA90120"/>
    <w:rsid w:val="3BD56240"/>
    <w:rsid w:val="3BE23632"/>
    <w:rsid w:val="3BEB0739"/>
    <w:rsid w:val="3BF5780A"/>
    <w:rsid w:val="3BFF2436"/>
    <w:rsid w:val="3C045336"/>
    <w:rsid w:val="3C241E9D"/>
    <w:rsid w:val="3C485465"/>
    <w:rsid w:val="3C4E5B21"/>
    <w:rsid w:val="3C540EF7"/>
    <w:rsid w:val="3C5462DE"/>
    <w:rsid w:val="3C7060DA"/>
    <w:rsid w:val="3C917BA0"/>
    <w:rsid w:val="3CBA010B"/>
    <w:rsid w:val="3CC11038"/>
    <w:rsid w:val="3CE31550"/>
    <w:rsid w:val="3CE32F55"/>
    <w:rsid w:val="3D001FC2"/>
    <w:rsid w:val="3D255ECD"/>
    <w:rsid w:val="3D3B2FFA"/>
    <w:rsid w:val="3D566086"/>
    <w:rsid w:val="3D695EAF"/>
    <w:rsid w:val="3D7824A0"/>
    <w:rsid w:val="3D785FFC"/>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C1200"/>
    <w:rsid w:val="3E167563"/>
    <w:rsid w:val="3E2D5039"/>
    <w:rsid w:val="3E4F69BB"/>
    <w:rsid w:val="3E5C76CC"/>
    <w:rsid w:val="3E647289"/>
    <w:rsid w:val="3E7964D0"/>
    <w:rsid w:val="3E810EE1"/>
    <w:rsid w:val="3E891DA4"/>
    <w:rsid w:val="3E933797"/>
    <w:rsid w:val="3E976956"/>
    <w:rsid w:val="3EA52668"/>
    <w:rsid w:val="3EBD0EE2"/>
    <w:rsid w:val="3EFE4C27"/>
    <w:rsid w:val="3F141D55"/>
    <w:rsid w:val="3F1735F3"/>
    <w:rsid w:val="3F222FE0"/>
    <w:rsid w:val="3F3441A5"/>
    <w:rsid w:val="3F3D5750"/>
    <w:rsid w:val="3F4B6BF0"/>
    <w:rsid w:val="3F682C26"/>
    <w:rsid w:val="3F6D16D7"/>
    <w:rsid w:val="3F747261"/>
    <w:rsid w:val="3F8769CB"/>
    <w:rsid w:val="3F94000D"/>
    <w:rsid w:val="3FA330D9"/>
    <w:rsid w:val="3FAF7CCF"/>
    <w:rsid w:val="3FE32A90"/>
    <w:rsid w:val="3FE43E1D"/>
    <w:rsid w:val="3FE47979"/>
    <w:rsid w:val="3FE8319B"/>
    <w:rsid w:val="4004305D"/>
    <w:rsid w:val="400870B8"/>
    <w:rsid w:val="401D10DD"/>
    <w:rsid w:val="40442B0E"/>
    <w:rsid w:val="406D3E12"/>
    <w:rsid w:val="40890521"/>
    <w:rsid w:val="40C003E6"/>
    <w:rsid w:val="40CE2673"/>
    <w:rsid w:val="40DA6FCE"/>
    <w:rsid w:val="40EE65D6"/>
    <w:rsid w:val="40EF750C"/>
    <w:rsid w:val="40FB7670"/>
    <w:rsid w:val="410F2FC5"/>
    <w:rsid w:val="4134048C"/>
    <w:rsid w:val="4158794C"/>
    <w:rsid w:val="416F7716"/>
    <w:rsid w:val="419B49AF"/>
    <w:rsid w:val="41A73354"/>
    <w:rsid w:val="41C23CEA"/>
    <w:rsid w:val="41C31810"/>
    <w:rsid w:val="41C757A4"/>
    <w:rsid w:val="41CE376B"/>
    <w:rsid w:val="41D41C6F"/>
    <w:rsid w:val="41DD1214"/>
    <w:rsid w:val="41F84884"/>
    <w:rsid w:val="42162288"/>
    <w:rsid w:val="42277FF1"/>
    <w:rsid w:val="422C3859"/>
    <w:rsid w:val="424C7A58"/>
    <w:rsid w:val="42755843"/>
    <w:rsid w:val="428B1AA5"/>
    <w:rsid w:val="429D02B3"/>
    <w:rsid w:val="429F1251"/>
    <w:rsid w:val="42F223AD"/>
    <w:rsid w:val="42F36125"/>
    <w:rsid w:val="42F62490"/>
    <w:rsid w:val="43000978"/>
    <w:rsid w:val="43004B7A"/>
    <w:rsid w:val="43094BE2"/>
    <w:rsid w:val="430F539D"/>
    <w:rsid w:val="43212C92"/>
    <w:rsid w:val="432D7889"/>
    <w:rsid w:val="43374264"/>
    <w:rsid w:val="433E2020"/>
    <w:rsid w:val="43501FEC"/>
    <w:rsid w:val="43574906"/>
    <w:rsid w:val="435E5C94"/>
    <w:rsid w:val="435E718F"/>
    <w:rsid w:val="43972F54"/>
    <w:rsid w:val="439F6C52"/>
    <w:rsid w:val="43BC14A4"/>
    <w:rsid w:val="43CC0E50"/>
    <w:rsid w:val="43D16466"/>
    <w:rsid w:val="43F108B7"/>
    <w:rsid w:val="441445A5"/>
    <w:rsid w:val="4416031D"/>
    <w:rsid w:val="443A0129"/>
    <w:rsid w:val="448C6831"/>
    <w:rsid w:val="449F47B6"/>
    <w:rsid w:val="44A0729C"/>
    <w:rsid w:val="44B24732"/>
    <w:rsid w:val="44BE2E8F"/>
    <w:rsid w:val="44CD4E80"/>
    <w:rsid w:val="44E81CBA"/>
    <w:rsid w:val="450308A1"/>
    <w:rsid w:val="45131232"/>
    <w:rsid w:val="452F12F5"/>
    <w:rsid w:val="453B44DF"/>
    <w:rsid w:val="45401AF6"/>
    <w:rsid w:val="455C6204"/>
    <w:rsid w:val="457804D5"/>
    <w:rsid w:val="45DA5C68"/>
    <w:rsid w:val="45EC3A2B"/>
    <w:rsid w:val="45EC7588"/>
    <w:rsid w:val="45F20916"/>
    <w:rsid w:val="45FD1795"/>
    <w:rsid w:val="460839C1"/>
    <w:rsid w:val="463236F2"/>
    <w:rsid w:val="463D7DE3"/>
    <w:rsid w:val="464B69A4"/>
    <w:rsid w:val="465A6BE7"/>
    <w:rsid w:val="4694464B"/>
    <w:rsid w:val="46954ED9"/>
    <w:rsid w:val="46A61E2C"/>
    <w:rsid w:val="46AC6D17"/>
    <w:rsid w:val="46F22218"/>
    <w:rsid w:val="46F72688"/>
    <w:rsid w:val="46FB5788"/>
    <w:rsid w:val="47412EAE"/>
    <w:rsid w:val="474358CD"/>
    <w:rsid w:val="47487D3C"/>
    <w:rsid w:val="474A6C5C"/>
    <w:rsid w:val="475A2C17"/>
    <w:rsid w:val="47A02FEE"/>
    <w:rsid w:val="47A80F1E"/>
    <w:rsid w:val="47A83982"/>
    <w:rsid w:val="47C66AE7"/>
    <w:rsid w:val="47D26C51"/>
    <w:rsid w:val="47DE55F6"/>
    <w:rsid w:val="47E04ECA"/>
    <w:rsid w:val="47E524E0"/>
    <w:rsid w:val="47EB3E1C"/>
    <w:rsid w:val="481E3AAF"/>
    <w:rsid w:val="483D056E"/>
    <w:rsid w:val="483D1893"/>
    <w:rsid w:val="485422E0"/>
    <w:rsid w:val="48547666"/>
    <w:rsid w:val="486C49B0"/>
    <w:rsid w:val="486F10A5"/>
    <w:rsid w:val="487565D5"/>
    <w:rsid w:val="48C26CC5"/>
    <w:rsid w:val="48C42A3E"/>
    <w:rsid w:val="48D03190"/>
    <w:rsid w:val="48D16F09"/>
    <w:rsid w:val="48E82D4D"/>
    <w:rsid w:val="48FD385A"/>
    <w:rsid w:val="49107A31"/>
    <w:rsid w:val="4921579A"/>
    <w:rsid w:val="493354CD"/>
    <w:rsid w:val="49341FF9"/>
    <w:rsid w:val="493556E9"/>
    <w:rsid w:val="493B1243"/>
    <w:rsid w:val="49725FF6"/>
    <w:rsid w:val="49A32653"/>
    <w:rsid w:val="49A5461D"/>
    <w:rsid w:val="49B120BE"/>
    <w:rsid w:val="49D71785"/>
    <w:rsid w:val="49DD71DE"/>
    <w:rsid w:val="49F04DE4"/>
    <w:rsid w:val="49F17862"/>
    <w:rsid w:val="4A0B01F8"/>
    <w:rsid w:val="4A175E73"/>
    <w:rsid w:val="4A1C545E"/>
    <w:rsid w:val="4A216F8B"/>
    <w:rsid w:val="4A2A4B22"/>
    <w:rsid w:val="4A560560"/>
    <w:rsid w:val="4A954A5F"/>
    <w:rsid w:val="4ADF3B5F"/>
    <w:rsid w:val="4ADF52C2"/>
    <w:rsid w:val="4AFB026D"/>
    <w:rsid w:val="4B1355B6"/>
    <w:rsid w:val="4B275B29"/>
    <w:rsid w:val="4B2E23F0"/>
    <w:rsid w:val="4B687A43"/>
    <w:rsid w:val="4B7676A2"/>
    <w:rsid w:val="4B7E2B72"/>
    <w:rsid w:val="4B8244EA"/>
    <w:rsid w:val="4B861CB1"/>
    <w:rsid w:val="4B897627"/>
    <w:rsid w:val="4BA1327D"/>
    <w:rsid w:val="4BBF1D08"/>
    <w:rsid w:val="4BDE5BC4"/>
    <w:rsid w:val="4BE64A79"/>
    <w:rsid w:val="4C225B2C"/>
    <w:rsid w:val="4C464A47"/>
    <w:rsid w:val="4C4C1669"/>
    <w:rsid w:val="4C567E51"/>
    <w:rsid w:val="4C600CB1"/>
    <w:rsid w:val="4C667968"/>
    <w:rsid w:val="4C8C4B93"/>
    <w:rsid w:val="4CA010CC"/>
    <w:rsid w:val="4CE64A52"/>
    <w:rsid w:val="4CEC6287"/>
    <w:rsid w:val="4D241CFD"/>
    <w:rsid w:val="4D5325E2"/>
    <w:rsid w:val="4D7C761C"/>
    <w:rsid w:val="4D891B60"/>
    <w:rsid w:val="4DA33696"/>
    <w:rsid w:val="4DC5444C"/>
    <w:rsid w:val="4DD454D1"/>
    <w:rsid w:val="4DD73A22"/>
    <w:rsid w:val="4DDD3C5A"/>
    <w:rsid w:val="4DF0398D"/>
    <w:rsid w:val="4DF60C80"/>
    <w:rsid w:val="4DFE3442"/>
    <w:rsid w:val="4E125FF9"/>
    <w:rsid w:val="4E185B3D"/>
    <w:rsid w:val="4E775E5C"/>
    <w:rsid w:val="4E824F2D"/>
    <w:rsid w:val="4E9D50CF"/>
    <w:rsid w:val="4EA053B3"/>
    <w:rsid w:val="4EAB2916"/>
    <w:rsid w:val="4EC05A55"/>
    <w:rsid w:val="4ED908C5"/>
    <w:rsid w:val="4F053A58"/>
    <w:rsid w:val="4F1D4C56"/>
    <w:rsid w:val="4F2628C7"/>
    <w:rsid w:val="4F2F6737"/>
    <w:rsid w:val="4F471CD3"/>
    <w:rsid w:val="4F5246ED"/>
    <w:rsid w:val="4F590025"/>
    <w:rsid w:val="4F960564"/>
    <w:rsid w:val="4F9D5D96"/>
    <w:rsid w:val="4FFF2A2C"/>
    <w:rsid w:val="500951DA"/>
    <w:rsid w:val="50200DCA"/>
    <w:rsid w:val="503264DF"/>
    <w:rsid w:val="506D5769"/>
    <w:rsid w:val="50924895"/>
    <w:rsid w:val="510C08F5"/>
    <w:rsid w:val="512236AA"/>
    <w:rsid w:val="512E185C"/>
    <w:rsid w:val="512F2A1E"/>
    <w:rsid w:val="51375377"/>
    <w:rsid w:val="51475FBA"/>
    <w:rsid w:val="51552C9C"/>
    <w:rsid w:val="517A638F"/>
    <w:rsid w:val="51AC22C1"/>
    <w:rsid w:val="52025B23"/>
    <w:rsid w:val="520B6FE7"/>
    <w:rsid w:val="5224663F"/>
    <w:rsid w:val="52687391"/>
    <w:rsid w:val="52792ECE"/>
    <w:rsid w:val="527E5B61"/>
    <w:rsid w:val="528A2602"/>
    <w:rsid w:val="52976ACD"/>
    <w:rsid w:val="52EB11E0"/>
    <w:rsid w:val="53086608"/>
    <w:rsid w:val="53536310"/>
    <w:rsid w:val="536912CC"/>
    <w:rsid w:val="536C09D1"/>
    <w:rsid w:val="536F5815"/>
    <w:rsid w:val="53963CFA"/>
    <w:rsid w:val="53E1679D"/>
    <w:rsid w:val="540C0A08"/>
    <w:rsid w:val="54382383"/>
    <w:rsid w:val="543B5442"/>
    <w:rsid w:val="544D1B39"/>
    <w:rsid w:val="544F3B03"/>
    <w:rsid w:val="54684BC5"/>
    <w:rsid w:val="547A0454"/>
    <w:rsid w:val="54A93FE9"/>
    <w:rsid w:val="54DC69F7"/>
    <w:rsid w:val="54E12D87"/>
    <w:rsid w:val="54EB4C35"/>
    <w:rsid w:val="54F03763"/>
    <w:rsid w:val="55055F70"/>
    <w:rsid w:val="55124B31"/>
    <w:rsid w:val="555B2034"/>
    <w:rsid w:val="556829A3"/>
    <w:rsid w:val="557A3281"/>
    <w:rsid w:val="55CE0A58"/>
    <w:rsid w:val="55CE6156"/>
    <w:rsid w:val="55D50038"/>
    <w:rsid w:val="561603B2"/>
    <w:rsid w:val="561641AD"/>
    <w:rsid w:val="561F5757"/>
    <w:rsid w:val="56464A92"/>
    <w:rsid w:val="564B20A8"/>
    <w:rsid w:val="567C24C2"/>
    <w:rsid w:val="56B0015D"/>
    <w:rsid w:val="56B57E6A"/>
    <w:rsid w:val="56C360E3"/>
    <w:rsid w:val="56C85EF8"/>
    <w:rsid w:val="56CD6F61"/>
    <w:rsid w:val="56E60023"/>
    <w:rsid w:val="570341F8"/>
    <w:rsid w:val="5705494D"/>
    <w:rsid w:val="570861EB"/>
    <w:rsid w:val="571D6A2B"/>
    <w:rsid w:val="57201A20"/>
    <w:rsid w:val="572D5C52"/>
    <w:rsid w:val="57345792"/>
    <w:rsid w:val="57346FE0"/>
    <w:rsid w:val="575B27BF"/>
    <w:rsid w:val="57835872"/>
    <w:rsid w:val="578C4726"/>
    <w:rsid w:val="57AC45D0"/>
    <w:rsid w:val="57AE1241"/>
    <w:rsid w:val="57B273E9"/>
    <w:rsid w:val="57B67C8D"/>
    <w:rsid w:val="57D40540"/>
    <w:rsid w:val="57EE718F"/>
    <w:rsid w:val="57EF4CB5"/>
    <w:rsid w:val="58346B6C"/>
    <w:rsid w:val="58372C70"/>
    <w:rsid w:val="583E1656"/>
    <w:rsid w:val="589D1393"/>
    <w:rsid w:val="58B55EFF"/>
    <w:rsid w:val="58C3061C"/>
    <w:rsid w:val="58E70221"/>
    <w:rsid w:val="58F22CAF"/>
    <w:rsid w:val="591B7FEB"/>
    <w:rsid w:val="59314975"/>
    <w:rsid w:val="59550740"/>
    <w:rsid w:val="5966544B"/>
    <w:rsid w:val="59C10AB4"/>
    <w:rsid w:val="59D56296"/>
    <w:rsid w:val="59D95C1D"/>
    <w:rsid w:val="59DE3233"/>
    <w:rsid w:val="59DE62A0"/>
    <w:rsid w:val="59EA1BD8"/>
    <w:rsid w:val="5A026F22"/>
    <w:rsid w:val="5A1D1FAE"/>
    <w:rsid w:val="5A2F2F5F"/>
    <w:rsid w:val="5A57029D"/>
    <w:rsid w:val="5AA004E9"/>
    <w:rsid w:val="5AA955EF"/>
    <w:rsid w:val="5AE568F8"/>
    <w:rsid w:val="5AE605F2"/>
    <w:rsid w:val="5AEB5C08"/>
    <w:rsid w:val="5AF251E8"/>
    <w:rsid w:val="5AF54CD9"/>
    <w:rsid w:val="5AFD593B"/>
    <w:rsid w:val="5B225A37"/>
    <w:rsid w:val="5B4F0440"/>
    <w:rsid w:val="5B5E287E"/>
    <w:rsid w:val="5B6A1223"/>
    <w:rsid w:val="5B7E6A7C"/>
    <w:rsid w:val="5B8A42EF"/>
    <w:rsid w:val="5B9A7FFC"/>
    <w:rsid w:val="5BA76E58"/>
    <w:rsid w:val="5BBC1352"/>
    <w:rsid w:val="5BFB631F"/>
    <w:rsid w:val="5C003935"/>
    <w:rsid w:val="5C0351D3"/>
    <w:rsid w:val="5C11169E"/>
    <w:rsid w:val="5C3E4412"/>
    <w:rsid w:val="5C3F3891"/>
    <w:rsid w:val="5C484871"/>
    <w:rsid w:val="5C602626"/>
    <w:rsid w:val="5C60665C"/>
    <w:rsid w:val="5C81323B"/>
    <w:rsid w:val="5C875E04"/>
    <w:rsid w:val="5C8D658A"/>
    <w:rsid w:val="5C967DF5"/>
    <w:rsid w:val="5CA83399"/>
    <w:rsid w:val="5CAF3A11"/>
    <w:rsid w:val="5CBF734C"/>
    <w:rsid w:val="5CC33E1F"/>
    <w:rsid w:val="5CDD5A24"/>
    <w:rsid w:val="5CFF1E3E"/>
    <w:rsid w:val="5D1134E3"/>
    <w:rsid w:val="5D3B5199"/>
    <w:rsid w:val="5D6F2B20"/>
    <w:rsid w:val="5D72616D"/>
    <w:rsid w:val="5D7A3273"/>
    <w:rsid w:val="5D9C0A90"/>
    <w:rsid w:val="5DA4235E"/>
    <w:rsid w:val="5DAA334D"/>
    <w:rsid w:val="5DB06C95"/>
    <w:rsid w:val="5DDC5CDC"/>
    <w:rsid w:val="5DDF5B1F"/>
    <w:rsid w:val="5DE352BC"/>
    <w:rsid w:val="5DFC53C5"/>
    <w:rsid w:val="5E196EBA"/>
    <w:rsid w:val="5E253BAB"/>
    <w:rsid w:val="5E4D4235"/>
    <w:rsid w:val="5E504395"/>
    <w:rsid w:val="5E5B4E53"/>
    <w:rsid w:val="5E602469"/>
    <w:rsid w:val="5E6F283B"/>
    <w:rsid w:val="5ED21F55"/>
    <w:rsid w:val="5ED22BFF"/>
    <w:rsid w:val="5EDA6D5D"/>
    <w:rsid w:val="5EE035AA"/>
    <w:rsid w:val="5EE412EC"/>
    <w:rsid w:val="5EF57055"/>
    <w:rsid w:val="5F0D76A3"/>
    <w:rsid w:val="5F117C07"/>
    <w:rsid w:val="5F230066"/>
    <w:rsid w:val="5F2931A3"/>
    <w:rsid w:val="5F334021"/>
    <w:rsid w:val="5F3538F6"/>
    <w:rsid w:val="5F381638"/>
    <w:rsid w:val="5F385194"/>
    <w:rsid w:val="5F3F6522"/>
    <w:rsid w:val="5F4104EC"/>
    <w:rsid w:val="5F4639E0"/>
    <w:rsid w:val="5F686E8E"/>
    <w:rsid w:val="5F73441E"/>
    <w:rsid w:val="5F8D1984"/>
    <w:rsid w:val="5FAB0CC9"/>
    <w:rsid w:val="5FAD7930"/>
    <w:rsid w:val="5FC829BC"/>
    <w:rsid w:val="5FCF3D4A"/>
    <w:rsid w:val="5FEA2B00"/>
    <w:rsid w:val="602D6CC3"/>
    <w:rsid w:val="607641C6"/>
    <w:rsid w:val="60883EF9"/>
    <w:rsid w:val="608A3882"/>
    <w:rsid w:val="608B2C81"/>
    <w:rsid w:val="608F34D9"/>
    <w:rsid w:val="609805E0"/>
    <w:rsid w:val="60AA0313"/>
    <w:rsid w:val="60AF3879"/>
    <w:rsid w:val="60C56EFB"/>
    <w:rsid w:val="60EF149E"/>
    <w:rsid w:val="615200E1"/>
    <w:rsid w:val="61693230"/>
    <w:rsid w:val="61972B6A"/>
    <w:rsid w:val="61B84E22"/>
    <w:rsid w:val="61F30033"/>
    <w:rsid w:val="61FD5295"/>
    <w:rsid w:val="624502F4"/>
    <w:rsid w:val="62791D4B"/>
    <w:rsid w:val="628D3A49"/>
    <w:rsid w:val="62CF5E0F"/>
    <w:rsid w:val="62E83E16"/>
    <w:rsid w:val="62E95123"/>
    <w:rsid w:val="62F35FA1"/>
    <w:rsid w:val="630261E5"/>
    <w:rsid w:val="63067FD3"/>
    <w:rsid w:val="631F28F3"/>
    <w:rsid w:val="632443AD"/>
    <w:rsid w:val="633839B4"/>
    <w:rsid w:val="636E387A"/>
    <w:rsid w:val="636E5E0F"/>
    <w:rsid w:val="637349EC"/>
    <w:rsid w:val="6390559E"/>
    <w:rsid w:val="639C3F43"/>
    <w:rsid w:val="63A45A71"/>
    <w:rsid w:val="63A66B70"/>
    <w:rsid w:val="63C35974"/>
    <w:rsid w:val="63DF2082"/>
    <w:rsid w:val="63ED0C43"/>
    <w:rsid w:val="63ED479F"/>
    <w:rsid w:val="63F10999"/>
    <w:rsid w:val="641F4B74"/>
    <w:rsid w:val="64460353"/>
    <w:rsid w:val="645206D0"/>
    <w:rsid w:val="645E6CBF"/>
    <w:rsid w:val="64AA08E2"/>
    <w:rsid w:val="65002A2C"/>
    <w:rsid w:val="6502427A"/>
    <w:rsid w:val="6509385A"/>
    <w:rsid w:val="653D1756"/>
    <w:rsid w:val="653E102A"/>
    <w:rsid w:val="65442AE4"/>
    <w:rsid w:val="654B78CA"/>
    <w:rsid w:val="656C55D4"/>
    <w:rsid w:val="657607C4"/>
    <w:rsid w:val="65AD4482"/>
    <w:rsid w:val="65B25CA0"/>
    <w:rsid w:val="65C07C91"/>
    <w:rsid w:val="65D8322D"/>
    <w:rsid w:val="65DC4ACB"/>
    <w:rsid w:val="660202AA"/>
    <w:rsid w:val="66326DE1"/>
    <w:rsid w:val="66504D19"/>
    <w:rsid w:val="665243A2"/>
    <w:rsid w:val="66552ACF"/>
    <w:rsid w:val="665B6338"/>
    <w:rsid w:val="665E1984"/>
    <w:rsid w:val="66660838"/>
    <w:rsid w:val="667411A7"/>
    <w:rsid w:val="66742F55"/>
    <w:rsid w:val="6680605A"/>
    <w:rsid w:val="668C58AE"/>
    <w:rsid w:val="66A7157D"/>
    <w:rsid w:val="66B5531C"/>
    <w:rsid w:val="66BC37E2"/>
    <w:rsid w:val="66DB2FD4"/>
    <w:rsid w:val="66F44096"/>
    <w:rsid w:val="670562A3"/>
    <w:rsid w:val="670B7AEA"/>
    <w:rsid w:val="671E1113"/>
    <w:rsid w:val="672A3F5C"/>
    <w:rsid w:val="6756421A"/>
    <w:rsid w:val="67630CEF"/>
    <w:rsid w:val="67780EDA"/>
    <w:rsid w:val="679C7611"/>
    <w:rsid w:val="67A4786A"/>
    <w:rsid w:val="67A81366"/>
    <w:rsid w:val="67B9759D"/>
    <w:rsid w:val="67D46CDE"/>
    <w:rsid w:val="67D87514"/>
    <w:rsid w:val="67FA392E"/>
    <w:rsid w:val="6819475B"/>
    <w:rsid w:val="681A3DE2"/>
    <w:rsid w:val="683F7593"/>
    <w:rsid w:val="688A7DAC"/>
    <w:rsid w:val="68A5389A"/>
    <w:rsid w:val="68AF1D6D"/>
    <w:rsid w:val="68B161D3"/>
    <w:rsid w:val="68CF43EA"/>
    <w:rsid w:val="68D93544"/>
    <w:rsid w:val="68E1070E"/>
    <w:rsid w:val="690B56C7"/>
    <w:rsid w:val="690C3CE7"/>
    <w:rsid w:val="691B3B5C"/>
    <w:rsid w:val="69416EAD"/>
    <w:rsid w:val="694C3FC0"/>
    <w:rsid w:val="69765D89"/>
    <w:rsid w:val="698C6808"/>
    <w:rsid w:val="699163F6"/>
    <w:rsid w:val="69CD7914"/>
    <w:rsid w:val="69D47128"/>
    <w:rsid w:val="69DA5DFE"/>
    <w:rsid w:val="69EC374B"/>
    <w:rsid w:val="69F25583"/>
    <w:rsid w:val="69F66377"/>
    <w:rsid w:val="6A2627B9"/>
    <w:rsid w:val="6A462E5B"/>
    <w:rsid w:val="6A49294B"/>
    <w:rsid w:val="6A503CD9"/>
    <w:rsid w:val="6A692CB7"/>
    <w:rsid w:val="6A696B49"/>
    <w:rsid w:val="6A8952C2"/>
    <w:rsid w:val="6AB57FE0"/>
    <w:rsid w:val="6AC65D4A"/>
    <w:rsid w:val="6AD46A66"/>
    <w:rsid w:val="6AED37F2"/>
    <w:rsid w:val="6AEF7DCE"/>
    <w:rsid w:val="6B3C7DBA"/>
    <w:rsid w:val="6B621F16"/>
    <w:rsid w:val="6B6F4633"/>
    <w:rsid w:val="6B7D161D"/>
    <w:rsid w:val="6B9023FF"/>
    <w:rsid w:val="6B9F5BAD"/>
    <w:rsid w:val="6BA442DD"/>
    <w:rsid w:val="6BA46BE1"/>
    <w:rsid w:val="6BC04E8F"/>
    <w:rsid w:val="6BC06C3D"/>
    <w:rsid w:val="6BC404DB"/>
    <w:rsid w:val="6BC95AF1"/>
    <w:rsid w:val="6BCA6224"/>
    <w:rsid w:val="6BD41C61"/>
    <w:rsid w:val="6BE91CF0"/>
    <w:rsid w:val="6BF32B6E"/>
    <w:rsid w:val="6C0A614D"/>
    <w:rsid w:val="6C1D4188"/>
    <w:rsid w:val="6C5D448C"/>
    <w:rsid w:val="6C8C114B"/>
    <w:rsid w:val="6CA672D2"/>
    <w:rsid w:val="6CF21078"/>
    <w:rsid w:val="6CF9407C"/>
    <w:rsid w:val="6D002DFC"/>
    <w:rsid w:val="6D194017"/>
    <w:rsid w:val="6D1B05CF"/>
    <w:rsid w:val="6D2A6A64"/>
    <w:rsid w:val="6D837F22"/>
    <w:rsid w:val="6D8E5551"/>
    <w:rsid w:val="6DBD6517"/>
    <w:rsid w:val="6DD10C8D"/>
    <w:rsid w:val="6DEF55B7"/>
    <w:rsid w:val="6DFA6436"/>
    <w:rsid w:val="6E22773B"/>
    <w:rsid w:val="6E5D0773"/>
    <w:rsid w:val="6E602011"/>
    <w:rsid w:val="6E751F61"/>
    <w:rsid w:val="6E761835"/>
    <w:rsid w:val="6E79211E"/>
    <w:rsid w:val="6E8126B3"/>
    <w:rsid w:val="6E82467D"/>
    <w:rsid w:val="6E8439ED"/>
    <w:rsid w:val="6E9C573F"/>
    <w:rsid w:val="6EA6211A"/>
    <w:rsid w:val="6EC23191"/>
    <w:rsid w:val="6EEC3440"/>
    <w:rsid w:val="6F255735"/>
    <w:rsid w:val="6F3C65DA"/>
    <w:rsid w:val="6F5837CB"/>
    <w:rsid w:val="6F6D5423"/>
    <w:rsid w:val="6F7C0E3D"/>
    <w:rsid w:val="6F7F4023"/>
    <w:rsid w:val="6F82185F"/>
    <w:rsid w:val="6F886353"/>
    <w:rsid w:val="6F887838"/>
    <w:rsid w:val="6F8E41A4"/>
    <w:rsid w:val="6FA32AFD"/>
    <w:rsid w:val="6FDD600F"/>
    <w:rsid w:val="6FE86762"/>
    <w:rsid w:val="6FEC0000"/>
    <w:rsid w:val="6FEE70E9"/>
    <w:rsid w:val="700C2451"/>
    <w:rsid w:val="703235D5"/>
    <w:rsid w:val="70380103"/>
    <w:rsid w:val="70705949"/>
    <w:rsid w:val="70744007"/>
    <w:rsid w:val="70BF6642"/>
    <w:rsid w:val="70FF075C"/>
    <w:rsid w:val="710650F2"/>
    <w:rsid w:val="71066EA0"/>
    <w:rsid w:val="71237A52"/>
    <w:rsid w:val="71431EA2"/>
    <w:rsid w:val="71525070"/>
    <w:rsid w:val="715C2F64"/>
    <w:rsid w:val="7162598C"/>
    <w:rsid w:val="71804EA4"/>
    <w:rsid w:val="722F68CA"/>
    <w:rsid w:val="724D08F0"/>
    <w:rsid w:val="72534367"/>
    <w:rsid w:val="72A5093A"/>
    <w:rsid w:val="72BF2E76"/>
    <w:rsid w:val="72E75D66"/>
    <w:rsid w:val="73497518"/>
    <w:rsid w:val="734E4B2E"/>
    <w:rsid w:val="73634A7D"/>
    <w:rsid w:val="73682094"/>
    <w:rsid w:val="73740A39"/>
    <w:rsid w:val="737C169B"/>
    <w:rsid w:val="739C3AEB"/>
    <w:rsid w:val="73BA5622"/>
    <w:rsid w:val="73C343E4"/>
    <w:rsid w:val="73E56BC8"/>
    <w:rsid w:val="73E831D5"/>
    <w:rsid w:val="73F25E01"/>
    <w:rsid w:val="73F506D6"/>
    <w:rsid w:val="740B2A1F"/>
    <w:rsid w:val="74117C8D"/>
    <w:rsid w:val="74220923"/>
    <w:rsid w:val="74806F69"/>
    <w:rsid w:val="74852401"/>
    <w:rsid w:val="749F1AE5"/>
    <w:rsid w:val="74B471B3"/>
    <w:rsid w:val="74E03EAC"/>
    <w:rsid w:val="75022074"/>
    <w:rsid w:val="75221B04"/>
    <w:rsid w:val="75717E89"/>
    <w:rsid w:val="757A6A57"/>
    <w:rsid w:val="758331B5"/>
    <w:rsid w:val="75AB270C"/>
    <w:rsid w:val="75F419BD"/>
    <w:rsid w:val="762A27DA"/>
    <w:rsid w:val="763E0E8A"/>
    <w:rsid w:val="76430936"/>
    <w:rsid w:val="76524935"/>
    <w:rsid w:val="76740D50"/>
    <w:rsid w:val="76816FC9"/>
    <w:rsid w:val="76832D41"/>
    <w:rsid w:val="76A50965"/>
    <w:rsid w:val="76B80C3C"/>
    <w:rsid w:val="76C53359"/>
    <w:rsid w:val="76DE441B"/>
    <w:rsid w:val="76F679B7"/>
    <w:rsid w:val="77356731"/>
    <w:rsid w:val="773D1603"/>
    <w:rsid w:val="77400C32"/>
    <w:rsid w:val="774A6156"/>
    <w:rsid w:val="77D71596"/>
    <w:rsid w:val="77EB35FA"/>
    <w:rsid w:val="780D320A"/>
    <w:rsid w:val="78434E7D"/>
    <w:rsid w:val="786A41B8"/>
    <w:rsid w:val="7871660D"/>
    <w:rsid w:val="78C4148F"/>
    <w:rsid w:val="78E21FA1"/>
    <w:rsid w:val="790901FF"/>
    <w:rsid w:val="7924080B"/>
    <w:rsid w:val="792D540E"/>
    <w:rsid w:val="794F07DE"/>
    <w:rsid w:val="797F5A41"/>
    <w:rsid w:val="798B088A"/>
    <w:rsid w:val="798F3644"/>
    <w:rsid w:val="799A287B"/>
    <w:rsid w:val="79C142AC"/>
    <w:rsid w:val="79D10450"/>
    <w:rsid w:val="79DC2E94"/>
    <w:rsid w:val="7A245426"/>
    <w:rsid w:val="7A286917"/>
    <w:rsid w:val="7A290118"/>
    <w:rsid w:val="7A5C2227"/>
    <w:rsid w:val="7A601D17"/>
    <w:rsid w:val="7A6376BF"/>
    <w:rsid w:val="7A97688D"/>
    <w:rsid w:val="7AA65250"/>
    <w:rsid w:val="7AB43E11"/>
    <w:rsid w:val="7AF256B6"/>
    <w:rsid w:val="7AF449C4"/>
    <w:rsid w:val="7B051225"/>
    <w:rsid w:val="7B0846E3"/>
    <w:rsid w:val="7B486307"/>
    <w:rsid w:val="7B4C229B"/>
    <w:rsid w:val="7B4C5DF7"/>
    <w:rsid w:val="7B7F7F7B"/>
    <w:rsid w:val="7B914268"/>
    <w:rsid w:val="7B965AB3"/>
    <w:rsid w:val="7BBC1AD5"/>
    <w:rsid w:val="7BC2255D"/>
    <w:rsid w:val="7BEF7850"/>
    <w:rsid w:val="7C036DFE"/>
    <w:rsid w:val="7C280612"/>
    <w:rsid w:val="7C444D20"/>
    <w:rsid w:val="7C5C650E"/>
    <w:rsid w:val="7C7C0DEA"/>
    <w:rsid w:val="7CB00608"/>
    <w:rsid w:val="7CD442F6"/>
    <w:rsid w:val="7CF14EA8"/>
    <w:rsid w:val="7CF718EF"/>
    <w:rsid w:val="7D07647A"/>
    <w:rsid w:val="7D31799A"/>
    <w:rsid w:val="7D3935CB"/>
    <w:rsid w:val="7D5316BF"/>
    <w:rsid w:val="7D6513F2"/>
    <w:rsid w:val="7D72364A"/>
    <w:rsid w:val="7D7B0C16"/>
    <w:rsid w:val="7D7D6095"/>
    <w:rsid w:val="7D8E0CD4"/>
    <w:rsid w:val="7D9A4AFF"/>
    <w:rsid w:val="7DAC5273"/>
    <w:rsid w:val="7DAD28DC"/>
    <w:rsid w:val="7DB14637"/>
    <w:rsid w:val="7DBF464A"/>
    <w:rsid w:val="7DC15CCA"/>
    <w:rsid w:val="7DF84014"/>
    <w:rsid w:val="7E0105AB"/>
    <w:rsid w:val="7E0503B7"/>
    <w:rsid w:val="7E074257"/>
    <w:rsid w:val="7E0E55E6"/>
    <w:rsid w:val="7E384472"/>
    <w:rsid w:val="7E795155"/>
    <w:rsid w:val="7E885398"/>
    <w:rsid w:val="7E9F4667"/>
    <w:rsid w:val="7EAD3051"/>
    <w:rsid w:val="7EB20667"/>
    <w:rsid w:val="7EF94618"/>
    <w:rsid w:val="7F076A8B"/>
    <w:rsid w:val="7F211349"/>
    <w:rsid w:val="7F2B19DA"/>
    <w:rsid w:val="7F2C21C7"/>
    <w:rsid w:val="7F405C73"/>
    <w:rsid w:val="7F460DAF"/>
    <w:rsid w:val="7F4736ED"/>
    <w:rsid w:val="7F4946CE"/>
    <w:rsid w:val="7F5D6825"/>
    <w:rsid w:val="7F631B2A"/>
    <w:rsid w:val="7F65392B"/>
    <w:rsid w:val="7F743B6E"/>
    <w:rsid w:val="7F98785D"/>
    <w:rsid w:val="7FA501CC"/>
    <w:rsid w:val="7FAE52D2"/>
    <w:rsid w:val="7FBB354B"/>
    <w:rsid w:val="7FC9626B"/>
    <w:rsid w:val="7FD0349B"/>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2024-04-10T00:59:11Z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