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iyX8T7IBAABgAwAADgAAAAAAAAABACAAAAAnAQAAZHJzL2Uyb0RvYy54bWxQSwUGAAAAAAYA&#10;BgBZAQAASwUAAAAA&#10;">
                <v:fill on="t" focussize="0,0"/>
                <v:stroke on="f"/>
                <v:imagedata o:title=""/>
                <o:lock v:ext="edit" aspectratio="f"/>
              </v:rect>
            </w:pict>
          </mc:Fallback>
        </mc:AlternateContent>
      </w: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hint="eastAsia" w:ascii="微软雅黑" w:hAnsi="微软雅黑" w:eastAsia="微软雅黑" w:cs="微软雅黑"/>
          <w:b/>
          <w:bCs/>
          <w:color w:val="FFFFFF"/>
          <w:spacing w:val="6"/>
          <w:sz w:val="96"/>
          <w:szCs w:val="96"/>
          <w:lang w:val="en-US" w:eastAsia="zh-CN"/>
        </w:rPr>
        <w:t>每日</w:t>
      </w:r>
      <w:r>
        <w:rPr>
          <w:rFonts w:ascii="微软雅黑" w:hAnsi="微软雅黑" w:eastAsia="微软雅黑" w:cs="微软雅黑"/>
          <w:b/>
          <w:bCs/>
          <w:color w:val="FFFFFF"/>
          <w:spacing w:val="6"/>
          <w:sz w:val="96"/>
          <w:szCs w:val="96"/>
        </w:rPr>
        <w:t>市场报告</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w:t>
      </w:r>
      <w:r>
        <w:rPr>
          <w:rFonts w:hint="eastAsia" w:ascii="微软雅黑" w:hAnsi="微软雅黑" w:eastAsia="微软雅黑" w:cs="微软雅黑"/>
          <w:b/>
          <w:bCs/>
          <w:color w:val="005D97"/>
          <w:spacing w:val="-22"/>
          <w:sz w:val="48"/>
          <w:szCs w:val="48"/>
          <w:lang w:val="en-US" w:eastAsia="zh-CN"/>
        </w:rPr>
        <w:t>4</w:t>
      </w:r>
      <w:r>
        <w:rPr>
          <w:rFonts w:ascii="微软雅黑" w:hAnsi="微软雅黑" w:eastAsia="微软雅黑" w:cs="微软雅黑"/>
          <w:b/>
          <w:bCs/>
          <w:color w:val="005D97"/>
          <w:spacing w:val="-22"/>
          <w:sz w:val="48"/>
          <w:szCs w:val="48"/>
        </w:rPr>
        <w:t>月</w:t>
      </w:r>
      <w:r>
        <w:rPr>
          <w:rFonts w:hint="eastAsia" w:ascii="微软雅黑" w:hAnsi="微软雅黑" w:eastAsia="微软雅黑" w:cs="微软雅黑"/>
          <w:b/>
          <w:bCs/>
          <w:color w:val="005D97"/>
          <w:spacing w:val="-22"/>
          <w:sz w:val="48"/>
          <w:szCs w:val="48"/>
          <w:lang w:val="en-US" w:eastAsia="zh-CN"/>
        </w:rPr>
        <w:t>11</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市场综述</w:t>
      </w:r>
    </w:p>
    <w:p>
      <w:pPr>
        <w:keepNext w:val="0"/>
        <w:keepLines w:val="0"/>
        <w:pageBreakBefore w:val="0"/>
        <w:widowControl/>
        <w:kinsoku w:val="0"/>
        <w:wordWrap/>
        <w:overflowPunct/>
        <w:topLinePunct w:val="0"/>
        <w:autoSpaceDE w:val="0"/>
        <w:autoSpaceDN w:val="0"/>
        <w:bidi w:val="0"/>
        <w:adjustRightInd w:val="0"/>
        <w:snapToGrid w:val="0"/>
        <w:spacing w:before="103" w:line="257" w:lineRule="auto"/>
        <w:ind w:right="584"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val="en-US" w:eastAsia="zh-CN"/>
        </w:rPr>
        <w:t>美</w:t>
      </w:r>
      <w:r>
        <w:rPr>
          <w:rFonts w:hint="eastAsia" w:ascii="微软雅黑" w:hAnsi="微软雅黑" w:eastAsia="微软雅黑" w:cs="微软雅黑"/>
          <w:spacing w:val="4"/>
          <w:sz w:val="24"/>
          <w:szCs w:val="24"/>
          <w:lang w:eastAsia="zh-CN"/>
        </w:rPr>
        <w:t>国</w:t>
      </w:r>
      <w:r>
        <w:rPr>
          <w:rFonts w:hint="eastAsia" w:ascii="微软雅黑" w:hAnsi="微软雅黑" w:eastAsia="微软雅黑" w:cs="微软雅黑"/>
          <w:spacing w:val="4"/>
          <w:sz w:val="24"/>
          <w:szCs w:val="24"/>
          <w:lang w:val="en-US" w:eastAsia="zh-CN"/>
        </w:rPr>
        <w:t>3月CPI数据全面超出预期，通胀连续3个月超预期，6月降息概率几乎消失，市场预计首次降息时间从9月推至11月、仅降息两次，美债收益率上行至4.5%，创年内新高，美股指短线跳水，</w:t>
      </w:r>
      <w:r>
        <w:rPr>
          <w:rFonts w:hint="eastAsia" w:ascii="微软雅黑" w:hAnsi="微软雅黑" w:eastAsia="微软雅黑" w:cs="微软雅黑"/>
          <w:spacing w:val="4"/>
          <w:sz w:val="24"/>
          <w:szCs w:val="24"/>
          <w:lang w:eastAsia="zh-CN"/>
        </w:rPr>
        <w:t>道指跌</w:t>
      </w:r>
      <w:r>
        <w:rPr>
          <w:rFonts w:hint="eastAsia" w:ascii="微软雅黑" w:hAnsi="微软雅黑" w:eastAsia="微软雅黑" w:cs="微软雅黑"/>
          <w:spacing w:val="4"/>
          <w:sz w:val="24"/>
          <w:szCs w:val="24"/>
          <w:lang w:val="en-US" w:eastAsia="zh-CN"/>
        </w:rPr>
        <w:t>1.09%</w:t>
      </w:r>
      <w:r>
        <w:rPr>
          <w:rFonts w:hint="eastAsia" w:ascii="微软雅黑" w:hAnsi="微软雅黑" w:eastAsia="微软雅黑" w:cs="微软雅黑"/>
          <w:spacing w:val="4"/>
          <w:sz w:val="24"/>
          <w:szCs w:val="24"/>
          <w:lang w:eastAsia="zh-CN"/>
        </w:rPr>
        <w:t>，标普500指数</w:t>
      </w:r>
      <w:r>
        <w:rPr>
          <w:rFonts w:hint="eastAsia" w:ascii="微软雅黑" w:hAnsi="微软雅黑" w:eastAsia="微软雅黑" w:cs="微软雅黑"/>
          <w:spacing w:val="4"/>
          <w:sz w:val="24"/>
          <w:szCs w:val="24"/>
          <w:lang w:val="en-US" w:eastAsia="zh-CN"/>
        </w:rPr>
        <w:t>跌0.95%</w:t>
      </w:r>
      <w:r>
        <w:rPr>
          <w:rFonts w:hint="eastAsia" w:ascii="微软雅黑" w:hAnsi="微软雅黑" w:eastAsia="微软雅黑" w:cs="微软雅黑"/>
          <w:spacing w:val="4"/>
          <w:sz w:val="24"/>
          <w:szCs w:val="24"/>
          <w:lang w:eastAsia="zh-CN"/>
        </w:rPr>
        <w:t>，纳指</w:t>
      </w:r>
      <w:r>
        <w:rPr>
          <w:rFonts w:hint="eastAsia" w:ascii="微软雅黑" w:hAnsi="微软雅黑" w:eastAsia="微软雅黑" w:cs="微软雅黑"/>
          <w:spacing w:val="4"/>
          <w:sz w:val="24"/>
          <w:szCs w:val="24"/>
          <w:lang w:val="en-US" w:eastAsia="zh-CN"/>
        </w:rPr>
        <w:t>跌0.84%</w:t>
      </w:r>
      <w:r>
        <w:rPr>
          <w:rFonts w:hint="eastAsia" w:ascii="微软雅黑" w:hAnsi="微软雅黑" w:eastAsia="微软雅黑" w:cs="微软雅黑"/>
          <w:spacing w:val="4"/>
          <w:sz w:val="24"/>
          <w:szCs w:val="24"/>
          <w:lang w:eastAsia="zh-CN"/>
        </w:rPr>
        <w:t>。美元指数涨1.04%报105.20，非美货币普遍下跌，离岸人民币对美元跌244个基点报7.2625。国际油价全线上涨，美油5月合约涨1.2%，报86.25美元/桶，布油6月合约涨1.22%，报90.51美元/桶。国际贵金属期货收盘涨跌不一，COMEX黄金期货跌0.42%报2352.4美元/盎司，COMEX白银期货涨0.25%报28.055美元/盎司。LME期铜跌0.21%报9398美元/吨。ICE 5月原糖</w:t>
      </w:r>
      <w:r>
        <w:rPr>
          <w:rFonts w:hint="eastAsia" w:ascii="微软雅黑" w:hAnsi="微软雅黑" w:eastAsia="微软雅黑" w:cs="微软雅黑"/>
          <w:spacing w:val="4"/>
          <w:sz w:val="24"/>
          <w:szCs w:val="24"/>
          <w:lang w:val="en-US" w:eastAsia="zh-CN"/>
        </w:rPr>
        <w:t>期货合约</w:t>
      </w:r>
      <w:r>
        <w:rPr>
          <w:rFonts w:hint="eastAsia" w:ascii="微软雅黑" w:hAnsi="微软雅黑" w:eastAsia="微软雅黑" w:cs="微软雅黑"/>
          <w:spacing w:val="4"/>
          <w:sz w:val="24"/>
          <w:szCs w:val="24"/>
          <w:lang w:eastAsia="zh-CN"/>
        </w:rPr>
        <w:t>收</w:t>
      </w:r>
      <w:r>
        <w:rPr>
          <w:rFonts w:hint="eastAsia" w:ascii="微软雅黑" w:hAnsi="微软雅黑" w:eastAsia="微软雅黑" w:cs="微软雅黑"/>
          <w:spacing w:val="4"/>
          <w:sz w:val="24"/>
          <w:szCs w:val="24"/>
          <w:lang w:val="en-US" w:eastAsia="zh-CN"/>
        </w:rPr>
        <w:t>跌0.14%</w:t>
      </w:r>
      <w:r>
        <w:rPr>
          <w:rFonts w:hint="eastAsia" w:ascii="微软雅黑" w:hAnsi="微软雅黑" w:eastAsia="微软雅黑" w:cs="微软雅黑"/>
          <w:spacing w:val="4"/>
          <w:sz w:val="24"/>
          <w:szCs w:val="24"/>
          <w:lang w:eastAsia="zh-CN"/>
        </w:rPr>
        <w:t>，结算价报2</w:t>
      </w:r>
      <w:r>
        <w:rPr>
          <w:rFonts w:hint="eastAsia" w:ascii="微软雅黑" w:hAnsi="微软雅黑" w:eastAsia="微软雅黑" w:cs="微软雅黑"/>
          <w:spacing w:val="4"/>
          <w:sz w:val="24"/>
          <w:szCs w:val="24"/>
          <w:lang w:val="en-US" w:eastAsia="zh-CN"/>
        </w:rPr>
        <w:t>1.46</w:t>
      </w:r>
      <w:r>
        <w:rPr>
          <w:rFonts w:hint="eastAsia" w:ascii="微软雅黑" w:hAnsi="微软雅黑" w:eastAsia="微软雅黑" w:cs="微软雅黑"/>
          <w:spacing w:val="4"/>
          <w:sz w:val="24"/>
          <w:szCs w:val="24"/>
          <w:lang w:eastAsia="zh-CN"/>
        </w:rPr>
        <w:t>美分/磅。ICE 5月期棉</w:t>
      </w:r>
      <w:r>
        <w:rPr>
          <w:rFonts w:hint="eastAsia" w:ascii="微软雅黑" w:hAnsi="微软雅黑" w:eastAsia="微软雅黑" w:cs="微软雅黑"/>
          <w:spacing w:val="4"/>
          <w:sz w:val="24"/>
          <w:szCs w:val="24"/>
          <w:lang w:val="en-US" w:eastAsia="zh-CN"/>
        </w:rPr>
        <w:t>期货合约</w:t>
      </w:r>
      <w:r>
        <w:rPr>
          <w:rFonts w:hint="eastAsia" w:ascii="微软雅黑" w:hAnsi="微软雅黑" w:eastAsia="微软雅黑" w:cs="微软雅黑"/>
          <w:spacing w:val="12"/>
          <w:sz w:val="24"/>
          <w:szCs w:val="24"/>
        </w:rPr>
        <w:t>收跌0.</w:t>
      </w:r>
      <w:r>
        <w:rPr>
          <w:rFonts w:hint="eastAsia" w:ascii="微软雅黑" w:hAnsi="微软雅黑" w:eastAsia="微软雅黑" w:cs="微软雅黑"/>
          <w:spacing w:val="12"/>
          <w:sz w:val="24"/>
          <w:szCs w:val="24"/>
          <w:lang w:val="en-US" w:eastAsia="zh-CN"/>
        </w:rPr>
        <w:t>80</w:t>
      </w:r>
      <w:r>
        <w:rPr>
          <w:rFonts w:hint="eastAsia" w:ascii="微软雅黑" w:hAnsi="微软雅黑" w:eastAsia="微软雅黑" w:cs="微软雅黑"/>
          <w:spacing w:val="12"/>
          <w:sz w:val="24"/>
          <w:szCs w:val="24"/>
        </w:rPr>
        <w:t>%</w:t>
      </w:r>
      <w:r>
        <w:rPr>
          <w:rFonts w:hint="eastAsia" w:ascii="微软雅黑" w:hAnsi="微软雅黑" w:eastAsia="微软雅黑" w:cs="微软雅黑"/>
          <w:spacing w:val="4"/>
          <w:sz w:val="24"/>
          <w:szCs w:val="24"/>
          <w:lang w:eastAsia="zh-CN"/>
        </w:rPr>
        <w:t>，结算价报8</w:t>
      </w:r>
      <w:r>
        <w:rPr>
          <w:rFonts w:hint="eastAsia" w:ascii="微软雅黑" w:hAnsi="微软雅黑" w:eastAsia="微软雅黑" w:cs="微软雅黑"/>
          <w:spacing w:val="4"/>
          <w:sz w:val="24"/>
          <w:szCs w:val="24"/>
          <w:lang w:val="en-US" w:eastAsia="zh-CN"/>
        </w:rPr>
        <w:t>5.31美</w:t>
      </w:r>
      <w:r>
        <w:rPr>
          <w:rFonts w:hint="eastAsia" w:ascii="微软雅黑" w:hAnsi="微软雅黑" w:eastAsia="微软雅黑" w:cs="微软雅黑"/>
          <w:spacing w:val="4"/>
          <w:sz w:val="24"/>
          <w:szCs w:val="24"/>
          <w:lang w:eastAsia="zh-CN"/>
        </w:rPr>
        <w:t>分/磅。</w:t>
      </w:r>
    </w:p>
    <w:p>
      <w:pPr>
        <w:spacing w:before="235" w:line="176" w:lineRule="auto"/>
        <w:jc w:val="both"/>
        <w:rPr>
          <w:rFonts w:ascii="微软雅黑" w:hAnsi="微软雅黑" w:eastAsia="微软雅黑" w:cs="微软雅黑"/>
          <w:spacing w:val="7"/>
          <w:sz w:val="21"/>
          <w:szCs w:val="21"/>
        </w:rPr>
      </w:pPr>
      <w:r>
        <w:rPr>
          <w:rFonts w:ascii="微软雅黑" w:hAnsi="微软雅黑" w:eastAsia="微软雅黑" w:cs="微软雅黑"/>
          <w:spacing w:val="7"/>
          <w:sz w:val="21"/>
          <w:szCs w:val="21"/>
        </w:rPr>
        <w:t>图表1</w:t>
      </w:r>
      <w:r>
        <w:rPr>
          <w:rFonts w:hint="eastAsia" w:ascii="微软雅黑" w:hAnsi="微软雅黑" w:eastAsia="微软雅黑" w:cs="微软雅黑"/>
          <w:spacing w:val="7"/>
          <w:sz w:val="21"/>
          <w:szCs w:val="21"/>
          <w:lang w:eastAsia="zh-CN"/>
        </w:rPr>
        <w:t>：</w:t>
      </w:r>
      <w:r>
        <w:rPr>
          <w:rFonts w:ascii="微软雅黑" w:hAnsi="微软雅黑" w:eastAsia="微软雅黑" w:cs="微软雅黑"/>
          <w:spacing w:val="7"/>
          <w:sz w:val="21"/>
          <w:szCs w:val="21"/>
        </w:rPr>
        <w:t>全球</w:t>
      </w:r>
      <w:r>
        <w:rPr>
          <w:rFonts w:hint="eastAsia" w:ascii="微软雅黑" w:hAnsi="微软雅黑" w:eastAsia="微软雅黑" w:cs="微软雅黑"/>
          <w:spacing w:val="7"/>
          <w:sz w:val="21"/>
          <w:szCs w:val="21"/>
          <w:lang w:val="en-US" w:eastAsia="zh-CN"/>
        </w:rPr>
        <w:t>主要股指</w:t>
      </w:r>
      <w:r>
        <w:rPr>
          <w:rFonts w:ascii="微软雅黑" w:hAnsi="微软雅黑" w:eastAsia="微软雅黑" w:cs="微软雅黑"/>
          <w:spacing w:val="7"/>
          <w:sz w:val="21"/>
          <w:szCs w:val="21"/>
        </w:rPr>
        <w:t>涨跌幅</w:t>
      </w:r>
    </w:p>
    <w:p>
      <w:pPr>
        <w:spacing w:before="235" w:line="176" w:lineRule="auto"/>
        <w:jc w:val="both"/>
        <w:rPr>
          <w:rFonts w:hint="eastAsia"/>
          <w:lang w:eastAsia="zh-CN"/>
        </w:rPr>
      </w:pPr>
      <w:bookmarkStart w:id="2" w:name="_GoBack"/>
      <w:r>
        <w:drawing>
          <wp:inline distT="0" distB="0" distL="114300" distR="114300">
            <wp:extent cx="6233795" cy="4029075"/>
            <wp:effectExtent l="0" t="0" r="14605"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6233795" cy="4029075"/>
                    </a:xfrm>
                    <a:prstGeom prst="rect">
                      <a:avLst/>
                    </a:prstGeom>
                    <a:noFill/>
                    <a:ln>
                      <a:noFill/>
                    </a:ln>
                  </pic:spPr>
                </pic:pic>
              </a:graphicData>
            </a:graphic>
          </wp:inline>
        </w:drawing>
      </w:r>
      <w:bookmarkEnd w:id="2"/>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公开资料整理、瑞达国际</w:t>
      </w:r>
    </w:p>
    <w:p>
      <w:pPr>
        <w:spacing w:before="235" w:line="176" w:lineRule="auto"/>
        <w:jc w:val="both"/>
        <w:rPr>
          <w:rFonts w:ascii="微软雅黑" w:hAnsi="微软雅黑" w:eastAsia="微软雅黑" w:cs="微软雅黑"/>
          <w:spacing w:val="7"/>
          <w:sz w:val="21"/>
          <w:szCs w:val="21"/>
        </w:rPr>
      </w:pPr>
    </w:p>
    <w:p>
      <w:pPr>
        <w:spacing w:before="235" w:line="176" w:lineRule="auto"/>
        <w:jc w:val="both"/>
        <w:rPr>
          <w:rFonts w:ascii="微软雅黑" w:hAnsi="微软雅黑" w:eastAsia="微软雅黑" w:cs="微软雅黑"/>
          <w:spacing w:val="7"/>
          <w:sz w:val="21"/>
          <w:szCs w:val="21"/>
        </w:rPr>
      </w:pPr>
    </w:p>
    <w:p>
      <w:pPr>
        <w:spacing w:before="235" w:line="176" w:lineRule="auto"/>
        <w:jc w:val="both"/>
        <w:rPr>
          <w:rFonts w:ascii="微软雅黑" w:hAnsi="微软雅黑" w:eastAsia="微软雅黑" w:cs="微软雅黑"/>
          <w:spacing w:val="7"/>
          <w:sz w:val="21"/>
          <w:szCs w:val="21"/>
        </w:rPr>
      </w:pPr>
    </w:p>
    <w:p>
      <w:pPr>
        <w:spacing w:before="235" w:line="176" w:lineRule="auto"/>
        <w:jc w:val="both"/>
        <w:rPr>
          <w:rFonts w:ascii="微软雅黑" w:hAnsi="微软雅黑" w:eastAsia="微软雅黑" w:cs="微软雅黑"/>
          <w:spacing w:val="7"/>
          <w:sz w:val="21"/>
          <w:szCs w:val="21"/>
        </w:rPr>
      </w:pPr>
    </w:p>
    <w:p>
      <w:pPr>
        <w:spacing w:before="235" w:line="176" w:lineRule="auto"/>
        <w:jc w:val="both"/>
        <w:rPr>
          <w:rFonts w:ascii="微软雅黑" w:hAnsi="微软雅黑" w:eastAsia="微软雅黑" w:cs="微软雅黑"/>
          <w:spacing w:val="7"/>
          <w:sz w:val="21"/>
          <w:szCs w:val="21"/>
        </w:rPr>
      </w:pPr>
    </w:p>
    <w:p>
      <w:pPr>
        <w:pStyle w:val="2"/>
        <w:spacing w:line="282" w:lineRule="auto"/>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消息回顾</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w:t>
      </w:r>
      <w:r>
        <w:rPr>
          <w:rFonts w:hint="eastAsia" w:ascii="微软雅黑" w:hAnsi="微软雅黑" w:eastAsia="微软雅黑" w:cs="微软雅黑"/>
          <w:spacing w:val="4"/>
          <w:sz w:val="24"/>
          <w:szCs w:val="24"/>
          <w:lang w:val="en-US" w:eastAsia="zh-CN"/>
        </w:rPr>
        <w:t>3月CPI同比上涨3.5%，为2023年9月以来的最高水平，高于市场预期的3.4%；核心CPI同比上涨3.8%，超长市场预期的3.7%，主要是汽油和房价上涨导致通胀连续三个月超预期。</w:t>
      </w:r>
      <w:r>
        <w:rPr>
          <w:rFonts w:hint="eastAsia" w:ascii="微软雅黑" w:hAnsi="微软雅黑" w:eastAsia="微软雅黑" w:cs="微软雅黑"/>
          <w:spacing w:val="4"/>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【美国预算赤字扩大，2024财年上半年的预算赤字达到1.07万亿美元，经调整后，</w:t>
      </w:r>
      <w:r>
        <w:rPr>
          <w:rFonts w:hint="eastAsia" w:ascii="微软雅黑" w:hAnsi="微软雅黑" w:eastAsia="微软雅黑" w:cs="微软雅黑"/>
          <w:spacing w:val="4"/>
          <w:sz w:val="24"/>
          <w:szCs w:val="24"/>
          <w:lang w:val="en-US" w:eastAsia="zh-CN"/>
        </w:rPr>
        <w:t>同比</w:t>
      </w:r>
      <w:r>
        <w:rPr>
          <w:rFonts w:hint="eastAsia" w:ascii="微软雅黑" w:hAnsi="微软雅黑" w:eastAsia="微软雅黑" w:cs="微软雅黑"/>
          <w:spacing w:val="4"/>
          <w:sz w:val="24"/>
          <w:szCs w:val="24"/>
          <w:lang w:eastAsia="zh-CN"/>
        </w:rPr>
        <w:t>扩大4%。3月份赤字为2360亿美元，小于去年同期。美国未偿债务的利息负担仍是赤字不断扩大的最大原因。本财年上半年的利息成本为5220亿美元，较2023年增长36%。】</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【美国2月批发销售环比升2.3%，为2022年3月以来最大增幅，预期升0.4%，前值由降1.7%修正至降1.4%】</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【美国抵押贷款利率再次突破7%，令购房需求减弱。上周美国30年期固定利率抵押贷款合约利率上升10个基点至7.01%。高利率打压购房抵押贷款申请指数，使其下滑4.7%至近一个月来最低水平。】</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【巴克莱经济学家将美联储今年预期降息次数下调至一次，时间可能在9月或12月。】</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【英国金融行为监管局正提议让资产管理人为股票研究付费，将允许外部研究成本和股票交易执行费用捆绑收费，计划于上半年公布有关变革最终规定。】</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【日本央行行长植田和男表示，日本经济正在逐渐复苏，但仍存在一些结构问题；需要关注外汇水平及其对通胀影响，预计日本金融状况将继续保持宽松。】</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【加拿大央行将利率维持在5%不变，符合市场预期。加拿大央行将2024年CPI涨幅预期从2.8%下调至2.6%，预计2025年为2.2%；将2024年GDP增长预期上调至1.5%；将中性利率范围上调25个基点至2.25%-3.25%。】</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【加拿大央行行长麦克勒姆表示，6月份可能会进行降息。】</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【新西兰联储维持基准利率在5.5%不变，连续第六次暂停加息，符合市场预期。新西兰联储表示，继续采取紧缩的货币政策立场以进一步减轻产能压力和通胀。】</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w:t>
      </w:r>
      <w:r>
        <w:rPr>
          <w:rFonts w:hint="eastAsia" w:ascii="微软雅黑" w:hAnsi="微软雅黑" w:eastAsia="微软雅黑" w:cs="微软雅黑"/>
          <w:spacing w:val="4"/>
          <w:sz w:val="24"/>
          <w:szCs w:val="24"/>
          <w:lang w:val="en-US" w:eastAsia="zh-CN"/>
        </w:rPr>
        <w:t>世界贸易组织发布新一期《全球贸易展望与统计》报告，预计2024年全球商品贸易量将增长2.6%，2025年将增长3.3%。据世贸组织统计，2023年全球商品贸易量下降1.2%，从商品贸易额看则降幅更大，达到5%。</w:t>
      </w:r>
      <w:r>
        <w:rPr>
          <w:rFonts w:hint="eastAsia" w:ascii="微软雅黑" w:hAnsi="微软雅黑" w:eastAsia="微软雅黑" w:cs="微软雅黑"/>
          <w:spacing w:val="4"/>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【国际货币基金组织（IMF）表示，在缺乏重大技术进步或结构性改革的情况下，预计2030年全球经济增速为2.8%，低于历史平均水平3.8%。】</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ascii="微软雅黑" w:hAnsi="微软雅黑" w:eastAsia="微软雅黑" w:cs="微软雅黑"/>
          <w:spacing w:val="4"/>
          <w:sz w:val="24"/>
          <w:szCs w:val="24"/>
        </w:rPr>
      </w:pPr>
      <w:r>
        <w:rPr>
          <w:rFonts w:hint="eastAsia" w:ascii="微软雅黑" w:hAnsi="微软雅黑" w:eastAsia="微软雅黑" w:cs="微软雅黑"/>
          <w:spacing w:val="4"/>
          <w:sz w:val="24"/>
          <w:szCs w:val="24"/>
          <w:lang w:eastAsia="zh-CN"/>
        </w:rPr>
        <w:t>【世界银行：预计2024年阿根廷GDP增长率为-2.8%，2025年为5%；预计2024年智利GDP增长率为2%，2025年为2.2%；预计2024年墨西哥GDP增长率为2.3%，2025年为2.1%；下调2024年拉美地区GDP预期至增长1.6%，之前料增2.3%。】</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jc w:val="both"/>
        <w:textAlignment w:val="baseline"/>
        <w:rPr>
          <w:rFonts w:hint="eastAsia" w:ascii="微软雅黑" w:hAnsi="微软雅黑" w:eastAsia="微软雅黑" w:cs="微软雅黑"/>
          <w:spacing w:val="4"/>
          <w:sz w:val="24"/>
          <w:szCs w:val="24"/>
          <w:lang w:eastAsia="zh-CN"/>
        </w:rPr>
      </w:pPr>
    </w:p>
    <w:p>
      <w:pPr>
        <w:spacing w:before="120" w:line="190" w:lineRule="auto"/>
        <w:rPr>
          <w:rFonts w:ascii="微软雅黑" w:hAnsi="微软雅黑" w:eastAsia="微软雅黑" w:cs="微软雅黑"/>
          <w:color w:val="036EB8"/>
          <w:position w:val="-4"/>
          <w:sz w:val="28"/>
          <w:szCs w:val="28"/>
        </w:rPr>
      </w:pPr>
    </w:p>
    <w:p>
      <w:pPr>
        <w:spacing w:before="120" w:line="190" w:lineRule="auto"/>
        <w:rPr>
          <w:rFonts w:ascii="微软雅黑" w:hAnsi="微软雅黑" w:eastAsia="微软雅黑" w:cs="微软雅黑"/>
          <w:color w:val="036EB8"/>
          <w:position w:val="-4"/>
          <w:sz w:val="28"/>
          <w:szCs w:val="28"/>
        </w:rPr>
      </w:pPr>
    </w:p>
    <w:p>
      <w:pPr>
        <w:spacing w:before="120" w:line="190" w:lineRule="auto"/>
        <w:ind w:left="6"/>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9"/>
          <w:sz w:val="28"/>
          <w:szCs w:val="28"/>
          <w:lang w:val="en-US" w:eastAsia="zh-CN"/>
        </w:rPr>
        <w:t>今日关注</w:t>
      </w:r>
    </w:p>
    <w:p>
      <w:pPr>
        <w:spacing w:before="84"/>
      </w:pPr>
    </w:p>
    <w:tbl>
      <w:tblPr>
        <w:tblStyle w:val="11"/>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143"/>
        <w:gridCol w:w="667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2710" w:type="dxa"/>
            <w:gridSpan w:val="2"/>
            <w:shd w:val="clear" w:color="auto" w:fill="3D85C1"/>
            <w:vAlign w:val="top"/>
          </w:tcPr>
          <w:p>
            <w:pPr>
              <w:pStyle w:val="10"/>
              <w:spacing w:before="221" w:line="182" w:lineRule="auto"/>
              <w:ind w:left="1142"/>
              <w:rPr>
                <w:sz w:val="19"/>
                <w:szCs w:val="19"/>
              </w:rPr>
            </w:pPr>
            <w:r>
              <w:rPr>
                <w:b/>
                <w:bCs/>
                <w:color w:val="FFFFFF"/>
                <w:spacing w:val="4"/>
                <w:sz w:val="19"/>
                <w:szCs w:val="19"/>
              </w:rPr>
              <w:t>时间</w:t>
            </w:r>
          </w:p>
        </w:tc>
        <w:tc>
          <w:tcPr>
            <w:tcW w:w="6679" w:type="dxa"/>
            <w:shd w:val="clear" w:color="auto" w:fill="3D85C1"/>
            <w:vAlign w:val="top"/>
          </w:tcPr>
          <w:p>
            <w:pPr>
              <w:pStyle w:val="10"/>
              <w:spacing w:before="221" w:line="195" w:lineRule="auto"/>
              <w:ind w:left="2866"/>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0"/>
              <w:spacing w:before="228"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11</w:t>
            </w:r>
          </w:p>
        </w:tc>
        <w:tc>
          <w:tcPr>
            <w:tcW w:w="1143" w:type="dxa"/>
            <w:vAlign w:val="top"/>
          </w:tcPr>
          <w:p>
            <w:pPr>
              <w:pStyle w:val="10"/>
              <w:spacing w:before="243" w:line="172" w:lineRule="auto"/>
              <w:ind w:left="94" w:leftChars="0"/>
              <w:jc w:val="left"/>
              <w:rPr>
                <w:rFonts w:hint="default"/>
                <w:sz w:val="19"/>
                <w:szCs w:val="19"/>
                <w:lang w:val="en-US"/>
              </w:rPr>
            </w:pPr>
            <w:r>
              <w:rPr>
                <w:rFonts w:hint="eastAsia"/>
                <w:b/>
                <w:bCs/>
                <w:spacing w:val="6"/>
                <w:sz w:val="19"/>
                <w:szCs w:val="19"/>
                <w:lang w:val="en-US" w:eastAsia="zh-CN"/>
              </w:rPr>
              <w:t>14：00</w:t>
            </w:r>
          </w:p>
        </w:tc>
        <w:tc>
          <w:tcPr>
            <w:tcW w:w="6679" w:type="dxa"/>
            <w:vAlign w:val="top"/>
          </w:tcPr>
          <w:p>
            <w:pPr>
              <w:pStyle w:val="10"/>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意大利2月季调后工业产出环比</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11</w:t>
            </w:r>
          </w:p>
        </w:tc>
        <w:tc>
          <w:tcPr>
            <w:tcW w:w="1143" w:type="dxa"/>
            <w:shd w:val="clear" w:color="auto" w:fill="D3EAFF"/>
            <w:vAlign w:val="top"/>
          </w:tcPr>
          <w:p>
            <w:pPr>
              <w:pStyle w:val="10"/>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en-US" w:bidi="ar-SA"/>
              </w:rPr>
            </w:pPr>
            <w:r>
              <w:rPr>
                <w:rFonts w:hint="eastAsia"/>
                <w:b/>
                <w:bCs/>
                <w:spacing w:val="5"/>
                <w:sz w:val="19"/>
                <w:szCs w:val="19"/>
                <w:lang w:val="en-US" w:eastAsia="zh-CN"/>
              </w:rPr>
              <w:t>19：00</w:t>
            </w:r>
          </w:p>
        </w:tc>
        <w:tc>
          <w:tcPr>
            <w:tcW w:w="6679" w:type="dxa"/>
            <w:shd w:val="clear" w:color="auto" w:fill="D3EAFF"/>
            <w:vAlign w:val="top"/>
          </w:tcPr>
          <w:p>
            <w:pPr>
              <w:pStyle w:val="10"/>
              <w:spacing w:before="224" w:line="179" w:lineRule="auto"/>
              <w:jc w:val="center"/>
              <w:rPr>
                <w:rFonts w:hint="default" w:eastAsia="微软雅黑"/>
                <w:sz w:val="19"/>
                <w:szCs w:val="19"/>
                <w:lang w:val="en-US" w:eastAsia="zh-CN"/>
              </w:rPr>
            </w:pPr>
            <w:r>
              <w:rPr>
                <w:rFonts w:hint="eastAsia"/>
                <w:sz w:val="19"/>
                <w:szCs w:val="19"/>
                <w:lang w:val="en-US" w:eastAsia="zh-CN"/>
              </w:rPr>
              <w:t>德国2月末季调经常帐</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0"/>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11</w:t>
            </w:r>
          </w:p>
        </w:tc>
        <w:tc>
          <w:tcPr>
            <w:tcW w:w="1143" w:type="dxa"/>
            <w:vAlign w:val="top"/>
          </w:tcPr>
          <w:p>
            <w:pPr>
              <w:pStyle w:val="10"/>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20：15</w:t>
            </w:r>
          </w:p>
        </w:tc>
        <w:tc>
          <w:tcPr>
            <w:tcW w:w="6679" w:type="dxa"/>
            <w:vAlign w:val="top"/>
          </w:tcPr>
          <w:p>
            <w:pPr>
              <w:pStyle w:val="10"/>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欧洲央行公布利率决议</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0"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11</w:t>
            </w:r>
          </w:p>
        </w:tc>
        <w:tc>
          <w:tcPr>
            <w:tcW w:w="1143" w:type="dxa"/>
            <w:shd w:val="clear" w:color="auto" w:fill="D3EAFF"/>
            <w:vAlign w:val="top"/>
          </w:tcPr>
          <w:p>
            <w:pPr>
              <w:pStyle w:val="10"/>
              <w:spacing w:before="245" w:line="172" w:lineRule="auto"/>
              <w:ind w:left="101" w:leftChars="0"/>
              <w:jc w:val="left"/>
              <w:rPr>
                <w:rFonts w:hint="default" w:eastAsia="微软雅黑"/>
                <w:sz w:val="19"/>
                <w:szCs w:val="19"/>
                <w:lang w:val="en-US" w:eastAsia="zh-CN"/>
              </w:rPr>
            </w:pPr>
            <w:r>
              <w:rPr>
                <w:rFonts w:hint="eastAsia"/>
                <w:b/>
                <w:bCs/>
                <w:spacing w:val="5"/>
                <w:sz w:val="19"/>
                <w:szCs w:val="19"/>
                <w:lang w:val="en-US" w:eastAsia="zh-CN"/>
              </w:rPr>
              <w:t>20：30</w:t>
            </w:r>
          </w:p>
        </w:tc>
        <w:tc>
          <w:tcPr>
            <w:tcW w:w="6679" w:type="dxa"/>
            <w:shd w:val="clear" w:color="auto" w:fill="D3EAFF"/>
            <w:vAlign w:val="top"/>
          </w:tcPr>
          <w:p>
            <w:pPr>
              <w:pStyle w:val="10"/>
              <w:spacing w:before="224" w:line="179" w:lineRule="auto"/>
              <w:jc w:val="center"/>
              <w:rPr>
                <w:rFonts w:hint="default" w:eastAsia="微软雅黑"/>
                <w:sz w:val="19"/>
                <w:szCs w:val="19"/>
                <w:lang w:val="en-US" w:eastAsia="zh-CN"/>
              </w:rPr>
            </w:pPr>
            <w:r>
              <w:rPr>
                <w:rFonts w:hint="eastAsia"/>
                <w:sz w:val="19"/>
                <w:szCs w:val="19"/>
                <w:lang w:val="en-US" w:eastAsia="zh-CN"/>
              </w:rPr>
              <w:t>美国3月30日当周续请失业救济人数、4月6日当周首次申请失业救济人数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0"/>
              <w:spacing w:before="231"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11</w:t>
            </w:r>
          </w:p>
        </w:tc>
        <w:tc>
          <w:tcPr>
            <w:tcW w:w="1143" w:type="dxa"/>
            <w:vAlign w:val="top"/>
          </w:tcPr>
          <w:p>
            <w:pPr>
              <w:pStyle w:val="10"/>
              <w:spacing w:before="245" w:line="172" w:lineRule="auto"/>
              <w:ind w:left="101" w:leftChars="0"/>
              <w:jc w:val="left"/>
              <w:rPr>
                <w:rFonts w:hint="default" w:eastAsia="微软雅黑"/>
                <w:sz w:val="19"/>
                <w:szCs w:val="19"/>
                <w:lang w:val="en-US" w:eastAsia="zh-CN"/>
              </w:rPr>
            </w:pPr>
            <w:r>
              <w:rPr>
                <w:rFonts w:hint="eastAsia"/>
                <w:b/>
                <w:bCs/>
                <w:spacing w:val="5"/>
                <w:sz w:val="19"/>
                <w:szCs w:val="19"/>
                <w:lang w:val="en-US" w:eastAsia="zh-CN"/>
              </w:rPr>
              <w:t>20：30</w:t>
            </w:r>
          </w:p>
        </w:tc>
        <w:tc>
          <w:tcPr>
            <w:tcW w:w="6679" w:type="dxa"/>
            <w:vAlign w:val="top"/>
          </w:tcPr>
          <w:p>
            <w:pPr>
              <w:pStyle w:val="10"/>
              <w:spacing w:before="224" w:line="180" w:lineRule="auto"/>
              <w:jc w:val="center"/>
              <w:rPr>
                <w:rFonts w:hint="default" w:eastAsia="微软雅黑"/>
                <w:sz w:val="19"/>
                <w:szCs w:val="19"/>
                <w:lang w:val="en-US" w:eastAsia="zh-CN"/>
              </w:rPr>
            </w:pPr>
            <w:r>
              <w:rPr>
                <w:rFonts w:hint="eastAsia"/>
                <w:sz w:val="19"/>
                <w:szCs w:val="19"/>
                <w:lang w:val="en-US" w:eastAsia="zh-CN"/>
              </w:rPr>
              <w:t>美国3月核心PPI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1"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11</w:t>
            </w:r>
          </w:p>
        </w:tc>
        <w:tc>
          <w:tcPr>
            <w:tcW w:w="1143" w:type="dxa"/>
            <w:shd w:val="clear" w:color="auto" w:fill="D3EAFF"/>
            <w:vAlign w:val="top"/>
          </w:tcPr>
          <w:p>
            <w:pPr>
              <w:pStyle w:val="10"/>
              <w:spacing w:before="245" w:line="172" w:lineRule="auto"/>
              <w:ind w:left="101" w:leftChars="0"/>
              <w:jc w:val="left"/>
              <w:rPr>
                <w:rFonts w:hint="default" w:eastAsia="微软雅黑"/>
                <w:sz w:val="19"/>
                <w:szCs w:val="19"/>
                <w:lang w:val="en-US" w:eastAsia="zh-CN"/>
              </w:rPr>
            </w:pPr>
            <w:r>
              <w:rPr>
                <w:rFonts w:hint="eastAsia"/>
                <w:b/>
                <w:bCs/>
                <w:spacing w:val="5"/>
                <w:sz w:val="19"/>
                <w:szCs w:val="19"/>
                <w:lang w:val="en-US" w:eastAsia="zh-CN"/>
              </w:rPr>
              <w:t>20：45</w:t>
            </w:r>
          </w:p>
        </w:tc>
        <w:tc>
          <w:tcPr>
            <w:tcW w:w="6679" w:type="dxa"/>
            <w:shd w:val="clear" w:color="auto" w:fill="D3EAFF"/>
            <w:vAlign w:val="top"/>
          </w:tcPr>
          <w:p>
            <w:pPr>
              <w:pStyle w:val="10"/>
              <w:spacing w:before="224" w:line="180" w:lineRule="auto"/>
              <w:jc w:val="center"/>
              <w:rPr>
                <w:rFonts w:hint="default" w:eastAsia="微软雅黑"/>
                <w:sz w:val="19"/>
                <w:szCs w:val="19"/>
                <w:lang w:val="en-US" w:eastAsia="zh-CN"/>
              </w:rPr>
            </w:pPr>
            <w:r>
              <w:rPr>
                <w:rFonts w:hint="eastAsia"/>
                <w:sz w:val="19"/>
                <w:szCs w:val="19"/>
                <w:lang w:val="en-US" w:eastAsia="zh-CN"/>
              </w:rPr>
              <w:t>欧洲央行行长拉加德召开货币政策新闻发布会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0"/>
              <w:spacing w:before="231"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11</w:t>
            </w:r>
          </w:p>
        </w:tc>
        <w:tc>
          <w:tcPr>
            <w:tcW w:w="1143" w:type="dxa"/>
            <w:vAlign w:val="top"/>
          </w:tcPr>
          <w:p>
            <w:pPr>
              <w:pStyle w:val="10"/>
              <w:spacing w:before="245" w:line="172" w:lineRule="auto"/>
              <w:ind w:left="101" w:leftChars="0"/>
              <w:jc w:val="left"/>
              <w:rPr>
                <w:rFonts w:hint="default" w:eastAsia="微软雅黑"/>
                <w:sz w:val="19"/>
                <w:szCs w:val="19"/>
                <w:lang w:val="en-US" w:eastAsia="zh-CN"/>
              </w:rPr>
            </w:pPr>
            <w:r>
              <w:rPr>
                <w:rFonts w:hint="eastAsia"/>
                <w:b/>
                <w:bCs/>
                <w:spacing w:val="5"/>
                <w:sz w:val="19"/>
                <w:szCs w:val="19"/>
                <w:lang w:val="en-US" w:eastAsia="zh-CN"/>
              </w:rPr>
              <w:t>23：00</w:t>
            </w:r>
          </w:p>
        </w:tc>
        <w:tc>
          <w:tcPr>
            <w:tcW w:w="6679" w:type="dxa"/>
            <w:vAlign w:val="top"/>
          </w:tcPr>
          <w:p>
            <w:pPr>
              <w:pStyle w:val="10"/>
              <w:spacing w:before="224" w:line="180" w:lineRule="auto"/>
              <w:jc w:val="center"/>
              <w:rPr>
                <w:rFonts w:hint="default" w:eastAsia="微软雅黑"/>
                <w:sz w:val="19"/>
                <w:szCs w:val="19"/>
                <w:lang w:val="en-US" w:eastAsia="zh-CN"/>
              </w:rPr>
            </w:pPr>
            <w:r>
              <w:rPr>
                <w:rFonts w:hint="default" w:eastAsia="微软雅黑"/>
                <w:sz w:val="19"/>
                <w:szCs w:val="19"/>
                <w:lang w:val="en-US" w:eastAsia="zh-CN"/>
              </w:rPr>
              <w:t>欧佩克公布月度原油市场报告</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1" w:line="191" w:lineRule="auto"/>
              <w:ind w:left="449" w:leftChars="0"/>
              <w:rPr>
                <w:rFonts w:hint="eastAsia" w:eastAsia="微软雅黑"/>
                <w:sz w:val="19"/>
                <w:szCs w:val="19"/>
                <w:lang w:val="en-US" w:eastAsia="zh-CN"/>
              </w:rPr>
            </w:pPr>
            <w:r>
              <w:rPr>
                <w:rFonts w:hint="eastAsia"/>
                <w:b/>
                <w:bCs/>
                <w:spacing w:val="3"/>
                <w:sz w:val="19"/>
                <w:szCs w:val="19"/>
                <w:lang w:val="en-US" w:eastAsia="zh-CN"/>
              </w:rPr>
              <w:t>次日</w:t>
            </w:r>
          </w:p>
        </w:tc>
        <w:tc>
          <w:tcPr>
            <w:tcW w:w="1143" w:type="dxa"/>
            <w:shd w:val="clear" w:color="auto" w:fill="D3EAFF"/>
            <w:vAlign w:val="top"/>
          </w:tcPr>
          <w:p>
            <w:pPr>
              <w:pStyle w:val="10"/>
              <w:spacing w:before="245" w:line="172" w:lineRule="auto"/>
              <w:ind w:left="101" w:leftChars="0"/>
              <w:jc w:val="left"/>
              <w:rPr>
                <w:rFonts w:hint="default" w:eastAsia="微软雅黑"/>
                <w:sz w:val="19"/>
                <w:szCs w:val="19"/>
                <w:lang w:val="en-US" w:eastAsia="zh-CN"/>
              </w:rPr>
            </w:pPr>
            <w:r>
              <w:rPr>
                <w:rFonts w:hint="eastAsia"/>
                <w:b/>
                <w:bCs/>
                <w:spacing w:val="5"/>
                <w:sz w:val="19"/>
                <w:szCs w:val="19"/>
                <w:lang w:val="en-US" w:eastAsia="zh-CN"/>
              </w:rPr>
              <w:t>01：00</w:t>
            </w:r>
          </w:p>
        </w:tc>
        <w:tc>
          <w:tcPr>
            <w:tcW w:w="6679" w:type="dxa"/>
            <w:shd w:val="clear" w:color="auto" w:fill="D3EAFF"/>
            <w:vAlign w:val="top"/>
          </w:tcPr>
          <w:p>
            <w:pPr>
              <w:pStyle w:val="10"/>
              <w:spacing w:before="224" w:line="180" w:lineRule="auto"/>
              <w:jc w:val="center"/>
              <w:rPr>
                <w:rFonts w:hint="default" w:eastAsia="微软雅黑"/>
                <w:sz w:val="19"/>
                <w:szCs w:val="19"/>
                <w:lang w:val="en-US" w:eastAsia="zh-CN"/>
              </w:rPr>
            </w:pPr>
            <w:r>
              <w:rPr>
                <w:rFonts w:hint="eastAsia"/>
                <w:sz w:val="19"/>
                <w:szCs w:val="19"/>
                <w:lang w:val="en-US" w:eastAsia="zh-CN"/>
              </w:rPr>
              <w:t>美国30年期国债竞拍中标利率</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0"/>
              <w:spacing w:before="231" w:line="191" w:lineRule="auto"/>
              <w:ind w:left="449" w:leftChars="0"/>
              <w:rPr>
                <w:rFonts w:hint="eastAsia" w:ascii="微软雅黑" w:hAnsi="微软雅黑" w:eastAsia="微软雅黑" w:cs="微软雅黑"/>
                <w:snapToGrid w:val="0"/>
                <w:color w:val="000000"/>
                <w:kern w:val="0"/>
                <w:sz w:val="19"/>
                <w:szCs w:val="19"/>
                <w:lang w:val="en-US" w:eastAsia="zh-CN" w:bidi="ar-SA"/>
              </w:rPr>
            </w:pPr>
            <w:r>
              <w:rPr>
                <w:rFonts w:hint="eastAsia"/>
                <w:b/>
                <w:bCs/>
                <w:spacing w:val="3"/>
                <w:sz w:val="19"/>
                <w:szCs w:val="19"/>
                <w:lang w:val="en-US" w:eastAsia="zh-CN"/>
              </w:rPr>
              <w:t>次日</w:t>
            </w:r>
          </w:p>
        </w:tc>
        <w:tc>
          <w:tcPr>
            <w:tcW w:w="1143" w:type="dxa"/>
            <w:vAlign w:val="top"/>
          </w:tcPr>
          <w:p>
            <w:pPr>
              <w:pStyle w:val="10"/>
              <w:spacing w:before="245" w:line="172" w:lineRule="auto"/>
              <w:ind w:left="101" w:leftChars="0"/>
              <w:jc w:val="left"/>
              <w:rPr>
                <w:rFonts w:hint="eastAsia"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04：00</w:t>
            </w:r>
          </w:p>
        </w:tc>
        <w:tc>
          <w:tcPr>
            <w:tcW w:w="6679" w:type="dxa"/>
            <w:vAlign w:val="top"/>
          </w:tcPr>
          <w:p>
            <w:pPr>
              <w:pStyle w:val="10"/>
              <w:spacing w:before="224" w:line="180" w:lineRule="auto"/>
              <w:jc w:val="center"/>
              <w:rPr>
                <w:rFonts w:hint="default" w:eastAsia="微软雅黑"/>
                <w:sz w:val="19"/>
                <w:szCs w:val="19"/>
                <w:lang w:val="en-US" w:eastAsia="zh-CN"/>
              </w:rPr>
            </w:pPr>
            <w:r>
              <w:rPr>
                <w:rFonts w:hint="eastAsia"/>
                <w:sz w:val="19"/>
                <w:szCs w:val="19"/>
                <w:lang w:val="en-US" w:eastAsia="zh-CN"/>
              </w:rPr>
              <w:t>上周外国央行持有美国国债</w:t>
            </w:r>
          </w:p>
        </w:tc>
      </w:tr>
    </w:tbl>
    <w:p>
      <w:pPr>
        <w:spacing w:before="120" w:line="190" w:lineRule="auto"/>
        <w:rPr>
          <w:rFonts w:ascii="微软雅黑" w:hAnsi="微软雅黑" w:eastAsia="微软雅黑" w:cs="微软雅黑"/>
          <w:color w:val="036EB8"/>
          <w:position w:val="-4"/>
          <w:sz w:val="28"/>
          <w:szCs w:val="28"/>
        </w:rPr>
      </w:pPr>
    </w:p>
    <w:p>
      <w:pPr>
        <w:spacing w:before="120" w:line="190" w:lineRule="auto"/>
        <w:rPr>
          <w:rFonts w:ascii="微软雅黑" w:hAnsi="微软雅黑" w:eastAsia="微软雅黑" w:cs="微软雅黑"/>
          <w:color w:val="036EB8"/>
          <w:position w:val="-4"/>
          <w:sz w:val="28"/>
          <w:szCs w:val="28"/>
        </w:rPr>
      </w:pPr>
    </w:p>
    <w:p>
      <w:pPr>
        <w:spacing w:before="120" w:line="190" w:lineRule="auto"/>
        <w:rPr>
          <w:rFonts w:ascii="微软雅黑" w:hAnsi="微软雅黑" w:eastAsia="微软雅黑" w:cs="微软雅黑"/>
          <w:color w:val="036EB8"/>
          <w:position w:val="-4"/>
          <w:sz w:val="28"/>
          <w:szCs w:val="28"/>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8" name="IM 14"/>
            <wp:cNvGraphicFramePr/>
            <a:graphic xmlns:a="http://schemas.openxmlformats.org/drawingml/2006/main">
              <a:graphicData uri="http://schemas.openxmlformats.org/drawingml/2006/picture">
                <pic:pic xmlns:pic="http://schemas.openxmlformats.org/drawingml/2006/picture">
                  <pic:nvPicPr>
                    <pic:cNvPr id="8"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观点汇总</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美元指数</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截至周四，美元指数涨1.04%报105.20，非美货币普遍下跌，欧元兑美元跌1.06%报1.0742，英镑兑美元跌1.07%报1.2540，澳元兑美元跌1.75%报0.6513，美元兑日元涨0.91%报153.17。昨日公布的美国3月CPI数据涨幅超出预期，其中整体通胀增速受能源价格上涨影响不降反升，而核心通胀在劳动力相关价格持续上涨且住房价格维持于高位的状态下停止下滑，数据公布后市场再次下调年内美联储降息预期，利率预期走强导致国债收益率上涨。往后看，短期内美元指数受美国利率预期走强且非美国家降息预期提前的影响或持续得到一定支撑。</w:t>
      </w:r>
    </w:p>
    <w:p>
      <w:pPr>
        <w:spacing w:before="103" w:line="256" w:lineRule="auto"/>
        <w:ind w:right="743"/>
        <w:jc w:val="both"/>
      </w:pPr>
      <w:r>
        <w:drawing>
          <wp:inline distT="0" distB="0" distL="114300" distR="114300">
            <wp:extent cx="6113780" cy="2637790"/>
            <wp:effectExtent l="0" t="0" r="1270" b="1016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6113780" cy="2637790"/>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S&amp;P500</w:t>
      </w:r>
    </w:p>
    <w:p>
      <w:pPr>
        <w:spacing w:before="103" w:line="256" w:lineRule="auto"/>
        <w:ind w:left="3" w:right="743" w:firstLine="535"/>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12"/>
          <w:sz w:val="24"/>
          <w:szCs w:val="24"/>
        </w:rPr>
        <w:t>截至4月11日，标普500指数收跌0.95%至5160.64点；迷你标普500主力合约收跌1.17%至5203.75点。美股周三收低，道指下跌逾420点。美国3月CPI数据超预期</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rPr>
        <w:t>显示通胀压力仍然高企，使市场降低了对美联储降息的押注。美联储会议纪要显示央行希望对通胀率向2%目标迈进更有信心。策略上，短线观望为主。详细支撑阻力位请见图表</w:t>
      </w:r>
      <w:r>
        <w:rPr>
          <w:rFonts w:hint="eastAsia" w:ascii="微软雅黑" w:hAnsi="微软雅黑" w:eastAsia="微软雅黑" w:cs="微软雅黑"/>
          <w:spacing w:val="12"/>
          <w:sz w:val="24"/>
          <w:szCs w:val="24"/>
          <w:lang w:val="en-US" w:eastAsia="zh-CN"/>
        </w:rPr>
        <w:t>3。</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3</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S&amp;P500走势图</w:t>
      </w:r>
    </w:p>
    <w:p>
      <w:pPr>
        <w:spacing w:before="120" w:line="190" w:lineRule="auto"/>
        <w:jc w:val="both"/>
        <w:rPr>
          <w:rFonts w:ascii="新宋体" w:hAnsi="新宋体" w:eastAsia="新宋体"/>
          <w:b/>
        </w:rPr>
      </w:pPr>
      <w:r>
        <w:drawing>
          <wp:inline distT="0" distB="0" distL="0" distR="0">
            <wp:extent cx="5912485" cy="2418080"/>
            <wp:effectExtent l="0" t="0" r="12065"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4"/>
                    <a:stretch>
                      <a:fillRect/>
                    </a:stretch>
                  </pic:blipFill>
                  <pic:spPr>
                    <a:xfrm>
                      <a:off x="0" y="0"/>
                      <a:ext cx="5912485" cy="2418080"/>
                    </a:xfrm>
                    <a:prstGeom prst="rect">
                      <a:avLst/>
                    </a:prstGeom>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235" w:line="176"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富时中国A50</w:t>
      </w:r>
    </w:p>
    <w:p>
      <w:pPr>
        <w:spacing w:before="103" w:line="256" w:lineRule="auto"/>
        <w:ind w:right="743" w:firstLine="528" w:firstLineChars="200"/>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截至4月10日，富时中国A50指数收跌0.42%至12039.34点；新交所富时A50期指主力合约收跌0.33%至12052点。当前市场处于国内经济预期和全球流动性预期的修正期，市场正从增量资金推动转变为存量资金博弈。美债收益率上行，美元指数波动放大，美联储降息预期降温，时点上分歧较大，考虑到当前通胀水平与经济韧性，预计三季度后降息概率更高。整体来看，反弹行情的延续取决于宏微观基本面数据验证情况。策略上，短线观望为主。详细支撑阻力位请见图表4。</w:t>
      </w:r>
    </w:p>
    <w:p>
      <w:pPr>
        <w:spacing w:before="103" w:line="256" w:lineRule="auto"/>
        <w:ind w:right="743"/>
        <w:jc w:val="both"/>
        <w:rPr>
          <w:rFonts w:ascii="新宋体" w:hAnsi="新宋体" w:eastAsia="新宋体"/>
        </w:rPr>
      </w:pPr>
      <w:r>
        <w:drawing>
          <wp:inline distT="0" distB="0" distL="0" distR="0">
            <wp:extent cx="5988050" cy="2182495"/>
            <wp:effectExtent l="0" t="0" r="1270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5"/>
                    <a:stretch>
                      <a:fillRect/>
                    </a:stretch>
                  </pic:blipFill>
                  <pic:spPr>
                    <a:xfrm>
                      <a:off x="0" y="0"/>
                      <a:ext cx="5988050" cy="2182495"/>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新宋体" w:hAnsi="新宋体" w:eastAsia="新宋体"/>
        </w:rPr>
      </w:pPr>
      <w:r>
        <w:rPr>
          <w:rFonts w:hint="eastAsia" w:ascii="微软雅黑" w:hAnsi="微软雅黑" w:eastAsia="微软雅黑" w:cs="微软雅黑"/>
          <w:b/>
          <w:bCs/>
          <w:spacing w:val="12"/>
          <w:sz w:val="24"/>
          <w:szCs w:val="24"/>
          <w:lang w:val="en-US" w:eastAsia="zh-CN"/>
        </w:rPr>
        <w:t>铜</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国际方面，美国3月CPI涨幅超预期，打压美联储降息预期，美联储6月降息概率骤降已不足20%，市场对美联储年内降息次数预期已降至两次。国内方面，财政部表示，很遗憾看到惠誉调降中国主权信用评级展望，但该评级未能有效前瞻性反映财政政策“适度加力、提质增效”对推动经济增长、进而稳定宏观杠杆率的正面作用。中国经济长期向好的趋势没有改变，中国政府维护良好主权信用的能力和决心也没有改变。基本面上，铜精矿国内报价小幅上涨状态，原材料供应趋紧暂无明显改善迹象，需求方面整体预期向好，下游铜材加工产能利用率已逐步回归常态。在供给偏紧，需求向好的背景下，铜价仍有保持偏强运行的可能，但仍需谨慎短期内美元偏强带来的压制。操作建议，轻仓震荡交易，注意控制节奏及交易风险。</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5：</w:t>
      </w:r>
      <w:r>
        <w:rPr>
          <w:rFonts w:hint="eastAsia" w:ascii="微软雅黑" w:hAnsi="微软雅黑" w:eastAsia="微软雅黑" w:cs="微软雅黑"/>
          <w:spacing w:val="7"/>
          <w:sz w:val="21"/>
          <w:szCs w:val="21"/>
        </w:rPr>
        <w:t>COMEX铜日线走势图</w:t>
      </w:r>
    </w:p>
    <w:p>
      <w:pPr>
        <w:spacing w:before="103" w:line="256" w:lineRule="auto"/>
        <w:ind w:right="743"/>
        <w:jc w:val="both"/>
      </w:pPr>
      <w:r>
        <w:drawing>
          <wp:inline distT="0" distB="0" distL="0" distR="0">
            <wp:extent cx="6207125" cy="2175510"/>
            <wp:effectExtent l="0" t="0" r="3175" b="152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a:stretch>
                      <a:fillRect/>
                    </a:stretch>
                  </pic:blipFill>
                  <pic:spPr>
                    <a:xfrm>
                      <a:off x="0" y="0"/>
                      <a:ext cx="6207125" cy="2175510"/>
                    </a:xfrm>
                    <a:prstGeom prst="rect">
                      <a:avLst/>
                    </a:prstGeom>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pPr>
    </w:p>
    <w:p>
      <w:pPr>
        <w:spacing w:before="103" w:line="256" w:lineRule="auto"/>
        <w:ind w:right="743"/>
        <w:jc w:val="both"/>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黄金</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消息面：昨日公布的美国3月CPI数据涨幅超出预期，其中整体通胀增速受能源价格上涨影响不降反升，而核心通胀在劳动力相关价格持续上涨且住房价格维持于高位的状态下停止下滑，数据公布后市场再次下调年内美联储降息预期，利率预期走强导致国债收益率上涨。</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外盘持仓方面：截至4月10日，SPDR Gold Trust黄金ETF持仓量为828.45吨，较上一交易日减少0.26吨。</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往后看，短期内美元指数受美国利率预期走强且非美国家降息预期提前的影响或持续得到一定支撑，贵金属价格或相对承压。操作上建议，日内轻仓做空，请投资者注意风险控制。</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图6</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COMEX黄金日线走势图</w:t>
      </w:r>
      <w:r>
        <w:rPr>
          <w:rFonts w:hint="eastAsia" w:ascii="微软雅黑" w:hAnsi="微软雅黑" w:eastAsia="微软雅黑" w:cs="微软雅黑"/>
          <w:spacing w:val="7"/>
          <w:sz w:val="21"/>
          <w:szCs w:val="21"/>
          <w:lang w:val="en-US" w:eastAsia="zh-CN"/>
        </w:rPr>
        <w:t xml:space="preserve">  </w:t>
      </w:r>
    </w:p>
    <w:p>
      <w:pPr>
        <w:spacing w:before="103" w:line="256" w:lineRule="auto"/>
        <w:ind w:right="743"/>
        <w:jc w:val="both"/>
      </w:pPr>
      <w:r>
        <w:drawing>
          <wp:inline distT="0" distB="0" distL="114300" distR="114300">
            <wp:extent cx="6146800" cy="1863090"/>
            <wp:effectExtent l="0" t="0" r="635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6146800" cy="1863090"/>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left="528" w:right="743" w:hanging="528" w:hangingChars="200"/>
        <w:jc w:val="both"/>
        <w:rPr>
          <w:rFonts w:hint="eastAsia" w:ascii="微软雅黑" w:hAnsi="微软雅黑" w:eastAsia="微软雅黑" w:cs="微软雅黑"/>
          <w:b/>
          <w:bCs/>
          <w:spacing w:val="12"/>
          <w:sz w:val="24"/>
          <w:szCs w:val="24"/>
          <w:lang w:val="en-US" w:eastAsia="zh-CN"/>
        </w:rPr>
      </w:pPr>
    </w:p>
    <w:p>
      <w:pPr>
        <w:spacing w:before="103" w:line="256" w:lineRule="auto"/>
        <w:ind w:left="528" w:right="743" w:hanging="528" w:hangingChars="200"/>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原油</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纽约再资本公司的合伙人约翰基多夫表示，原油期市一直并将继续对来自加沙的消息做出强烈反应。</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周三以色列军方证实发动了这次袭击，并称哈马斯领导人的三个儿子是哈马斯特工。</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周二，哈马斯表示正在研究以色列提出的停火提议，但是称该提议没有满足巴勒斯坦人提出的任何要求。</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如果巴以冲突持续，可能会导致其他国家卷入冲突，特别是伊朗，该组织是欧佩克的的第三大产油国。上周一，以色列空袭伊朗驻大马士革领事馆，导致包括两名高级伊朗将领在内的7人丧生。伊朗最高领导人誓言将会做出报复。周三以色列威胁将直接攻击伊朗，如果伊朗实施报复。</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从供应面看，墨西哥决定限制原油出口以供应国内炼油厂，也对油价构成支持。</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墨西哥决定限制原油出口以供应国内炼油厂，这导致4月初美国从墨西哥进口的原油数量降至创历史新低。</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周三早上美国能源信息署公布的数据显示，由于需求疲软且出口下降，上周美国原油和燃料库存增幅远超预期，导致油价早盘下跌。截至4月5日当周，美国原油库存增加580万桶，是分析师预期增幅约240万桶的两倍多。成品油库存也意外增加，其中汽油库存增加70万桶，馏分油库存增加170万桶。美国能源信息署数据还显示，上周代表燃料需求的成品油供应量减少约210万桶/日，原油出口量减少270万桶/日。</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美国能源信息署周二上调原油产量预期，预计2024年产量将增加28万桶/日，达到1,321万桶/日，比3月份预测的增幅调高了2万桶/日。</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尽管产量上调，EIA预计2024年布伦特原油均价将达到每桶88.55美元，高于此前预测的每桶87美元，并上调了过去两年的需求增长预测。</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北欧斯安银行分析师指出，EIA的报告再次确认了原油市场前景，显示欧佩克联盟对原油市场的良好控制。</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纽约商品期货交易所（NYMEX）的西德克萨斯中质原油（WTI）5月合约较上一交易日上涨0.98美元或1.2%，报86.21美元/桶，短期呈现强势震荡走势。支撑位：83.3；压力位：87。</w:t>
      </w:r>
    </w:p>
    <w:p>
      <w:pPr>
        <w:spacing w:before="103" w:line="256" w:lineRule="auto"/>
        <w:ind w:right="743"/>
        <w:jc w:val="both"/>
        <w:rPr>
          <w:rFonts w:hint="eastAsia" w:ascii="微软雅黑" w:hAnsi="微软雅黑" w:eastAsia="微软雅黑" w:cs="微软雅黑"/>
          <w:spacing w:val="12"/>
          <w:sz w:val="24"/>
          <w:szCs w:val="24"/>
          <w:lang w:val="en-US" w:eastAsia="zh-CN"/>
        </w:rPr>
      </w:pPr>
    </w:p>
    <w:p>
      <w:pPr>
        <w:spacing w:before="103" w:line="256" w:lineRule="auto"/>
        <w:ind w:right="743"/>
        <w:jc w:val="both"/>
        <w:rPr>
          <w:rFonts w:hint="eastAsia" w:ascii="微软雅黑" w:hAnsi="微软雅黑" w:eastAsia="微软雅黑" w:cs="微软雅黑"/>
          <w:spacing w:val="12"/>
          <w:sz w:val="24"/>
          <w:szCs w:val="24"/>
          <w:lang w:val="en-US" w:eastAsia="zh-CN"/>
        </w:rPr>
      </w:pP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lang w:val="en-US" w:eastAsia="zh-CN"/>
        </w:rPr>
        <w:t>图7：原油（WTI）</w:t>
      </w:r>
    </w:p>
    <w:p>
      <w:pPr>
        <w:spacing w:before="103" w:line="256" w:lineRule="auto"/>
        <w:ind w:right="743"/>
        <w:jc w:val="both"/>
        <w:rPr>
          <w:rFonts w:hint="eastAsia" w:ascii="微软雅黑" w:hAnsi="微软雅黑" w:eastAsia="微软雅黑" w:cs="微软雅黑"/>
          <w:spacing w:val="12"/>
          <w:sz w:val="24"/>
          <w:szCs w:val="24"/>
        </w:rPr>
      </w:pPr>
      <w:r>
        <w:drawing>
          <wp:inline distT="0" distB="0" distL="0" distR="0">
            <wp:extent cx="6026150" cy="2726055"/>
            <wp:effectExtent l="0" t="0" r="12700" b="171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stretch>
                      <a:fillRect/>
                    </a:stretch>
                  </pic:blipFill>
                  <pic:spPr>
                    <a:xfrm>
                      <a:off x="0" y="0"/>
                      <a:ext cx="6026150" cy="2726055"/>
                    </a:xfrm>
                    <a:prstGeom prst="rect">
                      <a:avLst/>
                    </a:prstGeom>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default"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ICE</w:t>
      </w:r>
      <w:bookmarkStart w:id="0" w:name="OLE_LINK3"/>
      <w:bookmarkStart w:id="1" w:name="OLE_LINK4"/>
      <w:r>
        <w:rPr>
          <w:rFonts w:hint="eastAsia" w:ascii="微软雅黑" w:hAnsi="微软雅黑" w:eastAsia="微软雅黑" w:cs="微软雅黑"/>
          <w:b/>
          <w:bCs/>
          <w:spacing w:val="12"/>
          <w:sz w:val="24"/>
          <w:szCs w:val="24"/>
          <w:lang w:val="en-US" w:eastAsia="zh-CN"/>
        </w:rPr>
        <w:t>棉花</w:t>
      </w:r>
    </w:p>
    <w:bookmarkEnd w:id="0"/>
    <w:bookmarkEnd w:id="1"/>
    <w:p>
      <w:pPr>
        <w:spacing w:before="103" w:line="256" w:lineRule="auto"/>
        <w:ind w:right="743" w:firstLine="528" w:firstLineChars="200"/>
        <w:jc w:val="both"/>
        <w:rPr>
          <w:rFonts w:hint="eastAsia" w:ascii="微软雅黑" w:hAnsi="微软雅黑" w:eastAsia="微软雅黑" w:cs="微软雅黑"/>
          <w:spacing w:val="7"/>
          <w:sz w:val="21"/>
          <w:szCs w:val="21"/>
          <w:lang w:val="zh-CN" w:eastAsia="zh-CN"/>
        </w:rPr>
      </w:pPr>
      <w:r>
        <w:rPr>
          <w:rFonts w:hint="eastAsia" w:ascii="微软雅黑" w:hAnsi="微软雅黑" w:eastAsia="微软雅黑" w:cs="微软雅黑"/>
          <w:spacing w:val="12"/>
          <w:sz w:val="24"/>
          <w:szCs w:val="24"/>
        </w:rPr>
        <w:t>洲际交易所(ICE)棉花期货周三跌至两个多月最低水平。受美元飙升及市场悲观情绪打压，交投最活跃的ICE 5月期棉收跌0.73美分或0.80%，收盘价报85.31分/磅</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rPr>
        <w:t>操作上，建议5月ICE期棉短期暂且观望为宜。</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8：ICE棉花</w:t>
      </w:r>
      <w:r>
        <w:rPr>
          <w:rFonts w:hint="eastAsia" w:ascii="微软雅黑" w:hAnsi="微软雅黑" w:eastAsia="微软雅黑" w:cs="微软雅黑"/>
          <w:spacing w:val="7"/>
          <w:sz w:val="21"/>
          <w:szCs w:val="21"/>
          <w:lang w:val="zh-CN" w:eastAsia="zh-CN"/>
        </w:rPr>
        <w:t>期货主力合约日走势图及支撑位、阻力位</w:t>
      </w:r>
    </w:p>
    <w:p>
      <w:pPr>
        <w:spacing w:before="103" w:line="256" w:lineRule="auto"/>
        <w:ind w:right="743"/>
        <w:jc w:val="both"/>
        <w:rPr>
          <w:rFonts w:hint="eastAsia" w:ascii="微软雅黑" w:hAnsi="微软雅黑" w:eastAsia="微软雅黑" w:cs="微软雅黑"/>
          <w:spacing w:val="7"/>
          <w:sz w:val="21"/>
          <w:szCs w:val="21"/>
          <w:lang w:val="zh-CN" w:eastAsia="zh-CN"/>
        </w:rPr>
      </w:pPr>
      <w:r>
        <w:rPr>
          <w:rFonts w:hint="eastAsia" w:ascii="微软雅黑" w:hAnsi="微软雅黑" w:eastAsia="微软雅黑" w:cs="微软雅黑"/>
          <w:spacing w:val="7"/>
          <w:sz w:val="21"/>
          <w:szCs w:val="21"/>
          <w:lang w:val="zh-CN" w:eastAsia="zh-CN"/>
        </w:rPr>
        <w:drawing>
          <wp:inline distT="0" distB="0" distL="114300" distR="114300">
            <wp:extent cx="6066790" cy="2461260"/>
            <wp:effectExtent l="0" t="0" r="10160" b="15240"/>
            <wp:docPr id="16" name="图片 16" descr="96b982eddda7eebb552e01a3fa0a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6b982eddda7eebb552e01a3fa0a053"/>
                    <pic:cNvPicPr>
                      <a:picLocks noChangeAspect="1"/>
                    </pic:cNvPicPr>
                  </pic:nvPicPr>
                  <pic:blipFill>
                    <a:blip r:embed="rId19"/>
                    <a:stretch>
                      <a:fillRect/>
                    </a:stretch>
                  </pic:blipFill>
                  <pic:spPr>
                    <a:xfrm>
                      <a:off x="0" y="0"/>
                      <a:ext cx="6066790" cy="2461260"/>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default"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ICE原糖</w:t>
      </w:r>
    </w:p>
    <w:p>
      <w:pPr>
        <w:spacing w:before="103" w:line="256" w:lineRule="auto"/>
        <w:ind w:left="3" w:right="743" w:firstLine="535"/>
        <w:jc w:val="both"/>
        <w:rPr>
          <w:rFonts w:hint="eastAsia" w:ascii="微软雅黑" w:hAnsi="微软雅黑" w:eastAsia="微软雅黑" w:cs="微软雅黑"/>
          <w:spacing w:val="7"/>
          <w:sz w:val="21"/>
          <w:szCs w:val="21"/>
          <w:lang w:val="zh-CN" w:eastAsia="zh-CN"/>
        </w:rPr>
      </w:pPr>
      <w:r>
        <w:rPr>
          <w:rFonts w:hint="eastAsia" w:ascii="微软雅黑" w:hAnsi="微软雅黑" w:eastAsia="微软雅黑" w:cs="微软雅黑"/>
          <w:spacing w:val="12"/>
          <w:sz w:val="24"/>
          <w:szCs w:val="24"/>
          <w:lang w:val="en-US" w:eastAsia="zh-CN"/>
        </w:rPr>
        <w:t>洲际期货交易所（ICE）原糖期货周三变动不大，在前一交易日触及的三周低点21.38美分附近震荡。交投最活跃的ICE 5月原糖期货合约收盘收跌0.03美分或0.14%，结算价每磅21.46美分。操作上，建议5月ICE原糖短期暂且观望。</w:t>
      </w:r>
    </w:p>
    <w:p>
      <w:pPr>
        <w:spacing w:before="103" w:line="256" w:lineRule="auto"/>
        <w:ind w:right="743"/>
        <w:jc w:val="both"/>
        <w:rPr>
          <w:rFonts w:ascii="微软雅黑" w:hAnsi="微软雅黑" w:eastAsia="微软雅黑" w:cs="微软雅黑"/>
          <w:color w:val="CE393F"/>
          <w:spacing w:val="8"/>
          <w:position w:val="2"/>
          <w:sz w:val="40"/>
          <w:szCs w:val="40"/>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9：ICE原糖</w:t>
      </w:r>
      <w:r>
        <w:rPr>
          <w:rFonts w:hint="eastAsia" w:ascii="微软雅黑" w:hAnsi="微软雅黑" w:eastAsia="微软雅黑" w:cs="微软雅黑"/>
          <w:spacing w:val="7"/>
          <w:sz w:val="21"/>
          <w:szCs w:val="21"/>
          <w:lang w:val="zh-CN" w:eastAsia="zh-CN"/>
        </w:rPr>
        <w:t>期货主力合约日走势图及支撑位、阻力位</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drawing>
          <wp:inline distT="0" distB="0" distL="114300" distR="114300">
            <wp:extent cx="6187440" cy="2505075"/>
            <wp:effectExtent l="0" t="0" r="3810" b="9525"/>
            <wp:docPr id="11" name="图片 11" descr="d0ae56225e9d9b70a4d32acbffeb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0ae56225e9d9b70a4d32acbffeb963"/>
                    <pic:cNvPicPr>
                      <a:picLocks noChangeAspect="1"/>
                    </pic:cNvPicPr>
                  </pic:nvPicPr>
                  <pic:blipFill>
                    <a:blip r:embed="rId20"/>
                    <a:stretch>
                      <a:fillRect/>
                    </a:stretch>
                  </pic:blipFill>
                  <pic:spPr>
                    <a:xfrm>
                      <a:off x="0" y="0"/>
                      <a:ext cx="6187440" cy="2505075"/>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72" w:line="417" w:lineRule="exact"/>
        <w:rPr>
          <w:rFonts w:hint="eastAsia" w:ascii="微软雅黑" w:hAnsi="微软雅黑" w:eastAsia="微软雅黑" w:cs="微软雅黑"/>
          <w:color w:val="036EB8"/>
          <w:position w:val="-4"/>
          <w:sz w:val="28"/>
          <w:szCs w:val="28"/>
          <w:lang w:eastAsia="zh-CN"/>
        </w:rPr>
      </w:pPr>
    </w:p>
    <w:p>
      <w:pPr>
        <w:spacing w:before="172" w:line="417" w:lineRule="exact"/>
        <w:rPr>
          <w:rFonts w:hint="eastAsia" w:ascii="微软雅黑" w:hAnsi="微软雅黑" w:eastAsia="微软雅黑" w:cs="微软雅黑"/>
          <w:color w:val="036EB8"/>
          <w:position w:val="-4"/>
          <w:sz w:val="28"/>
          <w:szCs w:val="28"/>
          <w:lang w:eastAsia="zh-CN"/>
        </w:rPr>
      </w:pPr>
    </w:p>
    <w:p>
      <w:pPr>
        <w:spacing w:before="172" w:line="417" w:lineRule="exact"/>
        <w:rPr>
          <w:rFonts w:hint="eastAsia" w:ascii="微软雅黑" w:hAnsi="微软雅黑" w:eastAsia="微软雅黑" w:cs="微软雅黑"/>
          <w:color w:val="036EB8"/>
          <w:position w:val="-4"/>
          <w:sz w:val="28"/>
          <w:szCs w:val="28"/>
          <w:lang w:eastAsia="zh-CN"/>
        </w:rPr>
      </w:pPr>
    </w:p>
    <w:p>
      <w:pPr>
        <w:spacing w:before="172" w:line="417" w:lineRule="exact"/>
        <w:rPr>
          <w:rFonts w:hint="eastAsia" w:ascii="微软雅黑" w:hAnsi="微软雅黑" w:eastAsia="微软雅黑" w:cs="微软雅黑"/>
          <w:color w:val="036EB8"/>
          <w:position w:val="-4"/>
          <w:sz w:val="28"/>
          <w:szCs w:val="28"/>
          <w:lang w:eastAsia="zh-CN"/>
        </w:rPr>
      </w:pPr>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8"/>
          <w:sz w:val="18"/>
          <w:szCs w:val="18"/>
        </w:rPr>
        <w:t>则。</w:t>
      </w:r>
    </w:p>
    <w:p>
      <w:pPr>
        <w:spacing w:before="34" w:line="189" w:lineRule="auto"/>
        <w:ind w:left="337" w:right="707" w:firstLine="381"/>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line="189" w:lineRule="auto"/>
        <w:rPr>
          <w:rFonts w:ascii="微软雅黑" w:hAnsi="微软雅黑" w:eastAsia="微软雅黑" w:cs="微软雅黑"/>
          <w:sz w:val="18"/>
          <w:szCs w:val="18"/>
        </w:rPr>
        <w:sectPr>
          <w:headerReference r:id="rId6" w:type="default"/>
          <w:footerReference r:id="rId7" w:type="default"/>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p>
    <w:p>
      <w:pPr>
        <w:spacing w:before="34" w:line="569" w:lineRule="exact"/>
        <w:ind w:firstLine="6421"/>
      </w:pPr>
    </w:p>
    <w:p>
      <w:pPr>
        <w:spacing w:before="34" w:line="569" w:lineRule="exact"/>
        <w:ind w:firstLine="6421"/>
      </w:pPr>
    </w:p>
    <w:p>
      <w:pPr>
        <w:spacing w:before="34" w:line="569" w:lineRule="exact"/>
        <w:ind w:firstLine="6421"/>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pPr>
        <w:pStyle w:val="2"/>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2"/>
      <w:pBdr>
        <w:bottom w:val="single" w:color="3669AB" w:sz="4" w:space="0"/>
      </w:pBdr>
      <w:spacing w:line="240" w:lineRule="auto"/>
      <w:ind w:right="420" w:rightChars="200"/>
      <w:jc w:val="both"/>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s>
  <w:rsids>
    <w:rsidRoot w:val="59DE62A0"/>
    <w:rsid w:val="000A785F"/>
    <w:rsid w:val="001431C1"/>
    <w:rsid w:val="00181D4B"/>
    <w:rsid w:val="00593490"/>
    <w:rsid w:val="005F4A09"/>
    <w:rsid w:val="008D4A14"/>
    <w:rsid w:val="00920750"/>
    <w:rsid w:val="00A42231"/>
    <w:rsid w:val="00C177F8"/>
    <w:rsid w:val="00CA7EEA"/>
    <w:rsid w:val="00CE6532"/>
    <w:rsid w:val="00D348C5"/>
    <w:rsid w:val="00DC19CB"/>
    <w:rsid w:val="00E16FE2"/>
    <w:rsid w:val="00E442E6"/>
    <w:rsid w:val="011E3D92"/>
    <w:rsid w:val="013C05EC"/>
    <w:rsid w:val="0140116F"/>
    <w:rsid w:val="014337F8"/>
    <w:rsid w:val="01486DF0"/>
    <w:rsid w:val="01761E20"/>
    <w:rsid w:val="018F67B1"/>
    <w:rsid w:val="019734A3"/>
    <w:rsid w:val="019E3125"/>
    <w:rsid w:val="01B6046E"/>
    <w:rsid w:val="01C257A0"/>
    <w:rsid w:val="01FA65AD"/>
    <w:rsid w:val="021052EA"/>
    <w:rsid w:val="02151639"/>
    <w:rsid w:val="021D5BFB"/>
    <w:rsid w:val="02296E92"/>
    <w:rsid w:val="024953BD"/>
    <w:rsid w:val="028D7421"/>
    <w:rsid w:val="02A97FD3"/>
    <w:rsid w:val="02B7624C"/>
    <w:rsid w:val="02BC7D06"/>
    <w:rsid w:val="02CD47AD"/>
    <w:rsid w:val="02DC4B76"/>
    <w:rsid w:val="030659D3"/>
    <w:rsid w:val="032338E1"/>
    <w:rsid w:val="033C0E47"/>
    <w:rsid w:val="03661A20"/>
    <w:rsid w:val="03705048"/>
    <w:rsid w:val="03767EB5"/>
    <w:rsid w:val="038E44A6"/>
    <w:rsid w:val="03AA4003"/>
    <w:rsid w:val="03B31109"/>
    <w:rsid w:val="03C54999"/>
    <w:rsid w:val="03CF5817"/>
    <w:rsid w:val="03D44348"/>
    <w:rsid w:val="03D64DF8"/>
    <w:rsid w:val="03E33071"/>
    <w:rsid w:val="03F31506"/>
    <w:rsid w:val="03FE7EAB"/>
    <w:rsid w:val="0402799B"/>
    <w:rsid w:val="04253689"/>
    <w:rsid w:val="04405814"/>
    <w:rsid w:val="044F0706"/>
    <w:rsid w:val="045A6DD9"/>
    <w:rsid w:val="04620439"/>
    <w:rsid w:val="04695C6C"/>
    <w:rsid w:val="04725735"/>
    <w:rsid w:val="04787C5D"/>
    <w:rsid w:val="0495080F"/>
    <w:rsid w:val="049D5915"/>
    <w:rsid w:val="04CD0E7B"/>
    <w:rsid w:val="04CD5176"/>
    <w:rsid w:val="04E43544"/>
    <w:rsid w:val="04E55250"/>
    <w:rsid w:val="04FB69FF"/>
    <w:rsid w:val="05173E06"/>
    <w:rsid w:val="051A6F66"/>
    <w:rsid w:val="053D4696"/>
    <w:rsid w:val="054933A7"/>
    <w:rsid w:val="055F4D69"/>
    <w:rsid w:val="056D52E8"/>
    <w:rsid w:val="058F34B0"/>
    <w:rsid w:val="059D2DAA"/>
    <w:rsid w:val="05C869C2"/>
    <w:rsid w:val="06874187"/>
    <w:rsid w:val="06920D0C"/>
    <w:rsid w:val="06AC1E40"/>
    <w:rsid w:val="06D40C03"/>
    <w:rsid w:val="06D860E7"/>
    <w:rsid w:val="06E91363"/>
    <w:rsid w:val="072919FB"/>
    <w:rsid w:val="07375BAD"/>
    <w:rsid w:val="073D6F5B"/>
    <w:rsid w:val="07634D60"/>
    <w:rsid w:val="07652B87"/>
    <w:rsid w:val="077A4193"/>
    <w:rsid w:val="077D0034"/>
    <w:rsid w:val="07950B26"/>
    <w:rsid w:val="07D9719C"/>
    <w:rsid w:val="07DD49A7"/>
    <w:rsid w:val="07EB25E1"/>
    <w:rsid w:val="07F5280A"/>
    <w:rsid w:val="07F67816"/>
    <w:rsid w:val="080F6B2A"/>
    <w:rsid w:val="0828199A"/>
    <w:rsid w:val="082F186D"/>
    <w:rsid w:val="085B34CE"/>
    <w:rsid w:val="089E2E0C"/>
    <w:rsid w:val="08A234FA"/>
    <w:rsid w:val="08AF5C17"/>
    <w:rsid w:val="08B5322E"/>
    <w:rsid w:val="08DD2784"/>
    <w:rsid w:val="08E949DF"/>
    <w:rsid w:val="08F817D8"/>
    <w:rsid w:val="090E293E"/>
    <w:rsid w:val="09174F67"/>
    <w:rsid w:val="09252A9B"/>
    <w:rsid w:val="093E76C7"/>
    <w:rsid w:val="09491BC8"/>
    <w:rsid w:val="09840E52"/>
    <w:rsid w:val="098E4672"/>
    <w:rsid w:val="09903C9B"/>
    <w:rsid w:val="099A2423"/>
    <w:rsid w:val="09AC6674"/>
    <w:rsid w:val="09B110B8"/>
    <w:rsid w:val="09D26E62"/>
    <w:rsid w:val="09DA6CC4"/>
    <w:rsid w:val="09F02DF6"/>
    <w:rsid w:val="09F31EAA"/>
    <w:rsid w:val="0A037FC9"/>
    <w:rsid w:val="0A140428"/>
    <w:rsid w:val="0A1470E4"/>
    <w:rsid w:val="0A2A37A7"/>
    <w:rsid w:val="0A2C17A5"/>
    <w:rsid w:val="0A3E54A5"/>
    <w:rsid w:val="0A434869"/>
    <w:rsid w:val="0A533A62"/>
    <w:rsid w:val="0A544CC8"/>
    <w:rsid w:val="0A7D5FCD"/>
    <w:rsid w:val="0A823CEB"/>
    <w:rsid w:val="0A8F399C"/>
    <w:rsid w:val="0A943317"/>
    <w:rsid w:val="0A9A6B7F"/>
    <w:rsid w:val="0A9B3267"/>
    <w:rsid w:val="0AA82AC5"/>
    <w:rsid w:val="0ABF0394"/>
    <w:rsid w:val="0AC0235E"/>
    <w:rsid w:val="0AC75B18"/>
    <w:rsid w:val="0AF44EDF"/>
    <w:rsid w:val="0AFB3396"/>
    <w:rsid w:val="0AFD2C6A"/>
    <w:rsid w:val="0B02681E"/>
    <w:rsid w:val="0B0B2B07"/>
    <w:rsid w:val="0B0C10FF"/>
    <w:rsid w:val="0B116814"/>
    <w:rsid w:val="0B156206"/>
    <w:rsid w:val="0B310B66"/>
    <w:rsid w:val="0B3F14D4"/>
    <w:rsid w:val="0B3F6A8F"/>
    <w:rsid w:val="0B6149B5"/>
    <w:rsid w:val="0B696551"/>
    <w:rsid w:val="0B775713"/>
    <w:rsid w:val="0B7C44D7"/>
    <w:rsid w:val="0B837613"/>
    <w:rsid w:val="0BA87886"/>
    <w:rsid w:val="0BB06CD5"/>
    <w:rsid w:val="0C023101"/>
    <w:rsid w:val="0C1E10EA"/>
    <w:rsid w:val="0C430B50"/>
    <w:rsid w:val="0C6311F3"/>
    <w:rsid w:val="0C7358DA"/>
    <w:rsid w:val="0C7426EC"/>
    <w:rsid w:val="0C874AB1"/>
    <w:rsid w:val="0C8A677F"/>
    <w:rsid w:val="0CA53877"/>
    <w:rsid w:val="0CE00A95"/>
    <w:rsid w:val="0CE7389C"/>
    <w:rsid w:val="0D272220"/>
    <w:rsid w:val="0D3A56A0"/>
    <w:rsid w:val="0D6945E7"/>
    <w:rsid w:val="0D6E7E4F"/>
    <w:rsid w:val="0D766D04"/>
    <w:rsid w:val="0D815DD4"/>
    <w:rsid w:val="0D8E04F1"/>
    <w:rsid w:val="0DEB161A"/>
    <w:rsid w:val="0E211365"/>
    <w:rsid w:val="0E2B5D40"/>
    <w:rsid w:val="0E304A35"/>
    <w:rsid w:val="0E3A5F83"/>
    <w:rsid w:val="0E4F7C80"/>
    <w:rsid w:val="0E5E1F69"/>
    <w:rsid w:val="0E680D42"/>
    <w:rsid w:val="0E6A2D0C"/>
    <w:rsid w:val="0E7D63D0"/>
    <w:rsid w:val="0E8A6F0A"/>
    <w:rsid w:val="0E9D4E90"/>
    <w:rsid w:val="0EC40C69"/>
    <w:rsid w:val="0F0E09E8"/>
    <w:rsid w:val="0F1B4006"/>
    <w:rsid w:val="0F425337"/>
    <w:rsid w:val="0F53554E"/>
    <w:rsid w:val="0F83743D"/>
    <w:rsid w:val="0F8B4EFC"/>
    <w:rsid w:val="0FA25CB6"/>
    <w:rsid w:val="0FB51D65"/>
    <w:rsid w:val="0FB7564B"/>
    <w:rsid w:val="0FCF7FFC"/>
    <w:rsid w:val="0FD85A54"/>
    <w:rsid w:val="0FDC5544"/>
    <w:rsid w:val="0FE10DAC"/>
    <w:rsid w:val="0FFA2AB6"/>
    <w:rsid w:val="10090303"/>
    <w:rsid w:val="100D7DF3"/>
    <w:rsid w:val="101E5B5C"/>
    <w:rsid w:val="10240C99"/>
    <w:rsid w:val="103B02B6"/>
    <w:rsid w:val="104135F9"/>
    <w:rsid w:val="105A46BB"/>
    <w:rsid w:val="10613C9B"/>
    <w:rsid w:val="10A51DDA"/>
    <w:rsid w:val="10F1501F"/>
    <w:rsid w:val="11005262"/>
    <w:rsid w:val="1126167A"/>
    <w:rsid w:val="112C1D96"/>
    <w:rsid w:val="112D2A00"/>
    <w:rsid w:val="115B7EC7"/>
    <w:rsid w:val="115D0CDB"/>
    <w:rsid w:val="115F642C"/>
    <w:rsid w:val="118367EC"/>
    <w:rsid w:val="119A2EC2"/>
    <w:rsid w:val="11DF575B"/>
    <w:rsid w:val="12064AFA"/>
    <w:rsid w:val="123A47A4"/>
    <w:rsid w:val="12837EF9"/>
    <w:rsid w:val="129245E0"/>
    <w:rsid w:val="12AB56A1"/>
    <w:rsid w:val="12B72AC8"/>
    <w:rsid w:val="12C14EC5"/>
    <w:rsid w:val="12C53BAB"/>
    <w:rsid w:val="12C56763"/>
    <w:rsid w:val="12D6271E"/>
    <w:rsid w:val="12DD56D0"/>
    <w:rsid w:val="12E453E1"/>
    <w:rsid w:val="130A686C"/>
    <w:rsid w:val="13392CAD"/>
    <w:rsid w:val="13581385"/>
    <w:rsid w:val="1360023A"/>
    <w:rsid w:val="136F66CF"/>
    <w:rsid w:val="137D0DEC"/>
    <w:rsid w:val="13914897"/>
    <w:rsid w:val="13AC16D1"/>
    <w:rsid w:val="13E83022"/>
    <w:rsid w:val="14027543"/>
    <w:rsid w:val="14055F2A"/>
    <w:rsid w:val="14073B5C"/>
    <w:rsid w:val="142D2812"/>
    <w:rsid w:val="143376FC"/>
    <w:rsid w:val="144E4536"/>
    <w:rsid w:val="14587163"/>
    <w:rsid w:val="145B4DEA"/>
    <w:rsid w:val="146B1AFA"/>
    <w:rsid w:val="146B50E8"/>
    <w:rsid w:val="14795475"/>
    <w:rsid w:val="148B7538"/>
    <w:rsid w:val="14914C87"/>
    <w:rsid w:val="14AD6D4E"/>
    <w:rsid w:val="14B24AC5"/>
    <w:rsid w:val="14D35F6D"/>
    <w:rsid w:val="14E03753"/>
    <w:rsid w:val="14EF7AC7"/>
    <w:rsid w:val="15227E9D"/>
    <w:rsid w:val="153567EB"/>
    <w:rsid w:val="15357EA3"/>
    <w:rsid w:val="153F7762"/>
    <w:rsid w:val="1546345F"/>
    <w:rsid w:val="15595889"/>
    <w:rsid w:val="157A3DE6"/>
    <w:rsid w:val="15A20FDE"/>
    <w:rsid w:val="15AD4515"/>
    <w:rsid w:val="15BF56EC"/>
    <w:rsid w:val="15C23767"/>
    <w:rsid w:val="15FA0A52"/>
    <w:rsid w:val="160F471D"/>
    <w:rsid w:val="162163A6"/>
    <w:rsid w:val="162F6237"/>
    <w:rsid w:val="163007A4"/>
    <w:rsid w:val="16323E9D"/>
    <w:rsid w:val="16526560"/>
    <w:rsid w:val="16532BAF"/>
    <w:rsid w:val="16573B76"/>
    <w:rsid w:val="16640041"/>
    <w:rsid w:val="167A1613"/>
    <w:rsid w:val="167F4E7B"/>
    <w:rsid w:val="169F376F"/>
    <w:rsid w:val="16A86180"/>
    <w:rsid w:val="16AB5CAD"/>
    <w:rsid w:val="16AD19E8"/>
    <w:rsid w:val="16B17A67"/>
    <w:rsid w:val="16C117E9"/>
    <w:rsid w:val="16C136E5"/>
    <w:rsid w:val="16C3745D"/>
    <w:rsid w:val="16CE195E"/>
    <w:rsid w:val="16E84EEA"/>
    <w:rsid w:val="16ED5F07"/>
    <w:rsid w:val="16FE3FF2"/>
    <w:rsid w:val="17231CAA"/>
    <w:rsid w:val="17343EB7"/>
    <w:rsid w:val="174F2A9F"/>
    <w:rsid w:val="1750680B"/>
    <w:rsid w:val="17602EFE"/>
    <w:rsid w:val="176B1094"/>
    <w:rsid w:val="179E5F3A"/>
    <w:rsid w:val="17A62F40"/>
    <w:rsid w:val="17C36FE9"/>
    <w:rsid w:val="17EF6030"/>
    <w:rsid w:val="181A30AD"/>
    <w:rsid w:val="183124A5"/>
    <w:rsid w:val="1835627A"/>
    <w:rsid w:val="183E57A4"/>
    <w:rsid w:val="188F46B1"/>
    <w:rsid w:val="188F6EFF"/>
    <w:rsid w:val="18A14670"/>
    <w:rsid w:val="18AB1F57"/>
    <w:rsid w:val="18BF5A03"/>
    <w:rsid w:val="18DA6CE0"/>
    <w:rsid w:val="190E2D54"/>
    <w:rsid w:val="19263CD4"/>
    <w:rsid w:val="19393A07"/>
    <w:rsid w:val="193957B5"/>
    <w:rsid w:val="193B694A"/>
    <w:rsid w:val="197E141A"/>
    <w:rsid w:val="19891B44"/>
    <w:rsid w:val="19E37FA1"/>
    <w:rsid w:val="19EF40C6"/>
    <w:rsid w:val="19F33BB6"/>
    <w:rsid w:val="1A004525"/>
    <w:rsid w:val="1A1A3838"/>
    <w:rsid w:val="1A2A15A2"/>
    <w:rsid w:val="1A3760C8"/>
    <w:rsid w:val="1A586B42"/>
    <w:rsid w:val="1A6F016E"/>
    <w:rsid w:val="1A7F5449"/>
    <w:rsid w:val="1A926B26"/>
    <w:rsid w:val="1AB33345"/>
    <w:rsid w:val="1ADA4D76"/>
    <w:rsid w:val="1AE300CE"/>
    <w:rsid w:val="1AEE342A"/>
    <w:rsid w:val="1AFE6CB6"/>
    <w:rsid w:val="1B0B3181"/>
    <w:rsid w:val="1B143435"/>
    <w:rsid w:val="1B2E0C1E"/>
    <w:rsid w:val="1B430B6D"/>
    <w:rsid w:val="1B593EEC"/>
    <w:rsid w:val="1B5E1503"/>
    <w:rsid w:val="1B6F441F"/>
    <w:rsid w:val="1B6F54BE"/>
    <w:rsid w:val="1B8A054A"/>
    <w:rsid w:val="1BCC2910"/>
    <w:rsid w:val="1BE952E4"/>
    <w:rsid w:val="1BEC2FB3"/>
    <w:rsid w:val="1C220782"/>
    <w:rsid w:val="1C295FB5"/>
    <w:rsid w:val="1C2A3ADB"/>
    <w:rsid w:val="1C2C7853"/>
    <w:rsid w:val="1C2F2E9F"/>
    <w:rsid w:val="1C3C502D"/>
    <w:rsid w:val="1C550B58"/>
    <w:rsid w:val="1C56667E"/>
    <w:rsid w:val="1C5C2AF3"/>
    <w:rsid w:val="1C6F246D"/>
    <w:rsid w:val="1C705992"/>
    <w:rsid w:val="1C730FDE"/>
    <w:rsid w:val="1C840E30"/>
    <w:rsid w:val="1C847E13"/>
    <w:rsid w:val="1C876837"/>
    <w:rsid w:val="1C9871D4"/>
    <w:rsid w:val="1C9961A4"/>
    <w:rsid w:val="1C9B0EC5"/>
    <w:rsid w:val="1CA32066"/>
    <w:rsid w:val="1CB42B02"/>
    <w:rsid w:val="1CB6536F"/>
    <w:rsid w:val="1CB6711D"/>
    <w:rsid w:val="1CDB7F58"/>
    <w:rsid w:val="1CE56411"/>
    <w:rsid w:val="1D063C00"/>
    <w:rsid w:val="1D077978"/>
    <w:rsid w:val="1D1522F2"/>
    <w:rsid w:val="1D317F46"/>
    <w:rsid w:val="1D5038FF"/>
    <w:rsid w:val="1D8A2164"/>
    <w:rsid w:val="1D94745E"/>
    <w:rsid w:val="1D9E0B53"/>
    <w:rsid w:val="1DA8010B"/>
    <w:rsid w:val="1DB70C3A"/>
    <w:rsid w:val="1DD62C34"/>
    <w:rsid w:val="1DE026A3"/>
    <w:rsid w:val="1E140822"/>
    <w:rsid w:val="1E983160"/>
    <w:rsid w:val="1EAB5CA8"/>
    <w:rsid w:val="1EDA46D4"/>
    <w:rsid w:val="1F047D4E"/>
    <w:rsid w:val="1F066139"/>
    <w:rsid w:val="1F2E743E"/>
    <w:rsid w:val="1F43738D"/>
    <w:rsid w:val="1F570A81"/>
    <w:rsid w:val="1F69491A"/>
    <w:rsid w:val="1FA34B99"/>
    <w:rsid w:val="1FAA1158"/>
    <w:rsid w:val="1FBB3CE7"/>
    <w:rsid w:val="1FCF6E73"/>
    <w:rsid w:val="1FD47FE6"/>
    <w:rsid w:val="1FD955FC"/>
    <w:rsid w:val="1FE346CD"/>
    <w:rsid w:val="1FE453E9"/>
    <w:rsid w:val="1FE50445"/>
    <w:rsid w:val="1FFE5062"/>
    <w:rsid w:val="200B4005"/>
    <w:rsid w:val="201C373B"/>
    <w:rsid w:val="202111B2"/>
    <w:rsid w:val="203B1E13"/>
    <w:rsid w:val="2040567B"/>
    <w:rsid w:val="20B61DE1"/>
    <w:rsid w:val="20C067BC"/>
    <w:rsid w:val="20D73FFA"/>
    <w:rsid w:val="20DA5ACF"/>
    <w:rsid w:val="210A2CE1"/>
    <w:rsid w:val="210F504D"/>
    <w:rsid w:val="21194443"/>
    <w:rsid w:val="213571AA"/>
    <w:rsid w:val="213836B0"/>
    <w:rsid w:val="213B4094"/>
    <w:rsid w:val="21690C01"/>
    <w:rsid w:val="21893052"/>
    <w:rsid w:val="21934DFE"/>
    <w:rsid w:val="219E4C0D"/>
    <w:rsid w:val="21BF4CC5"/>
    <w:rsid w:val="21E0526C"/>
    <w:rsid w:val="21EE1107"/>
    <w:rsid w:val="22016465"/>
    <w:rsid w:val="22237002"/>
    <w:rsid w:val="224156DA"/>
    <w:rsid w:val="22456F79"/>
    <w:rsid w:val="224C47AB"/>
    <w:rsid w:val="224C6559"/>
    <w:rsid w:val="225243A2"/>
    <w:rsid w:val="22695B2D"/>
    <w:rsid w:val="226D64CF"/>
    <w:rsid w:val="227B0BEC"/>
    <w:rsid w:val="22B81E40"/>
    <w:rsid w:val="22CF093F"/>
    <w:rsid w:val="22D57132"/>
    <w:rsid w:val="22D64BAD"/>
    <w:rsid w:val="22F20137"/>
    <w:rsid w:val="23476D20"/>
    <w:rsid w:val="23503E27"/>
    <w:rsid w:val="23517B9F"/>
    <w:rsid w:val="235F71C6"/>
    <w:rsid w:val="23713D9D"/>
    <w:rsid w:val="237750EB"/>
    <w:rsid w:val="237815D0"/>
    <w:rsid w:val="238179BB"/>
    <w:rsid w:val="23F01166"/>
    <w:rsid w:val="23F24EDE"/>
    <w:rsid w:val="23F82635"/>
    <w:rsid w:val="240B5FA0"/>
    <w:rsid w:val="245222E6"/>
    <w:rsid w:val="24613C0B"/>
    <w:rsid w:val="24651B54"/>
    <w:rsid w:val="24711BFF"/>
    <w:rsid w:val="2490190B"/>
    <w:rsid w:val="24904744"/>
    <w:rsid w:val="2497134E"/>
    <w:rsid w:val="24B86FB5"/>
    <w:rsid w:val="24BB79C6"/>
    <w:rsid w:val="24E0742D"/>
    <w:rsid w:val="24F212CA"/>
    <w:rsid w:val="25096983"/>
    <w:rsid w:val="250C0222"/>
    <w:rsid w:val="25205A7B"/>
    <w:rsid w:val="25283888"/>
    <w:rsid w:val="25323DC4"/>
    <w:rsid w:val="25324D05"/>
    <w:rsid w:val="253B28B5"/>
    <w:rsid w:val="25472113"/>
    <w:rsid w:val="254C6870"/>
    <w:rsid w:val="257D4C7B"/>
    <w:rsid w:val="25853B30"/>
    <w:rsid w:val="25873D4C"/>
    <w:rsid w:val="25A3141D"/>
    <w:rsid w:val="25B71060"/>
    <w:rsid w:val="25BF3AFF"/>
    <w:rsid w:val="25D8182D"/>
    <w:rsid w:val="25E42F4C"/>
    <w:rsid w:val="262275D1"/>
    <w:rsid w:val="265754CC"/>
    <w:rsid w:val="26583EBF"/>
    <w:rsid w:val="26591245"/>
    <w:rsid w:val="266A530B"/>
    <w:rsid w:val="268F2EB8"/>
    <w:rsid w:val="268F3365"/>
    <w:rsid w:val="269C3827"/>
    <w:rsid w:val="269E134D"/>
    <w:rsid w:val="26AC3A6A"/>
    <w:rsid w:val="26C708A4"/>
    <w:rsid w:val="26C94690"/>
    <w:rsid w:val="26E2748C"/>
    <w:rsid w:val="26EA6341"/>
    <w:rsid w:val="27104DCE"/>
    <w:rsid w:val="27196C26"/>
    <w:rsid w:val="272827F6"/>
    <w:rsid w:val="274912B9"/>
    <w:rsid w:val="27541A0C"/>
    <w:rsid w:val="27547C5E"/>
    <w:rsid w:val="275639D6"/>
    <w:rsid w:val="276C31F9"/>
    <w:rsid w:val="276F4A98"/>
    <w:rsid w:val="279A1B15"/>
    <w:rsid w:val="27B84C56"/>
    <w:rsid w:val="27BA1634"/>
    <w:rsid w:val="27D03788"/>
    <w:rsid w:val="28575C58"/>
    <w:rsid w:val="287265EE"/>
    <w:rsid w:val="28D450EA"/>
    <w:rsid w:val="28D5055F"/>
    <w:rsid w:val="28FC39E6"/>
    <w:rsid w:val="291C5438"/>
    <w:rsid w:val="297457A6"/>
    <w:rsid w:val="29895F83"/>
    <w:rsid w:val="2A157B78"/>
    <w:rsid w:val="2A1831C5"/>
    <w:rsid w:val="2A3B5C65"/>
    <w:rsid w:val="2A581813"/>
    <w:rsid w:val="2A64640A"/>
    <w:rsid w:val="2A7D74CC"/>
    <w:rsid w:val="2A930039"/>
    <w:rsid w:val="2AA841F2"/>
    <w:rsid w:val="2AF43C32"/>
    <w:rsid w:val="2B0A5203"/>
    <w:rsid w:val="2B2E2991"/>
    <w:rsid w:val="2B681190"/>
    <w:rsid w:val="2BA967CA"/>
    <w:rsid w:val="2BBF5FEE"/>
    <w:rsid w:val="2BCA04EF"/>
    <w:rsid w:val="2BCE6231"/>
    <w:rsid w:val="2BDD0222"/>
    <w:rsid w:val="2BFD08C4"/>
    <w:rsid w:val="2C0E487F"/>
    <w:rsid w:val="2C0F5A5F"/>
    <w:rsid w:val="2C5030EA"/>
    <w:rsid w:val="2C7C5C8D"/>
    <w:rsid w:val="2C934D84"/>
    <w:rsid w:val="2CB216AE"/>
    <w:rsid w:val="2CB843AF"/>
    <w:rsid w:val="2CC413E2"/>
    <w:rsid w:val="2CC47634"/>
    <w:rsid w:val="2CCF6074"/>
    <w:rsid w:val="2CE028C6"/>
    <w:rsid w:val="2CEB2E12"/>
    <w:rsid w:val="2D012F66"/>
    <w:rsid w:val="2D2D342B"/>
    <w:rsid w:val="2D771923"/>
    <w:rsid w:val="2D776454"/>
    <w:rsid w:val="2D7B5F44"/>
    <w:rsid w:val="2D875411"/>
    <w:rsid w:val="2DA709E8"/>
    <w:rsid w:val="2DA84860"/>
    <w:rsid w:val="2DAF3E40"/>
    <w:rsid w:val="2DDD09AD"/>
    <w:rsid w:val="2DDD44E2"/>
    <w:rsid w:val="2DE81100"/>
    <w:rsid w:val="2DEC299E"/>
    <w:rsid w:val="2DFB5908"/>
    <w:rsid w:val="2E0065CE"/>
    <w:rsid w:val="2E0C1292"/>
    <w:rsid w:val="2E312AA7"/>
    <w:rsid w:val="2E426A62"/>
    <w:rsid w:val="2E4B1DBB"/>
    <w:rsid w:val="2E556795"/>
    <w:rsid w:val="2E746294"/>
    <w:rsid w:val="2EBF315F"/>
    <w:rsid w:val="2EC90F31"/>
    <w:rsid w:val="2EC93975"/>
    <w:rsid w:val="2ED0406E"/>
    <w:rsid w:val="2EF22236"/>
    <w:rsid w:val="2EF91480"/>
    <w:rsid w:val="2F176A2A"/>
    <w:rsid w:val="2F1F6DA3"/>
    <w:rsid w:val="2F261EE0"/>
    <w:rsid w:val="2F391C13"/>
    <w:rsid w:val="2F3D7961"/>
    <w:rsid w:val="2F45680A"/>
    <w:rsid w:val="2F4D3910"/>
    <w:rsid w:val="2F567050"/>
    <w:rsid w:val="2F666780"/>
    <w:rsid w:val="2F7075FF"/>
    <w:rsid w:val="2F8C1E45"/>
    <w:rsid w:val="2FA63021"/>
    <w:rsid w:val="2FAA2B11"/>
    <w:rsid w:val="2FD7142C"/>
    <w:rsid w:val="2FF41FDE"/>
    <w:rsid w:val="2FFB511A"/>
    <w:rsid w:val="300F0BC6"/>
    <w:rsid w:val="30136908"/>
    <w:rsid w:val="30151978"/>
    <w:rsid w:val="30155912"/>
    <w:rsid w:val="30240B15"/>
    <w:rsid w:val="3070283C"/>
    <w:rsid w:val="307F5D4C"/>
    <w:rsid w:val="309A4933"/>
    <w:rsid w:val="30A12166"/>
    <w:rsid w:val="30C9346B"/>
    <w:rsid w:val="30F32296"/>
    <w:rsid w:val="30F84CE1"/>
    <w:rsid w:val="30FD0529"/>
    <w:rsid w:val="30FF50DE"/>
    <w:rsid w:val="31197F4E"/>
    <w:rsid w:val="311D7312"/>
    <w:rsid w:val="313E79B5"/>
    <w:rsid w:val="314174A5"/>
    <w:rsid w:val="314D409C"/>
    <w:rsid w:val="3163417D"/>
    <w:rsid w:val="318A49A8"/>
    <w:rsid w:val="31C51E84"/>
    <w:rsid w:val="31D644AB"/>
    <w:rsid w:val="31E242A6"/>
    <w:rsid w:val="31FB326A"/>
    <w:rsid w:val="3216448E"/>
    <w:rsid w:val="322A618B"/>
    <w:rsid w:val="323E5B9E"/>
    <w:rsid w:val="324E00CB"/>
    <w:rsid w:val="32554509"/>
    <w:rsid w:val="326951F3"/>
    <w:rsid w:val="32A24300"/>
    <w:rsid w:val="32A61AD2"/>
    <w:rsid w:val="32AE46C6"/>
    <w:rsid w:val="32CC0FF0"/>
    <w:rsid w:val="32D3678F"/>
    <w:rsid w:val="32E40B1B"/>
    <w:rsid w:val="32E92FB9"/>
    <w:rsid w:val="33150101"/>
    <w:rsid w:val="331704BD"/>
    <w:rsid w:val="334E2397"/>
    <w:rsid w:val="33526CEF"/>
    <w:rsid w:val="338418CB"/>
    <w:rsid w:val="33AD30C5"/>
    <w:rsid w:val="33BC1065"/>
    <w:rsid w:val="33C64D45"/>
    <w:rsid w:val="33EC0EFE"/>
    <w:rsid w:val="33F64119"/>
    <w:rsid w:val="33F8661C"/>
    <w:rsid w:val="341F3A1B"/>
    <w:rsid w:val="342015F4"/>
    <w:rsid w:val="3454129D"/>
    <w:rsid w:val="345968B4"/>
    <w:rsid w:val="348025C6"/>
    <w:rsid w:val="3492069F"/>
    <w:rsid w:val="34945433"/>
    <w:rsid w:val="349F4C0E"/>
    <w:rsid w:val="34A2025B"/>
    <w:rsid w:val="34C53F49"/>
    <w:rsid w:val="34E940DB"/>
    <w:rsid w:val="350D601C"/>
    <w:rsid w:val="35204032"/>
    <w:rsid w:val="35497CBA"/>
    <w:rsid w:val="354B627A"/>
    <w:rsid w:val="356814A4"/>
    <w:rsid w:val="356909C2"/>
    <w:rsid w:val="357C0AAC"/>
    <w:rsid w:val="35885E60"/>
    <w:rsid w:val="358E3D56"/>
    <w:rsid w:val="35926DCC"/>
    <w:rsid w:val="35E93C67"/>
    <w:rsid w:val="360311CD"/>
    <w:rsid w:val="36435665"/>
    <w:rsid w:val="3647730B"/>
    <w:rsid w:val="367C49A1"/>
    <w:rsid w:val="36B576F9"/>
    <w:rsid w:val="36C26992"/>
    <w:rsid w:val="36D52B69"/>
    <w:rsid w:val="36D55C7A"/>
    <w:rsid w:val="36E6103A"/>
    <w:rsid w:val="36EF34FF"/>
    <w:rsid w:val="3710594F"/>
    <w:rsid w:val="37364480"/>
    <w:rsid w:val="37545800"/>
    <w:rsid w:val="375D66BB"/>
    <w:rsid w:val="376B702A"/>
    <w:rsid w:val="379A346B"/>
    <w:rsid w:val="37C26C87"/>
    <w:rsid w:val="37E1553E"/>
    <w:rsid w:val="38007D90"/>
    <w:rsid w:val="3801529B"/>
    <w:rsid w:val="380F3E59"/>
    <w:rsid w:val="381474C6"/>
    <w:rsid w:val="38183E1B"/>
    <w:rsid w:val="38295077"/>
    <w:rsid w:val="382B6D50"/>
    <w:rsid w:val="382F0057"/>
    <w:rsid w:val="384D08D4"/>
    <w:rsid w:val="38613F89"/>
    <w:rsid w:val="388D1222"/>
    <w:rsid w:val="3895243A"/>
    <w:rsid w:val="38A10829"/>
    <w:rsid w:val="38B00000"/>
    <w:rsid w:val="38BB18EB"/>
    <w:rsid w:val="38D37AC3"/>
    <w:rsid w:val="38E30E42"/>
    <w:rsid w:val="38F66DC7"/>
    <w:rsid w:val="391060DB"/>
    <w:rsid w:val="39287D16"/>
    <w:rsid w:val="392C04C3"/>
    <w:rsid w:val="39377035"/>
    <w:rsid w:val="39904B26"/>
    <w:rsid w:val="39AB195F"/>
    <w:rsid w:val="39D35282"/>
    <w:rsid w:val="3A1439A9"/>
    <w:rsid w:val="3A357A7E"/>
    <w:rsid w:val="3A5E4C24"/>
    <w:rsid w:val="3A6B10EF"/>
    <w:rsid w:val="3A8F494D"/>
    <w:rsid w:val="3AAA7E69"/>
    <w:rsid w:val="3ACA050B"/>
    <w:rsid w:val="3AD06868"/>
    <w:rsid w:val="3AEB650A"/>
    <w:rsid w:val="3AF5356F"/>
    <w:rsid w:val="3AF61300"/>
    <w:rsid w:val="3B3460C0"/>
    <w:rsid w:val="3B6076B2"/>
    <w:rsid w:val="3B691AD2"/>
    <w:rsid w:val="3B6A75F8"/>
    <w:rsid w:val="3B755158"/>
    <w:rsid w:val="3B7A3CDF"/>
    <w:rsid w:val="3B837F8F"/>
    <w:rsid w:val="3B842468"/>
    <w:rsid w:val="3B862684"/>
    <w:rsid w:val="3B885799"/>
    <w:rsid w:val="3B892174"/>
    <w:rsid w:val="3BA90120"/>
    <w:rsid w:val="3BD56240"/>
    <w:rsid w:val="3BE23632"/>
    <w:rsid w:val="3BEB0739"/>
    <w:rsid w:val="3BF5780A"/>
    <w:rsid w:val="3BFF2436"/>
    <w:rsid w:val="3C045336"/>
    <w:rsid w:val="3C241E9D"/>
    <w:rsid w:val="3C485465"/>
    <w:rsid w:val="3C4E5B21"/>
    <w:rsid w:val="3C540EF7"/>
    <w:rsid w:val="3C5462DE"/>
    <w:rsid w:val="3C7060DA"/>
    <w:rsid w:val="3C917BA0"/>
    <w:rsid w:val="3CBA010B"/>
    <w:rsid w:val="3CC11038"/>
    <w:rsid w:val="3CE31550"/>
    <w:rsid w:val="3CE32F55"/>
    <w:rsid w:val="3D001FC2"/>
    <w:rsid w:val="3D255ECD"/>
    <w:rsid w:val="3D2F0AF9"/>
    <w:rsid w:val="3D3B2FFA"/>
    <w:rsid w:val="3D566086"/>
    <w:rsid w:val="3D695EAF"/>
    <w:rsid w:val="3D7824A0"/>
    <w:rsid w:val="3D785FFC"/>
    <w:rsid w:val="3D8F7BCA"/>
    <w:rsid w:val="3D932E36"/>
    <w:rsid w:val="3DA60DBB"/>
    <w:rsid w:val="3DAD20DD"/>
    <w:rsid w:val="3DB72FC9"/>
    <w:rsid w:val="3DB8289D"/>
    <w:rsid w:val="3DB86D41"/>
    <w:rsid w:val="3DC54FBA"/>
    <w:rsid w:val="3DD142BB"/>
    <w:rsid w:val="3DEB0EC4"/>
    <w:rsid w:val="3DF02037"/>
    <w:rsid w:val="3DF17B5D"/>
    <w:rsid w:val="3DF638A0"/>
    <w:rsid w:val="3DFC418E"/>
    <w:rsid w:val="3DFD6502"/>
    <w:rsid w:val="3E0C1200"/>
    <w:rsid w:val="3E167563"/>
    <w:rsid w:val="3E2D5039"/>
    <w:rsid w:val="3E4F69BB"/>
    <w:rsid w:val="3E5C76CC"/>
    <w:rsid w:val="3E647289"/>
    <w:rsid w:val="3E7964D0"/>
    <w:rsid w:val="3E810EE1"/>
    <w:rsid w:val="3E891DA4"/>
    <w:rsid w:val="3E933797"/>
    <w:rsid w:val="3E976956"/>
    <w:rsid w:val="3EA52668"/>
    <w:rsid w:val="3EBD0EE2"/>
    <w:rsid w:val="3EFE4C27"/>
    <w:rsid w:val="3F141D55"/>
    <w:rsid w:val="3F1735F3"/>
    <w:rsid w:val="3F222FE0"/>
    <w:rsid w:val="3F3441A5"/>
    <w:rsid w:val="3F3D5750"/>
    <w:rsid w:val="3F4B6BF0"/>
    <w:rsid w:val="3F682C26"/>
    <w:rsid w:val="3F6D16D7"/>
    <w:rsid w:val="3F747261"/>
    <w:rsid w:val="3F8769CB"/>
    <w:rsid w:val="3F94000D"/>
    <w:rsid w:val="3FA330D9"/>
    <w:rsid w:val="3FAF7CCF"/>
    <w:rsid w:val="3FE32A90"/>
    <w:rsid w:val="3FE43E1D"/>
    <w:rsid w:val="3FE47979"/>
    <w:rsid w:val="3FE8319B"/>
    <w:rsid w:val="4004305D"/>
    <w:rsid w:val="400870B8"/>
    <w:rsid w:val="401D10DD"/>
    <w:rsid w:val="40442B0E"/>
    <w:rsid w:val="406D3E12"/>
    <w:rsid w:val="40890521"/>
    <w:rsid w:val="40C003E6"/>
    <w:rsid w:val="40CE2673"/>
    <w:rsid w:val="40DA6FCE"/>
    <w:rsid w:val="40EE65D6"/>
    <w:rsid w:val="40EF750C"/>
    <w:rsid w:val="40FB7670"/>
    <w:rsid w:val="410F2FC5"/>
    <w:rsid w:val="4134048C"/>
    <w:rsid w:val="4158794C"/>
    <w:rsid w:val="416F7716"/>
    <w:rsid w:val="419B49AF"/>
    <w:rsid w:val="41A73354"/>
    <w:rsid w:val="41C23CEA"/>
    <w:rsid w:val="41C31810"/>
    <w:rsid w:val="41C757A4"/>
    <w:rsid w:val="41CE376B"/>
    <w:rsid w:val="41D41C6F"/>
    <w:rsid w:val="41DD1214"/>
    <w:rsid w:val="41F84884"/>
    <w:rsid w:val="42162288"/>
    <w:rsid w:val="42277FF1"/>
    <w:rsid w:val="422C3859"/>
    <w:rsid w:val="424C7A58"/>
    <w:rsid w:val="42755843"/>
    <w:rsid w:val="428B1AA5"/>
    <w:rsid w:val="429D02B3"/>
    <w:rsid w:val="429F1251"/>
    <w:rsid w:val="42F223AD"/>
    <w:rsid w:val="42F36125"/>
    <w:rsid w:val="42F62490"/>
    <w:rsid w:val="43000978"/>
    <w:rsid w:val="43004B7A"/>
    <w:rsid w:val="43094BE2"/>
    <w:rsid w:val="430F539D"/>
    <w:rsid w:val="43212C92"/>
    <w:rsid w:val="432D7889"/>
    <w:rsid w:val="43374264"/>
    <w:rsid w:val="433E2020"/>
    <w:rsid w:val="43501FEC"/>
    <w:rsid w:val="43574906"/>
    <w:rsid w:val="435E5C94"/>
    <w:rsid w:val="435E718F"/>
    <w:rsid w:val="43972F54"/>
    <w:rsid w:val="439F6C52"/>
    <w:rsid w:val="43BC14A4"/>
    <w:rsid w:val="43CC0E50"/>
    <w:rsid w:val="43D16466"/>
    <w:rsid w:val="43F108B7"/>
    <w:rsid w:val="44112D07"/>
    <w:rsid w:val="441445A5"/>
    <w:rsid w:val="4416031D"/>
    <w:rsid w:val="443A0129"/>
    <w:rsid w:val="445B21D4"/>
    <w:rsid w:val="448C6831"/>
    <w:rsid w:val="449F47B6"/>
    <w:rsid w:val="44A0729C"/>
    <w:rsid w:val="44B24732"/>
    <w:rsid w:val="44BE2E8F"/>
    <w:rsid w:val="44CD4E80"/>
    <w:rsid w:val="44E81CBA"/>
    <w:rsid w:val="450308A1"/>
    <w:rsid w:val="45131232"/>
    <w:rsid w:val="452F12F5"/>
    <w:rsid w:val="453B44DF"/>
    <w:rsid w:val="45401AF6"/>
    <w:rsid w:val="455C6204"/>
    <w:rsid w:val="457804D5"/>
    <w:rsid w:val="45DA5C68"/>
    <w:rsid w:val="45EC3A2B"/>
    <w:rsid w:val="45EC7588"/>
    <w:rsid w:val="45F20916"/>
    <w:rsid w:val="45FD1795"/>
    <w:rsid w:val="460839C1"/>
    <w:rsid w:val="463236F2"/>
    <w:rsid w:val="463D7DE3"/>
    <w:rsid w:val="464B69A4"/>
    <w:rsid w:val="465A6BE7"/>
    <w:rsid w:val="465E764C"/>
    <w:rsid w:val="4694464B"/>
    <w:rsid w:val="46954ED9"/>
    <w:rsid w:val="46A61E2C"/>
    <w:rsid w:val="46AC6D17"/>
    <w:rsid w:val="46F22218"/>
    <w:rsid w:val="46F72688"/>
    <w:rsid w:val="46FA3F26"/>
    <w:rsid w:val="46FB5788"/>
    <w:rsid w:val="471A0124"/>
    <w:rsid w:val="47412EAE"/>
    <w:rsid w:val="474358CD"/>
    <w:rsid w:val="47487D3C"/>
    <w:rsid w:val="474A6C5C"/>
    <w:rsid w:val="475A2C17"/>
    <w:rsid w:val="47A02FEE"/>
    <w:rsid w:val="47A80F1E"/>
    <w:rsid w:val="47A83982"/>
    <w:rsid w:val="47C66AE7"/>
    <w:rsid w:val="47D26C51"/>
    <w:rsid w:val="47DE55F6"/>
    <w:rsid w:val="47E04ECA"/>
    <w:rsid w:val="47E524E0"/>
    <w:rsid w:val="47EB3E1C"/>
    <w:rsid w:val="481E3AAF"/>
    <w:rsid w:val="483D056E"/>
    <w:rsid w:val="483D1893"/>
    <w:rsid w:val="485422E0"/>
    <w:rsid w:val="48547666"/>
    <w:rsid w:val="486C49B0"/>
    <w:rsid w:val="486F10A5"/>
    <w:rsid w:val="487565D5"/>
    <w:rsid w:val="48C26CC5"/>
    <w:rsid w:val="48C42A3E"/>
    <w:rsid w:val="48D03190"/>
    <w:rsid w:val="48D16F09"/>
    <w:rsid w:val="48E82D4D"/>
    <w:rsid w:val="48FD385A"/>
    <w:rsid w:val="49107A31"/>
    <w:rsid w:val="4921579A"/>
    <w:rsid w:val="493354CD"/>
    <w:rsid w:val="49341FF9"/>
    <w:rsid w:val="493556E9"/>
    <w:rsid w:val="493B1243"/>
    <w:rsid w:val="49725FF6"/>
    <w:rsid w:val="49A32653"/>
    <w:rsid w:val="49A5461D"/>
    <w:rsid w:val="49B120BE"/>
    <w:rsid w:val="49D71785"/>
    <w:rsid w:val="49DD71DE"/>
    <w:rsid w:val="49F04DE4"/>
    <w:rsid w:val="49F17862"/>
    <w:rsid w:val="4A0B01F8"/>
    <w:rsid w:val="4A175E73"/>
    <w:rsid w:val="4A1C545E"/>
    <w:rsid w:val="4A216F8B"/>
    <w:rsid w:val="4A2A4B22"/>
    <w:rsid w:val="4A560560"/>
    <w:rsid w:val="4A954A5F"/>
    <w:rsid w:val="4ADF3B5F"/>
    <w:rsid w:val="4ADF52C2"/>
    <w:rsid w:val="4AFB026D"/>
    <w:rsid w:val="4B1355B6"/>
    <w:rsid w:val="4B275B29"/>
    <w:rsid w:val="4B2E23F0"/>
    <w:rsid w:val="4B482FE8"/>
    <w:rsid w:val="4B687A43"/>
    <w:rsid w:val="4B7676A2"/>
    <w:rsid w:val="4B7E2B72"/>
    <w:rsid w:val="4B8244EA"/>
    <w:rsid w:val="4B861CB1"/>
    <w:rsid w:val="4B897627"/>
    <w:rsid w:val="4BA1327D"/>
    <w:rsid w:val="4BBF1D08"/>
    <w:rsid w:val="4BDE5BC4"/>
    <w:rsid w:val="4BE64A79"/>
    <w:rsid w:val="4C225B2C"/>
    <w:rsid w:val="4C464A47"/>
    <w:rsid w:val="4C4C1669"/>
    <w:rsid w:val="4C567E51"/>
    <w:rsid w:val="4C600CB1"/>
    <w:rsid w:val="4C667968"/>
    <w:rsid w:val="4C8C4B93"/>
    <w:rsid w:val="4CA010CC"/>
    <w:rsid w:val="4CE64A52"/>
    <w:rsid w:val="4CEC6287"/>
    <w:rsid w:val="4D241CFD"/>
    <w:rsid w:val="4D317F76"/>
    <w:rsid w:val="4D5325E2"/>
    <w:rsid w:val="4D7C761C"/>
    <w:rsid w:val="4D891B60"/>
    <w:rsid w:val="4DA33696"/>
    <w:rsid w:val="4DC5444C"/>
    <w:rsid w:val="4DD454D1"/>
    <w:rsid w:val="4DD73A22"/>
    <w:rsid w:val="4DD76D6F"/>
    <w:rsid w:val="4DDD3C5A"/>
    <w:rsid w:val="4DF0398D"/>
    <w:rsid w:val="4DF60C80"/>
    <w:rsid w:val="4DFE3442"/>
    <w:rsid w:val="4E125FF9"/>
    <w:rsid w:val="4E185B3D"/>
    <w:rsid w:val="4E50224A"/>
    <w:rsid w:val="4E755A1A"/>
    <w:rsid w:val="4E775E5C"/>
    <w:rsid w:val="4E824F2D"/>
    <w:rsid w:val="4E9D50CF"/>
    <w:rsid w:val="4EA053B3"/>
    <w:rsid w:val="4EAB2916"/>
    <w:rsid w:val="4EC05A55"/>
    <w:rsid w:val="4EC372F3"/>
    <w:rsid w:val="4ED908C5"/>
    <w:rsid w:val="4F053A58"/>
    <w:rsid w:val="4F1D4C56"/>
    <w:rsid w:val="4F2628C7"/>
    <w:rsid w:val="4F2F6737"/>
    <w:rsid w:val="4F471CD3"/>
    <w:rsid w:val="4F5246ED"/>
    <w:rsid w:val="4F590025"/>
    <w:rsid w:val="4F7725B8"/>
    <w:rsid w:val="4F8922EB"/>
    <w:rsid w:val="4F960564"/>
    <w:rsid w:val="4F980780"/>
    <w:rsid w:val="4F9D5D96"/>
    <w:rsid w:val="4FCD6C7A"/>
    <w:rsid w:val="4FFF2A2C"/>
    <w:rsid w:val="500951DA"/>
    <w:rsid w:val="50200DCA"/>
    <w:rsid w:val="503264DF"/>
    <w:rsid w:val="506D5769"/>
    <w:rsid w:val="50924895"/>
    <w:rsid w:val="50C01D3C"/>
    <w:rsid w:val="50F73284"/>
    <w:rsid w:val="510C08F5"/>
    <w:rsid w:val="512236AA"/>
    <w:rsid w:val="512E185C"/>
    <w:rsid w:val="512F2A1E"/>
    <w:rsid w:val="51375377"/>
    <w:rsid w:val="51475FBA"/>
    <w:rsid w:val="51552C9C"/>
    <w:rsid w:val="5179348D"/>
    <w:rsid w:val="517A638F"/>
    <w:rsid w:val="51AC22C1"/>
    <w:rsid w:val="52025B23"/>
    <w:rsid w:val="520B6FE7"/>
    <w:rsid w:val="5224663F"/>
    <w:rsid w:val="52552958"/>
    <w:rsid w:val="52687391"/>
    <w:rsid w:val="52792ECE"/>
    <w:rsid w:val="527E5B61"/>
    <w:rsid w:val="528A2602"/>
    <w:rsid w:val="52976ACD"/>
    <w:rsid w:val="52EB11E0"/>
    <w:rsid w:val="53086608"/>
    <w:rsid w:val="53536310"/>
    <w:rsid w:val="536912CC"/>
    <w:rsid w:val="536C09D1"/>
    <w:rsid w:val="536F5815"/>
    <w:rsid w:val="53871B01"/>
    <w:rsid w:val="53963CFA"/>
    <w:rsid w:val="53B228D0"/>
    <w:rsid w:val="53E1679D"/>
    <w:rsid w:val="540C0A08"/>
    <w:rsid w:val="54382383"/>
    <w:rsid w:val="543B5442"/>
    <w:rsid w:val="544D1B39"/>
    <w:rsid w:val="544F3B03"/>
    <w:rsid w:val="54684BC5"/>
    <w:rsid w:val="547A0454"/>
    <w:rsid w:val="54A93FE9"/>
    <w:rsid w:val="54DC69F7"/>
    <w:rsid w:val="54E12D87"/>
    <w:rsid w:val="54EB4C35"/>
    <w:rsid w:val="54F03763"/>
    <w:rsid w:val="55055F70"/>
    <w:rsid w:val="55124B31"/>
    <w:rsid w:val="555B2034"/>
    <w:rsid w:val="556829A3"/>
    <w:rsid w:val="557A3281"/>
    <w:rsid w:val="55B139E6"/>
    <w:rsid w:val="55CE0A58"/>
    <w:rsid w:val="55CE6156"/>
    <w:rsid w:val="55D50038"/>
    <w:rsid w:val="561603B2"/>
    <w:rsid w:val="561641AD"/>
    <w:rsid w:val="561F5757"/>
    <w:rsid w:val="563F1955"/>
    <w:rsid w:val="56464A92"/>
    <w:rsid w:val="564B20A8"/>
    <w:rsid w:val="565753CA"/>
    <w:rsid w:val="567C24C2"/>
    <w:rsid w:val="56B0015D"/>
    <w:rsid w:val="56B57E6A"/>
    <w:rsid w:val="56C360E3"/>
    <w:rsid w:val="56C85EF8"/>
    <w:rsid w:val="56CD6F61"/>
    <w:rsid w:val="56E60023"/>
    <w:rsid w:val="570341F8"/>
    <w:rsid w:val="5705494D"/>
    <w:rsid w:val="570861EB"/>
    <w:rsid w:val="571D6A2B"/>
    <w:rsid w:val="57201A20"/>
    <w:rsid w:val="572D5C52"/>
    <w:rsid w:val="57345792"/>
    <w:rsid w:val="57346FE0"/>
    <w:rsid w:val="575B27BF"/>
    <w:rsid w:val="576F40E4"/>
    <w:rsid w:val="57835872"/>
    <w:rsid w:val="578C4726"/>
    <w:rsid w:val="57AC45D0"/>
    <w:rsid w:val="57AE1241"/>
    <w:rsid w:val="57B273E9"/>
    <w:rsid w:val="57B67C8D"/>
    <w:rsid w:val="57BA2943"/>
    <w:rsid w:val="57D40540"/>
    <w:rsid w:val="57EE718F"/>
    <w:rsid w:val="57EF4CB5"/>
    <w:rsid w:val="58346B6C"/>
    <w:rsid w:val="58372C70"/>
    <w:rsid w:val="583E1656"/>
    <w:rsid w:val="589D1393"/>
    <w:rsid w:val="58B55EFF"/>
    <w:rsid w:val="58C3061C"/>
    <w:rsid w:val="58E70221"/>
    <w:rsid w:val="58F22CAF"/>
    <w:rsid w:val="5908019E"/>
    <w:rsid w:val="591B7FEB"/>
    <w:rsid w:val="59314975"/>
    <w:rsid w:val="59550740"/>
    <w:rsid w:val="5966544B"/>
    <w:rsid w:val="59C10AB4"/>
    <w:rsid w:val="59D56296"/>
    <w:rsid w:val="59D95C1D"/>
    <w:rsid w:val="59DE3233"/>
    <w:rsid w:val="59DE62A0"/>
    <w:rsid w:val="59EA1BD8"/>
    <w:rsid w:val="59EF5441"/>
    <w:rsid w:val="5A026F22"/>
    <w:rsid w:val="5A1D1FAE"/>
    <w:rsid w:val="5A2F2F5F"/>
    <w:rsid w:val="5A57029D"/>
    <w:rsid w:val="5AA004E9"/>
    <w:rsid w:val="5AA955EF"/>
    <w:rsid w:val="5AE568F8"/>
    <w:rsid w:val="5AE605F2"/>
    <w:rsid w:val="5AEB5C08"/>
    <w:rsid w:val="5AEE74A6"/>
    <w:rsid w:val="5AF251E8"/>
    <w:rsid w:val="5AF54CD9"/>
    <w:rsid w:val="5AFD593B"/>
    <w:rsid w:val="5B225A37"/>
    <w:rsid w:val="5B4F0440"/>
    <w:rsid w:val="5B5E287E"/>
    <w:rsid w:val="5B6A1223"/>
    <w:rsid w:val="5B7E6A7C"/>
    <w:rsid w:val="5B8A42EF"/>
    <w:rsid w:val="5B9A7FFC"/>
    <w:rsid w:val="5BA76E58"/>
    <w:rsid w:val="5BB03038"/>
    <w:rsid w:val="5BBC1352"/>
    <w:rsid w:val="5BFB631F"/>
    <w:rsid w:val="5C003935"/>
    <w:rsid w:val="5C0351D3"/>
    <w:rsid w:val="5C11169E"/>
    <w:rsid w:val="5C3E4412"/>
    <w:rsid w:val="5C3F3891"/>
    <w:rsid w:val="5C484871"/>
    <w:rsid w:val="5C4A2E02"/>
    <w:rsid w:val="5C602626"/>
    <w:rsid w:val="5C60665C"/>
    <w:rsid w:val="5C7659A5"/>
    <w:rsid w:val="5C81323B"/>
    <w:rsid w:val="5C875E04"/>
    <w:rsid w:val="5C8D658A"/>
    <w:rsid w:val="5C967DF5"/>
    <w:rsid w:val="5CA83399"/>
    <w:rsid w:val="5CAF3A11"/>
    <w:rsid w:val="5CBF734C"/>
    <w:rsid w:val="5CC33E1F"/>
    <w:rsid w:val="5CDD5A24"/>
    <w:rsid w:val="5CFF1E3E"/>
    <w:rsid w:val="5D1134E3"/>
    <w:rsid w:val="5D3B5199"/>
    <w:rsid w:val="5D6F2B20"/>
    <w:rsid w:val="5D72616D"/>
    <w:rsid w:val="5D7A3273"/>
    <w:rsid w:val="5D9C0A90"/>
    <w:rsid w:val="5DA4235E"/>
    <w:rsid w:val="5DAA334D"/>
    <w:rsid w:val="5DB06C95"/>
    <w:rsid w:val="5DDC5CDC"/>
    <w:rsid w:val="5DDF5B1F"/>
    <w:rsid w:val="5DE352BC"/>
    <w:rsid w:val="5DFC53C5"/>
    <w:rsid w:val="5E196EBA"/>
    <w:rsid w:val="5E253BAB"/>
    <w:rsid w:val="5E4D4235"/>
    <w:rsid w:val="5E504395"/>
    <w:rsid w:val="5E5B4E53"/>
    <w:rsid w:val="5E602469"/>
    <w:rsid w:val="5E6F283B"/>
    <w:rsid w:val="5ED21F55"/>
    <w:rsid w:val="5ED22BFF"/>
    <w:rsid w:val="5EDA6D5D"/>
    <w:rsid w:val="5EE035AA"/>
    <w:rsid w:val="5EE412EC"/>
    <w:rsid w:val="5EF57055"/>
    <w:rsid w:val="5F0D76A3"/>
    <w:rsid w:val="5F117C07"/>
    <w:rsid w:val="5F230066"/>
    <w:rsid w:val="5F2931A3"/>
    <w:rsid w:val="5F334021"/>
    <w:rsid w:val="5F3538F6"/>
    <w:rsid w:val="5F381638"/>
    <w:rsid w:val="5F385194"/>
    <w:rsid w:val="5F3F6522"/>
    <w:rsid w:val="5F4104EC"/>
    <w:rsid w:val="5F4639E0"/>
    <w:rsid w:val="5F5B7C49"/>
    <w:rsid w:val="5F686E8E"/>
    <w:rsid w:val="5F73441E"/>
    <w:rsid w:val="5F8D1984"/>
    <w:rsid w:val="5FAB0CC9"/>
    <w:rsid w:val="5FAD7930"/>
    <w:rsid w:val="5FC829BC"/>
    <w:rsid w:val="5FCF3D4A"/>
    <w:rsid w:val="5FEA2B00"/>
    <w:rsid w:val="602D6CC3"/>
    <w:rsid w:val="6042451C"/>
    <w:rsid w:val="607641C6"/>
    <w:rsid w:val="60883EF9"/>
    <w:rsid w:val="608A3882"/>
    <w:rsid w:val="608B2C81"/>
    <w:rsid w:val="608F34D9"/>
    <w:rsid w:val="609805E0"/>
    <w:rsid w:val="60AA0313"/>
    <w:rsid w:val="60AF3879"/>
    <w:rsid w:val="60C56EFB"/>
    <w:rsid w:val="60EF149E"/>
    <w:rsid w:val="615200E1"/>
    <w:rsid w:val="61693230"/>
    <w:rsid w:val="61972B6A"/>
    <w:rsid w:val="61B84E22"/>
    <w:rsid w:val="61F30033"/>
    <w:rsid w:val="61FD5295"/>
    <w:rsid w:val="624502F4"/>
    <w:rsid w:val="62791D4B"/>
    <w:rsid w:val="628D3A49"/>
    <w:rsid w:val="62CF5E0F"/>
    <w:rsid w:val="62E83E16"/>
    <w:rsid w:val="62E95123"/>
    <w:rsid w:val="62F35FA1"/>
    <w:rsid w:val="630261E5"/>
    <w:rsid w:val="63067FD3"/>
    <w:rsid w:val="631F28F3"/>
    <w:rsid w:val="632443AD"/>
    <w:rsid w:val="633839B4"/>
    <w:rsid w:val="636E387A"/>
    <w:rsid w:val="636E5E0F"/>
    <w:rsid w:val="637349EC"/>
    <w:rsid w:val="6390559E"/>
    <w:rsid w:val="639C3F43"/>
    <w:rsid w:val="63A45A71"/>
    <w:rsid w:val="63A66B70"/>
    <w:rsid w:val="63C35974"/>
    <w:rsid w:val="63DF2082"/>
    <w:rsid w:val="63ED0C43"/>
    <w:rsid w:val="63ED479F"/>
    <w:rsid w:val="63F10999"/>
    <w:rsid w:val="641F4B74"/>
    <w:rsid w:val="64460353"/>
    <w:rsid w:val="645206D0"/>
    <w:rsid w:val="645E6CBF"/>
    <w:rsid w:val="64AA08E2"/>
    <w:rsid w:val="65002A2C"/>
    <w:rsid w:val="6502427A"/>
    <w:rsid w:val="6509385A"/>
    <w:rsid w:val="653D1756"/>
    <w:rsid w:val="653E102A"/>
    <w:rsid w:val="65442AE4"/>
    <w:rsid w:val="654B78CA"/>
    <w:rsid w:val="656C55D4"/>
    <w:rsid w:val="657607C4"/>
    <w:rsid w:val="65AD4482"/>
    <w:rsid w:val="65B25CA0"/>
    <w:rsid w:val="65C07C91"/>
    <w:rsid w:val="65D8322D"/>
    <w:rsid w:val="65DC4ACB"/>
    <w:rsid w:val="66013B8E"/>
    <w:rsid w:val="660202AA"/>
    <w:rsid w:val="66326DE1"/>
    <w:rsid w:val="66504D19"/>
    <w:rsid w:val="665243A2"/>
    <w:rsid w:val="66552ACF"/>
    <w:rsid w:val="665B6338"/>
    <w:rsid w:val="665E1984"/>
    <w:rsid w:val="66660838"/>
    <w:rsid w:val="667411A7"/>
    <w:rsid w:val="66742F55"/>
    <w:rsid w:val="6680605A"/>
    <w:rsid w:val="668C58AE"/>
    <w:rsid w:val="66A7157D"/>
    <w:rsid w:val="66B5531C"/>
    <w:rsid w:val="66BC37E2"/>
    <w:rsid w:val="66DB2FD4"/>
    <w:rsid w:val="66F44096"/>
    <w:rsid w:val="670562A3"/>
    <w:rsid w:val="670B7AEA"/>
    <w:rsid w:val="671E1113"/>
    <w:rsid w:val="672A3F5C"/>
    <w:rsid w:val="6756421A"/>
    <w:rsid w:val="67630CEF"/>
    <w:rsid w:val="67780EDA"/>
    <w:rsid w:val="67825B46"/>
    <w:rsid w:val="679C7611"/>
    <w:rsid w:val="67A4786A"/>
    <w:rsid w:val="67A81366"/>
    <w:rsid w:val="67B9759D"/>
    <w:rsid w:val="67D11A4E"/>
    <w:rsid w:val="67D46CDE"/>
    <w:rsid w:val="67D87514"/>
    <w:rsid w:val="67FA392E"/>
    <w:rsid w:val="6819475B"/>
    <w:rsid w:val="681A3DE2"/>
    <w:rsid w:val="683F7593"/>
    <w:rsid w:val="688A7DAC"/>
    <w:rsid w:val="68A5389A"/>
    <w:rsid w:val="68AF1D6D"/>
    <w:rsid w:val="68B161D3"/>
    <w:rsid w:val="68CF43EA"/>
    <w:rsid w:val="68D93544"/>
    <w:rsid w:val="68DC63DC"/>
    <w:rsid w:val="68E1070E"/>
    <w:rsid w:val="690B56C7"/>
    <w:rsid w:val="690C3CE7"/>
    <w:rsid w:val="691B3B5C"/>
    <w:rsid w:val="69416EAD"/>
    <w:rsid w:val="694C3FC0"/>
    <w:rsid w:val="69765D89"/>
    <w:rsid w:val="698C6808"/>
    <w:rsid w:val="699163F6"/>
    <w:rsid w:val="699F653B"/>
    <w:rsid w:val="69CD7914"/>
    <w:rsid w:val="69D47128"/>
    <w:rsid w:val="69DA5DFE"/>
    <w:rsid w:val="69EC374B"/>
    <w:rsid w:val="69F25583"/>
    <w:rsid w:val="69F66377"/>
    <w:rsid w:val="6A2627B9"/>
    <w:rsid w:val="6A462E5B"/>
    <w:rsid w:val="6A49294B"/>
    <w:rsid w:val="6A503CD9"/>
    <w:rsid w:val="6A692CB7"/>
    <w:rsid w:val="6A696B49"/>
    <w:rsid w:val="6A8952C2"/>
    <w:rsid w:val="6AB57FE0"/>
    <w:rsid w:val="6AC65D4A"/>
    <w:rsid w:val="6AD46A66"/>
    <w:rsid w:val="6AED37F2"/>
    <w:rsid w:val="6AEF7DCE"/>
    <w:rsid w:val="6B3C7DBA"/>
    <w:rsid w:val="6B621F16"/>
    <w:rsid w:val="6B6F4633"/>
    <w:rsid w:val="6B7B2FD8"/>
    <w:rsid w:val="6B7D161D"/>
    <w:rsid w:val="6B9023FF"/>
    <w:rsid w:val="6B9F5BAD"/>
    <w:rsid w:val="6BA442DD"/>
    <w:rsid w:val="6BA46BE1"/>
    <w:rsid w:val="6BC04E8F"/>
    <w:rsid w:val="6BC06C3D"/>
    <w:rsid w:val="6BC404DB"/>
    <w:rsid w:val="6BC95AF1"/>
    <w:rsid w:val="6BCA6224"/>
    <w:rsid w:val="6BD41C61"/>
    <w:rsid w:val="6BE91CF0"/>
    <w:rsid w:val="6BF32B6E"/>
    <w:rsid w:val="6C0A614D"/>
    <w:rsid w:val="6C1D4188"/>
    <w:rsid w:val="6C303DC2"/>
    <w:rsid w:val="6C3952AC"/>
    <w:rsid w:val="6C5D448C"/>
    <w:rsid w:val="6C8C114B"/>
    <w:rsid w:val="6CA672D2"/>
    <w:rsid w:val="6CF21078"/>
    <w:rsid w:val="6CF9407C"/>
    <w:rsid w:val="6D002DFC"/>
    <w:rsid w:val="6D194017"/>
    <w:rsid w:val="6D1B05CF"/>
    <w:rsid w:val="6D2A6A64"/>
    <w:rsid w:val="6D571889"/>
    <w:rsid w:val="6D837F22"/>
    <w:rsid w:val="6D8E5551"/>
    <w:rsid w:val="6DBD6517"/>
    <w:rsid w:val="6DD10C8D"/>
    <w:rsid w:val="6DEF55B7"/>
    <w:rsid w:val="6DFA6436"/>
    <w:rsid w:val="6E22773B"/>
    <w:rsid w:val="6E5D0773"/>
    <w:rsid w:val="6E602011"/>
    <w:rsid w:val="6E751F61"/>
    <w:rsid w:val="6E761835"/>
    <w:rsid w:val="6E79211E"/>
    <w:rsid w:val="6E8126B3"/>
    <w:rsid w:val="6E82467D"/>
    <w:rsid w:val="6E8439ED"/>
    <w:rsid w:val="6E9C573F"/>
    <w:rsid w:val="6EA6211A"/>
    <w:rsid w:val="6EC23191"/>
    <w:rsid w:val="6EC93EB4"/>
    <w:rsid w:val="6EEC3440"/>
    <w:rsid w:val="6F255735"/>
    <w:rsid w:val="6F3C65DA"/>
    <w:rsid w:val="6F5837CB"/>
    <w:rsid w:val="6F6D5423"/>
    <w:rsid w:val="6F7C0E3D"/>
    <w:rsid w:val="6F7F4023"/>
    <w:rsid w:val="6F82185F"/>
    <w:rsid w:val="6F886353"/>
    <w:rsid w:val="6F887838"/>
    <w:rsid w:val="6F8E41A4"/>
    <w:rsid w:val="6FA32AFD"/>
    <w:rsid w:val="6FDD600F"/>
    <w:rsid w:val="6FE86762"/>
    <w:rsid w:val="6FEC0000"/>
    <w:rsid w:val="6FEE70E9"/>
    <w:rsid w:val="70096E04"/>
    <w:rsid w:val="700C2451"/>
    <w:rsid w:val="703235D5"/>
    <w:rsid w:val="70380103"/>
    <w:rsid w:val="703A3D0A"/>
    <w:rsid w:val="70705949"/>
    <w:rsid w:val="70744007"/>
    <w:rsid w:val="70BF6642"/>
    <w:rsid w:val="70FF075C"/>
    <w:rsid w:val="710650F2"/>
    <w:rsid w:val="71066EA0"/>
    <w:rsid w:val="71237A52"/>
    <w:rsid w:val="71431EA2"/>
    <w:rsid w:val="71525070"/>
    <w:rsid w:val="715C2F64"/>
    <w:rsid w:val="7162598C"/>
    <w:rsid w:val="71804EA4"/>
    <w:rsid w:val="722F68CA"/>
    <w:rsid w:val="724D08F0"/>
    <w:rsid w:val="72534367"/>
    <w:rsid w:val="72A5093A"/>
    <w:rsid w:val="72BF2E76"/>
    <w:rsid w:val="72E75D66"/>
    <w:rsid w:val="73497518"/>
    <w:rsid w:val="734E4B2E"/>
    <w:rsid w:val="73634A7D"/>
    <w:rsid w:val="73682094"/>
    <w:rsid w:val="73740A39"/>
    <w:rsid w:val="737C169B"/>
    <w:rsid w:val="73814F04"/>
    <w:rsid w:val="739C3AEB"/>
    <w:rsid w:val="73BA5622"/>
    <w:rsid w:val="73C343E4"/>
    <w:rsid w:val="73E56BC8"/>
    <w:rsid w:val="73E831D5"/>
    <w:rsid w:val="73F25E01"/>
    <w:rsid w:val="73F506D6"/>
    <w:rsid w:val="740B2A1F"/>
    <w:rsid w:val="74117C8D"/>
    <w:rsid w:val="74220923"/>
    <w:rsid w:val="745708AE"/>
    <w:rsid w:val="74806F69"/>
    <w:rsid w:val="74852401"/>
    <w:rsid w:val="749F1AE5"/>
    <w:rsid w:val="74B471B3"/>
    <w:rsid w:val="74E03EAC"/>
    <w:rsid w:val="75022074"/>
    <w:rsid w:val="75221B04"/>
    <w:rsid w:val="75717E89"/>
    <w:rsid w:val="757A6A57"/>
    <w:rsid w:val="758331B5"/>
    <w:rsid w:val="75AB270C"/>
    <w:rsid w:val="75F419BD"/>
    <w:rsid w:val="762A27DA"/>
    <w:rsid w:val="763E0E8A"/>
    <w:rsid w:val="76430936"/>
    <w:rsid w:val="76524935"/>
    <w:rsid w:val="76740D50"/>
    <w:rsid w:val="76816FC9"/>
    <w:rsid w:val="76832D41"/>
    <w:rsid w:val="76A50965"/>
    <w:rsid w:val="76A6461F"/>
    <w:rsid w:val="76B80C3C"/>
    <w:rsid w:val="76C53359"/>
    <w:rsid w:val="76DE441B"/>
    <w:rsid w:val="76F679B7"/>
    <w:rsid w:val="77356731"/>
    <w:rsid w:val="773D1603"/>
    <w:rsid w:val="77400C32"/>
    <w:rsid w:val="774A6156"/>
    <w:rsid w:val="77D71596"/>
    <w:rsid w:val="77EB35FA"/>
    <w:rsid w:val="780D320A"/>
    <w:rsid w:val="783F6BF7"/>
    <w:rsid w:val="78434E7D"/>
    <w:rsid w:val="786A41B8"/>
    <w:rsid w:val="7871660D"/>
    <w:rsid w:val="78987C84"/>
    <w:rsid w:val="789E20B4"/>
    <w:rsid w:val="78C4148F"/>
    <w:rsid w:val="78E21FA1"/>
    <w:rsid w:val="78EE4DE9"/>
    <w:rsid w:val="790901FF"/>
    <w:rsid w:val="7924080B"/>
    <w:rsid w:val="79254583"/>
    <w:rsid w:val="792D540E"/>
    <w:rsid w:val="794F07DE"/>
    <w:rsid w:val="797F5A41"/>
    <w:rsid w:val="798B088A"/>
    <w:rsid w:val="798F3644"/>
    <w:rsid w:val="79933102"/>
    <w:rsid w:val="799A287B"/>
    <w:rsid w:val="79C142AC"/>
    <w:rsid w:val="79D10450"/>
    <w:rsid w:val="79DC2E94"/>
    <w:rsid w:val="7A245426"/>
    <w:rsid w:val="7A286917"/>
    <w:rsid w:val="7A290118"/>
    <w:rsid w:val="7A5C2227"/>
    <w:rsid w:val="7A601D17"/>
    <w:rsid w:val="7A6376BF"/>
    <w:rsid w:val="7A97688D"/>
    <w:rsid w:val="7A9814B1"/>
    <w:rsid w:val="7AA65250"/>
    <w:rsid w:val="7AB43E11"/>
    <w:rsid w:val="7AF256B6"/>
    <w:rsid w:val="7AF449C4"/>
    <w:rsid w:val="7B051225"/>
    <w:rsid w:val="7B0846E3"/>
    <w:rsid w:val="7B486307"/>
    <w:rsid w:val="7B4C229B"/>
    <w:rsid w:val="7B4C5DF7"/>
    <w:rsid w:val="7B7F7F7B"/>
    <w:rsid w:val="7B914268"/>
    <w:rsid w:val="7B965AB3"/>
    <w:rsid w:val="7BBC1AD5"/>
    <w:rsid w:val="7BC2255D"/>
    <w:rsid w:val="7BEF7850"/>
    <w:rsid w:val="7C036DFE"/>
    <w:rsid w:val="7C280612"/>
    <w:rsid w:val="7C444D20"/>
    <w:rsid w:val="7C5C650E"/>
    <w:rsid w:val="7C7C0DEA"/>
    <w:rsid w:val="7CB00608"/>
    <w:rsid w:val="7CD442F6"/>
    <w:rsid w:val="7CF14EA8"/>
    <w:rsid w:val="7CF718EF"/>
    <w:rsid w:val="7D07647A"/>
    <w:rsid w:val="7D31799A"/>
    <w:rsid w:val="7D3935CB"/>
    <w:rsid w:val="7D5316BF"/>
    <w:rsid w:val="7D6513F2"/>
    <w:rsid w:val="7D72364A"/>
    <w:rsid w:val="7D7B0C16"/>
    <w:rsid w:val="7D7D6095"/>
    <w:rsid w:val="7D8E0CD4"/>
    <w:rsid w:val="7D9A4AFF"/>
    <w:rsid w:val="7DAC5273"/>
    <w:rsid w:val="7DAD28DC"/>
    <w:rsid w:val="7DB14637"/>
    <w:rsid w:val="7DBF464A"/>
    <w:rsid w:val="7DC15CCA"/>
    <w:rsid w:val="7DF84014"/>
    <w:rsid w:val="7E0105AB"/>
    <w:rsid w:val="7E0503B7"/>
    <w:rsid w:val="7E074257"/>
    <w:rsid w:val="7E0E55E6"/>
    <w:rsid w:val="7E384472"/>
    <w:rsid w:val="7E795155"/>
    <w:rsid w:val="7E885398"/>
    <w:rsid w:val="7E9F4667"/>
    <w:rsid w:val="7EAD3051"/>
    <w:rsid w:val="7EB20667"/>
    <w:rsid w:val="7EF94618"/>
    <w:rsid w:val="7F076A8B"/>
    <w:rsid w:val="7F1430D0"/>
    <w:rsid w:val="7F211349"/>
    <w:rsid w:val="7F2B19DA"/>
    <w:rsid w:val="7F2C21C7"/>
    <w:rsid w:val="7F3217A8"/>
    <w:rsid w:val="7F405C73"/>
    <w:rsid w:val="7F460DAF"/>
    <w:rsid w:val="7F4736ED"/>
    <w:rsid w:val="7F4946CE"/>
    <w:rsid w:val="7F5D6825"/>
    <w:rsid w:val="7F631B2A"/>
    <w:rsid w:val="7F65392B"/>
    <w:rsid w:val="7F743B6E"/>
    <w:rsid w:val="7F98785D"/>
    <w:rsid w:val="7FA501CC"/>
    <w:rsid w:val="7FAE52D2"/>
    <w:rsid w:val="7FBB354B"/>
    <w:rsid w:val="7FC9626B"/>
    <w:rsid w:val="7FD0349B"/>
    <w:rsid w:val="7FE505C8"/>
    <w:rsid w:val="7FEC7B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Arial" w:hAnsi="Arial" w:eastAsia="Arial" w:cs="Arial"/>
      <w:sz w:val="21"/>
      <w:szCs w:val="21"/>
      <w:lang w:val="en-US" w:eastAsia="en-US" w:bidi="ar-SA"/>
    </w:r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0"/>
    <w:rPr>
      <w:sz w:val="24"/>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autoRedefine/>
    <w:qFormat/>
    <w:uiPriority w:val="0"/>
    <w:rPr>
      <w:color w:val="0000FF"/>
      <w:u w:val="single"/>
    </w:rPr>
  </w:style>
  <w:style w:type="paragraph" w:customStyle="1" w:styleId="10">
    <w:name w:val="Table Text"/>
    <w:basedOn w:val="1"/>
    <w:autoRedefine/>
    <w:semiHidden/>
    <w:qFormat/>
    <w:uiPriority w:val="0"/>
    <w:rPr>
      <w:rFonts w:ascii="微软雅黑" w:hAnsi="微软雅黑" w:eastAsia="微软雅黑" w:cs="微软雅黑"/>
      <w:sz w:val="17"/>
      <w:szCs w:val="17"/>
      <w:lang w:val="en-US" w:eastAsia="en-US" w:bidi="ar-SA"/>
    </w:rPr>
  </w:style>
  <w:style w:type="table" w:customStyle="1" w:styleId="11">
    <w:name w:val="Table Normal"/>
    <w:autoRedefine/>
    <w:semiHidden/>
    <w:unhideWhenUsed/>
    <w:qFormat/>
    <w:uiPriority w:val="0"/>
    <w:tblPr>
      <w:tblCellMar>
        <w:top w:w="0" w:type="dxa"/>
        <w:left w:w="0" w:type="dxa"/>
        <w:bottom w:w="0" w:type="dxa"/>
        <w:right w:w="0" w:type="dxa"/>
      </w:tblCellMar>
    </w:tblPr>
  </w:style>
  <w:style w:type="paragraph" w:customStyle="1" w:styleId="12">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3507</Words>
  <Characters>4281</Characters>
  <Lines>0</Lines>
  <Paragraphs>0</Paragraphs>
  <TotalTime>0</TotalTime>
  <ScaleCrop>false</ScaleCrop>
  <LinksUpToDate>false</LinksUpToDate>
  <CharactersWithSpaces>4340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2024-03-19T23:57:00Z</dcterms:created>
  <dc:creator>WPS_1180513195</dc:creator>
  <cp:lastModifiedBy>WPS_1180513195</cp:lastModifiedBy>
  <dcterms:modified xsi:type="dcterms:W3CDTF">2024-04-11T00:55:39Z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D23AE21371AD4B2A936F48373C5D0EDD_13</vt:lpwstr>
  </property>
</Properties>
</file>