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4</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12</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val="en-US" w:eastAsia="zh-CN"/>
        </w:rPr>
        <w:t>隔夜</w:t>
      </w:r>
      <w:r>
        <w:rPr>
          <w:rFonts w:hint="eastAsia" w:ascii="微软雅黑" w:hAnsi="微软雅黑" w:eastAsia="微软雅黑" w:cs="微软雅黑"/>
          <w:spacing w:val="4"/>
          <w:sz w:val="24"/>
          <w:szCs w:val="24"/>
          <w:lang w:eastAsia="zh-CN"/>
        </w:rPr>
        <w:t>美</w:t>
      </w:r>
      <w:r>
        <w:rPr>
          <w:rFonts w:hint="eastAsia" w:ascii="微软雅黑" w:hAnsi="微软雅黑" w:eastAsia="微软雅黑" w:cs="微软雅黑"/>
          <w:spacing w:val="4"/>
          <w:sz w:val="24"/>
          <w:szCs w:val="24"/>
          <w:lang w:val="en-US" w:eastAsia="zh-CN"/>
        </w:rPr>
        <w:t>股</w:t>
      </w:r>
      <w:r>
        <w:rPr>
          <w:rFonts w:hint="eastAsia" w:ascii="微软雅黑" w:hAnsi="微软雅黑" w:eastAsia="微软雅黑" w:cs="微软雅黑"/>
          <w:spacing w:val="4"/>
          <w:sz w:val="24"/>
          <w:szCs w:val="24"/>
          <w:lang w:eastAsia="zh-CN"/>
        </w:rPr>
        <w:t>三大股指涨跌不一，道指跌0.01%，标普500指数涨0.74%，纳指涨1.68%。美元指数涨0.08%报105.28，非美货币多数上涨，离岸人民币对美元涨67个基点报7.2558。国际油价全线下跌，美油5月合约跌0.72%，报85.59美元/桶。布油6月合约跌0.25%，报90.25美元/桶。国际贵金属期货普遍收涨，COMEX黄金期货涨1.8%报2390.6美元/盎司，COMEX白银期货涨1.76%报28.545美元/盎司；现货黄金</w:t>
      </w:r>
      <w:r>
        <w:rPr>
          <w:rFonts w:hint="eastAsia" w:ascii="微软雅黑" w:hAnsi="微软雅黑" w:eastAsia="微软雅黑" w:cs="微软雅黑"/>
          <w:spacing w:val="4"/>
          <w:sz w:val="24"/>
          <w:szCs w:val="24"/>
          <w:lang w:val="en-US" w:eastAsia="zh-CN"/>
        </w:rPr>
        <w:t>最高</w:t>
      </w:r>
      <w:r>
        <w:rPr>
          <w:rFonts w:hint="eastAsia" w:ascii="微软雅黑" w:hAnsi="微软雅黑" w:eastAsia="微软雅黑" w:cs="微软雅黑"/>
          <w:spacing w:val="4"/>
          <w:sz w:val="24"/>
          <w:szCs w:val="24"/>
          <w:lang w:eastAsia="zh-CN"/>
        </w:rPr>
        <w:t>至2377美元/盎司，</w:t>
      </w:r>
      <w:r>
        <w:rPr>
          <w:rFonts w:hint="eastAsia" w:ascii="微软雅黑" w:hAnsi="微软雅黑" w:eastAsia="微软雅黑" w:cs="微软雅黑"/>
          <w:spacing w:val="4"/>
          <w:sz w:val="24"/>
          <w:szCs w:val="24"/>
          <w:lang w:val="en-US" w:eastAsia="zh-CN"/>
        </w:rPr>
        <w:t>刷新历史记录</w:t>
      </w:r>
      <w:r>
        <w:rPr>
          <w:rFonts w:hint="eastAsia" w:ascii="微软雅黑" w:hAnsi="微软雅黑" w:eastAsia="微软雅黑" w:cs="微软雅黑"/>
          <w:spacing w:val="4"/>
          <w:sz w:val="24"/>
          <w:szCs w:val="24"/>
          <w:lang w:eastAsia="zh-CN"/>
        </w:rPr>
        <w:t>。LME期铜跌0.14%报9361美元/吨。ICE 5月原糖</w:t>
      </w:r>
      <w:r>
        <w:rPr>
          <w:rFonts w:hint="eastAsia" w:ascii="微软雅黑" w:hAnsi="微软雅黑" w:eastAsia="微软雅黑" w:cs="微软雅黑"/>
          <w:spacing w:val="4"/>
          <w:sz w:val="24"/>
          <w:szCs w:val="24"/>
          <w:lang w:val="en-US" w:eastAsia="zh-CN"/>
        </w:rPr>
        <w:t>期货合约</w:t>
      </w:r>
      <w:r>
        <w:rPr>
          <w:rFonts w:hint="eastAsia" w:ascii="微软雅黑" w:hAnsi="微软雅黑" w:eastAsia="微软雅黑" w:cs="微软雅黑"/>
          <w:spacing w:val="4"/>
          <w:sz w:val="24"/>
          <w:szCs w:val="24"/>
          <w:lang w:eastAsia="zh-CN"/>
        </w:rPr>
        <w:t>收</w:t>
      </w:r>
      <w:r>
        <w:rPr>
          <w:rFonts w:hint="eastAsia" w:ascii="微软雅黑" w:hAnsi="微软雅黑" w:eastAsia="微软雅黑" w:cs="微软雅黑"/>
          <w:spacing w:val="4"/>
          <w:sz w:val="24"/>
          <w:szCs w:val="24"/>
          <w:lang w:val="en-US" w:eastAsia="zh-CN"/>
        </w:rPr>
        <w:t>跌2.8%</w:t>
      </w:r>
      <w:r>
        <w:rPr>
          <w:rFonts w:hint="eastAsia" w:ascii="微软雅黑" w:hAnsi="微软雅黑" w:eastAsia="微软雅黑" w:cs="微软雅黑"/>
          <w:spacing w:val="4"/>
          <w:sz w:val="24"/>
          <w:szCs w:val="24"/>
          <w:lang w:eastAsia="zh-CN"/>
        </w:rPr>
        <w:t>，结算价报2</w:t>
      </w:r>
      <w:r>
        <w:rPr>
          <w:rFonts w:hint="eastAsia" w:ascii="微软雅黑" w:hAnsi="微软雅黑" w:eastAsia="微软雅黑" w:cs="微软雅黑"/>
          <w:spacing w:val="4"/>
          <w:sz w:val="24"/>
          <w:szCs w:val="24"/>
          <w:lang w:val="en-US" w:eastAsia="zh-CN"/>
        </w:rPr>
        <w:t>0.85</w:t>
      </w:r>
      <w:r>
        <w:rPr>
          <w:rFonts w:hint="eastAsia" w:ascii="微软雅黑" w:hAnsi="微软雅黑" w:eastAsia="微软雅黑" w:cs="微软雅黑"/>
          <w:spacing w:val="4"/>
          <w:sz w:val="24"/>
          <w:szCs w:val="24"/>
          <w:lang w:eastAsia="zh-CN"/>
        </w:rPr>
        <w:t>美分/磅。ICE 5月期棉</w:t>
      </w:r>
      <w:r>
        <w:rPr>
          <w:rFonts w:hint="eastAsia" w:ascii="微软雅黑" w:hAnsi="微软雅黑" w:eastAsia="微软雅黑" w:cs="微软雅黑"/>
          <w:spacing w:val="4"/>
          <w:sz w:val="24"/>
          <w:szCs w:val="24"/>
          <w:lang w:val="en-US" w:eastAsia="zh-CN"/>
        </w:rPr>
        <w:t>期货合约</w:t>
      </w:r>
      <w:r>
        <w:rPr>
          <w:rFonts w:hint="eastAsia" w:ascii="微软雅黑" w:hAnsi="微软雅黑" w:eastAsia="微软雅黑" w:cs="微软雅黑"/>
          <w:spacing w:val="12"/>
          <w:sz w:val="24"/>
          <w:szCs w:val="24"/>
        </w:rPr>
        <w:t>收跌</w:t>
      </w:r>
      <w:r>
        <w:rPr>
          <w:rFonts w:hint="eastAsia" w:ascii="微软雅黑" w:hAnsi="微软雅黑" w:eastAsia="微软雅黑" w:cs="微软雅黑"/>
          <w:spacing w:val="12"/>
          <w:sz w:val="24"/>
          <w:szCs w:val="24"/>
          <w:lang w:val="en-US" w:eastAsia="zh-CN"/>
        </w:rPr>
        <w:t>2.27</w:t>
      </w:r>
      <w:r>
        <w:rPr>
          <w:rFonts w:hint="eastAsia" w:ascii="微软雅黑" w:hAnsi="微软雅黑" w:eastAsia="微软雅黑" w:cs="微软雅黑"/>
          <w:spacing w:val="12"/>
          <w:sz w:val="24"/>
          <w:szCs w:val="24"/>
        </w:rPr>
        <w:t>%</w:t>
      </w:r>
      <w:r>
        <w:rPr>
          <w:rFonts w:hint="eastAsia" w:ascii="微软雅黑" w:hAnsi="微软雅黑" w:eastAsia="微软雅黑" w:cs="微软雅黑"/>
          <w:spacing w:val="4"/>
          <w:sz w:val="24"/>
          <w:szCs w:val="24"/>
          <w:lang w:eastAsia="zh-CN"/>
        </w:rPr>
        <w:t>，结算价报8</w:t>
      </w:r>
      <w:r>
        <w:rPr>
          <w:rFonts w:hint="eastAsia" w:ascii="微软雅黑" w:hAnsi="微软雅黑" w:eastAsia="微软雅黑" w:cs="微软雅黑"/>
          <w:spacing w:val="4"/>
          <w:sz w:val="24"/>
          <w:szCs w:val="24"/>
          <w:lang w:val="en-US" w:eastAsia="zh-CN"/>
        </w:rPr>
        <w:t>3.37美</w:t>
      </w:r>
      <w:r>
        <w:rPr>
          <w:rFonts w:hint="eastAsia" w:ascii="微软雅黑" w:hAnsi="微软雅黑" w:eastAsia="微软雅黑" w:cs="微软雅黑"/>
          <w:spacing w:val="4"/>
          <w:sz w:val="24"/>
          <w:szCs w:val="24"/>
          <w:lang w:eastAsia="zh-CN"/>
        </w:rPr>
        <w:t>分/磅。</w:t>
      </w:r>
    </w:p>
    <w:p>
      <w:pPr>
        <w:spacing w:before="235" w:line="176" w:lineRule="auto"/>
        <w:jc w:val="both"/>
        <w:rPr>
          <w:rFonts w:hint="default" w:ascii="微软雅黑" w:hAnsi="微软雅黑" w:eastAsia="微软雅黑" w:cs="微软雅黑"/>
          <w:spacing w:val="7"/>
          <w:sz w:val="21"/>
          <w:szCs w:val="21"/>
          <w:lang w:val="en-US" w:eastAsia="zh-CN"/>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t>
      </w:r>
    </w:p>
    <w:p>
      <w:pPr>
        <w:spacing w:before="235" w:line="176" w:lineRule="auto"/>
        <w:jc w:val="both"/>
        <w:rPr>
          <w:rFonts w:hint="eastAsia"/>
          <w:lang w:eastAsia="zh-CN"/>
        </w:rPr>
      </w:pPr>
      <w:r>
        <w:drawing>
          <wp:inline distT="0" distB="0" distL="114300" distR="114300">
            <wp:extent cx="6198235" cy="3350895"/>
            <wp:effectExtent l="0" t="0" r="12065" b="190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2"/>
                    <a:srcRect l="728" t="11430" r="5458" b="4123"/>
                    <a:stretch>
                      <a:fillRect/>
                    </a:stretch>
                  </pic:blipFill>
                  <pic:spPr>
                    <a:xfrm>
                      <a:off x="0" y="0"/>
                      <a:ext cx="6198235" cy="3350895"/>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公开资料整理、瑞达国际</w:t>
      </w:r>
    </w:p>
    <w:p>
      <w:pPr>
        <w:pStyle w:val="2"/>
        <w:spacing w:line="282" w:lineRule="auto"/>
      </w:pPr>
    </w:p>
    <w:p>
      <w:pPr>
        <w:pStyle w:val="2"/>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w:t>
      </w:r>
      <w:r>
        <w:rPr>
          <w:rFonts w:hint="eastAsia" w:ascii="微软雅黑" w:hAnsi="微软雅黑" w:eastAsia="微软雅黑" w:cs="微软雅黑"/>
          <w:spacing w:val="4"/>
          <w:sz w:val="24"/>
          <w:szCs w:val="24"/>
          <w:lang w:val="en-US" w:eastAsia="zh-CN"/>
        </w:rPr>
        <w:t>据参考消息援引彭博社最新报道，伊朗或其代理人或很快对以色列发动大规模导弹或无人机袭击。拜登表示，将坚定不移支持以色列抵御伊朗袭击。</w:t>
      </w:r>
      <w:r>
        <w:rPr>
          <w:rFonts w:hint="eastAsia" w:ascii="微软雅黑" w:hAnsi="微软雅黑" w:eastAsia="微软雅黑" w:cs="微软雅黑"/>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【现货黄金突破前高2365.25美元/盎司，</w:t>
      </w:r>
      <w:r>
        <w:rPr>
          <w:rFonts w:hint="eastAsia" w:ascii="微软雅黑" w:hAnsi="微软雅黑" w:eastAsia="微软雅黑" w:cs="微软雅黑"/>
          <w:spacing w:val="4"/>
          <w:sz w:val="24"/>
          <w:szCs w:val="24"/>
          <w:lang w:val="en-US" w:eastAsia="zh-CN"/>
        </w:rPr>
        <w:t>最高</w:t>
      </w:r>
      <w:r>
        <w:rPr>
          <w:rFonts w:hint="eastAsia" w:ascii="微软雅黑" w:hAnsi="微软雅黑" w:eastAsia="微软雅黑" w:cs="微软雅黑"/>
          <w:spacing w:val="4"/>
          <w:sz w:val="24"/>
          <w:szCs w:val="24"/>
          <w:lang w:eastAsia="zh-CN"/>
        </w:rPr>
        <w:t>至2377美元/盎司，续创历史新高，日内涨1.4%。】</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【美国3月PPI同比上升2.1%，创2023年4月以来新高，预期2.2%，前值1.6%；环比上升0.2%，预期0.3%，前值0.6%。3月核心PPI同比上升2.4%，预期2.3%，前值2.0%；环比上升0.2%，预期0.2%，前值0.3%。】</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【美国上周初请失业金人数为21.1万人，预期21.5万人，前值自22.1万人修正至22.2万人；四周均值21.425万人，前值自21.425万人修正至21.45万人；3月30日当周续请失业金人数181.7万人，预期180万人。】</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【美联储威廉姆斯</w:t>
      </w:r>
      <w:r>
        <w:rPr>
          <w:rFonts w:hint="eastAsia" w:ascii="微软雅黑" w:hAnsi="微软雅黑" w:eastAsia="微软雅黑" w:cs="微软雅黑"/>
          <w:spacing w:val="4"/>
          <w:sz w:val="24"/>
          <w:szCs w:val="24"/>
          <w:lang w:val="en-US" w:eastAsia="zh-CN"/>
        </w:rPr>
        <w:t>预计，</w:t>
      </w:r>
      <w:r>
        <w:rPr>
          <w:rFonts w:hint="eastAsia" w:ascii="微软雅黑" w:hAnsi="微软雅黑" w:eastAsia="微软雅黑" w:cs="微软雅黑"/>
          <w:spacing w:val="4"/>
          <w:sz w:val="24"/>
          <w:szCs w:val="24"/>
          <w:lang w:eastAsia="zh-CN"/>
        </w:rPr>
        <w:t>今年美国GDP增速将达到2%，通胀将保持在2.25%-2.5%。】</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洲央行将主要再融资利率、存款机制利率、边际贷款利率分别维持在4.5%、4%及4.75%不变，符合市场预期。欧洲央行明确暗示即将降息，称大多数潜在通胀指标正在放缓，如果相信通胀将达到2%，利率可能会下降。】</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【德国2月未季调经常帐盈余298亿欧元，前值盈余297亿欧元。】</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【英国政府宣布，将对包括汽车零部件和果汁在内的100多种商品暂停征收进口关税，直至2026年6月。】</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【新加坡金管局维持货币波动区间的斜率、宽度和中点不变。】</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【韩国在野党阵营在第22届国会议员选举中赢得超过五分之三的席位。韩国国务总理韩德洙、总统府秘书室长、政策室长以及首席秘书等全员请辞，韩执政党临时领导人韩东勋请辞。】</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1"/>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0"/>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0"/>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28"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12</w:t>
            </w:r>
          </w:p>
        </w:tc>
        <w:tc>
          <w:tcPr>
            <w:tcW w:w="1143" w:type="dxa"/>
            <w:vAlign w:val="top"/>
          </w:tcPr>
          <w:p>
            <w:pPr>
              <w:pStyle w:val="10"/>
              <w:spacing w:before="243" w:line="172" w:lineRule="auto"/>
              <w:ind w:left="94" w:leftChars="0"/>
              <w:jc w:val="left"/>
              <w:rPr>
                <w:rFonts w:hint="default"/>
                <w:sz w:val="19"/>
                <w:szCs w:val="19"/>
                <w:lang w:val="en-US"/>
              </w:rPr>
            </w:pPr>
            <w:r>
              <w:rPr>
                <w:rFonts w:hint="eastAsia"/>
                <w:b/>
                <w:bCs/>
                <w:spacing w:val="6"/>
                <w:sz w:val="19"/>
                <w:szCs w:val="19"/>
                <w:lang w:val="en-US" w:eastAsia="zh-CN"/>
              </w:rPr>
              <w:t>12：30</w:t>
            </w:r>
          </w:p>
        </w:tc>
        <w:tc>
          <w:tcPr>
            <w:tcW w:w="6679" w:type="dxa"/>
            <w:vAlign w:val="top"/>
          </w:tcPr>
          <w:p>
            <w:pPr>
              <w:pStyle w:val="10"/>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日本2月工业产出终值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12</w:t>
            </w:r>
          </w:p>
        </w:tc>
        <w:tc>
          <w:tcPr>
            <w:tcW w:w="1143" w:type="dxa"/>
            <w:shd w:val="clear" w:color="auto" w:fill="D3EAFF"/>
            <w:vAlign w:val="top"/>
          </w:tcPr>
          <w:p>
            <w:pPr>
              <w:pStyle w:val="10"/>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en-US" w:bidi="ar-SA"/>
              </w:rPr>
            </w:pPr>
            <w:r>
              <w:rPr>
                <w:rFonts w:hint="eastAsia"/>
                <w:b/>
                <w:bCs/>
                <w:spacing w:val="5"/>
                <w:sz w:val="19"/>
                <w:szCs w:val="19"/>
                <w:lang w:val="en-US" w:eastAsia="zh-CN"/>
              </w:rPr>
              <w:t>14：00</w:t>
            </w:r>
          </w:p>
        </w:tc>
        <w:tc>
          <w:tcPr>
            <w:tcW w:w="6679" w:type="dxa"/>
            <w:shd w:val="clear" w:color="auto" w:fill="D3EAFF"/>
            <w:vAlign w:val="top"/>
          </w:tcPr>
          <w:p>
            <w:pPr>
              <w:pStyle w:val="10"/>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英国2月GDP</w:t>
            </w:r>
            <w:r>
              <w:rPr>
                <w:rFonts w:hint="eastAsia"/>
                <w:sz w:val="19"/>
                <w:szCs w:val="19"/>
                <w:lang w:val="en-US" w:eastAsia="zh-CN"/>
              </w:rPr>
              <w:t>、</w:t>
            </w:r>
            <w:r>
              <w:rPr>
                <w:rFonts w:hint="default" w:eastAsia="微软雅黑"/>
                <w:sz w:val="19"/>
                <w:szCs w:val="19"/>
                <w:lang w:val="en-US" w:eastAsia="zh-CN"/>
              </w:rPr>
              <w:t>商品贸易帐</w:t>
            </w:r>
            <w:r>
              <w:rPr>
                <w:rFonts w:hint="eastAsia"/>
                <w:sz w:val="19"/>
                <w:szCs w:val="19"/>
                <w:lang w:val="en-US" w:eastAsia="zh-CN"/>
              </w:rPr>
              <w:t>、制造业产出、工业产出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0"/>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12</w:t>
            </w:r>
          </w:p>
        </w:tc>
        <w:tc>
          <w:tcPr>
            <w:tcW w:w="1143" w:type="dxa"/>
            <w:vAlign w:val="top"/>
          </w:tcPr>
          <w:p>
            <w:pPr>
              <w:pStyle w:val="10"/>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14：00</w:t>
            </w:r>
          </w:p>
        </w:tc>
        <w:tc>
          <w:tcPr>
            <w:tcW w:w="6679" w:type="dxa"/>
            <w:vAlign w:val="top"/>
          </w:tcPr>
          <w:p>
            <w:pPr>
              <w:pStyle w:val="10"/>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德国3月调和CPI终值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0"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12</w:t>
            </w:r>
          </w:p>
        </w:tc>
        <w:tc>
          <w:tcPr>
            <w:tcW w:w="1143" w:type="dxa"/>
            <w:shd w:val="clear" w:color="auto" w:fill="D3EAFF"/>
            <w:vAlign w:val="top"/>
          </w:tcPr>
          <w:p>
            <w:pPr>
              <w:pStyle w:val="10"/>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14：45</w:t>
            </w:r>
          </w:p>
        </w:tc>
        <w:tc>
          <w:tcPr>
            <w:tcW w:w="6679" w:type="dxa"/>
            <w:shd w:val="clear" w:color="auto" w:fill="D3EAFF"/>
            <w:vAlign w:val="top"/>
          </w:tcPr>
          <w:p>
            <w:pPr>
              <w:pStyle w:val="10"/>
              <w:spacing w:before="224" w:line="179" w:lineRule="auto"/>
              <w:jc w:val="center"/>
              <w:rPr>
                <w:rFonts w:hint="default" w:eastAsia="微软雅黑"/>
                <w:sz w:val="19"/>
                <w:szCs w:val="19"/>
                <w:lang w:val="en-US" w:eastAsia="zh-CN"/>
              </w:rPr>
            </w:pPr>
            <w:r>
              <w:rPr>
                <w:rFonts w:hint="eastAsia"/>
                <w:sz w:val="19"/>
                <w:szCs w:val="19"/>
                <w:lang w:val="en-US" w:eastAsia="zh-CN"/>
              </w:rPr>
              <w:t>法国3月调和CPI终值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31"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12</w:t>
            </w:r>
          </w:p>
        </w:tc>
        <w:tc>
          <w:tcPr>
            <w:tcW w:w="1143" w:type="dxa"/>
            <w:vAlign w:val="top"/>
          </w:tcPr>
          <w:p>
            <w:pPr>
              <w:pStyle w:val="10"/>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20：30</w:t>
            </w:r>
          </w:p>
        </w:tc>
        <w:tc>
          <w:tcPr>
            <w:tcW w:w="6679" w:type="dxa"/>
            <w:vAlign w:val="top"/>
          </w:tcPr>
          <w:p>
            <w:pPr>
              <w:pStyle w:val="10"/>
              <w:spacing w:before="224" w:line="180" w:lineRule="auto"/>
              <w:jc w:val="center"/>
              <w:rPr>
                <w:rFonts w:hint="default" w:eastAsia="微软雅黑"/>
                <w:sz w:val="19"/>
                <w:szCs w:val="19"/>
                <w:lang w:val="en-US" w:eastAsia="zh-CN"/>
              </w:rPr>
            </w:pPr>
            <w:r>
              <w:rPr>
                <w:rFonts w:hint="default" w:eastAsia="微软雅黑"/>
                <w:sz w:val="19"/>
                <w:szCs w:val="19"/>
                <w:lang w:val="en-US" w:eastAsia="zh-CN"/>
              </w:rPr>
              <w:t>美国3月进口价格指数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1"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12</w:t>
            </w:r>
          </w:p>
        </w:tc>
        <w:tc>
          <w:tcPr>
            <w:tcW w:w="1143" w:type="dxa"/>
            <w:shd w:val="clear" w:color="auto" w:fill="D3EAFF"/>
            <w:vAlign w:val="top"/>
          </w:tcPr>
          <w:p>
            <w:pPr>
              <w:pStyle w:val="10"/>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22：00</w:t>
            </w:r>
          </w:p>
        </w:tc>
        <w:tc>
          <w:tcPr>
            <w:tcW w:w="6679" w:type="dxa"/>
            <w:shd w:val="clear" w:color="auto" w:fill="D3EAFF"/>
            <w:vAlign w:val="top"/>
          </w:tcPr>
          <w:p>
            <w:pPr>
              <w:pStyle w:val="10"/>
              <w:spacing w:before="224" w:line="180" w:lineRule="auto"/>
              <w:jc w:val="center"/>
              <w:rPr>
                <w:rFonts w:hint="default" w:eastAsia="微软雅黑"/>
                <w:sz w:val="19"/>
                <w:szCs w:val="19"/>
                <w:lang w:val="en-US" w:eastAsia="zh-CN"/>
              </w:rPr>
            </w:pPr>
            <w:r>
              <w:rPr>
                <w:rFonts w:hint="default" w:eastAsia="微软雅黑"/>
                <w:sz w:val="19"/>
                <w:szCs w:val="19"/>
                <w:lang w:val="en-US" w:eastAsia="zh-CN"/>
              </w:rPr>
              <w:t>美国4月密歇根大学消费者信心指数初值</w:t>
            </w:r>
          </w:p>
        </w:tc>
      </w:tr>
    </w:tbl>
    <w:p>
      <w:pPr>
        <w:spacing w:before="120" w:line="190" w:lineRule="auto"/>
        <w:rPr>
          <w:rFonts w:ascii="微软雅黑" w:hAnsi="微软雅黑" w:eastAsia="微软雅黑" w:cs="微软雅黑"/>
          <w:color w:val="036EB8"/>
          <w:position w:val="-4"/>
          <w:sz w:val="28"/>
          <w:szCs w:val="28"/>
        </w:rPr>
      </w:pPr>
    </w:p>
    <w:p>
      <w:pPr>
        <w:spacing w:before="120" w:line="190" w:lineRule="auto"/>
        <w:rPr>
          <w:rFonts w:ascii="微软雅黑" w:hAnsi="微软雅黑" w:eastAsia="微软雅黑" w:cs="微软雅黑"/>
          <w:color w:val="036EB8"/>
          <w:position w:val="-4"/>
          <w:sz w:val="28"/>
          <w:szCs w:val="28"/>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周五，美元指数涨0.08%报105.28，非美货币多数上涨，欧元兑美元跌0.15%报1.0726，英镑兑美元涨0.12%报1.2555，澳元兑美元涨0.39%报0.6538，美元兑日元涨0.07%报153.28。昨日公布的美国3月PPI同比上升2.1%，虽略低于预期但创2023年4月以来新高，再次体现整体通胀压力上升。而近期超预期的通胀水平也使得美联储官员于公开演讲中持续释放鹰派信号，美联储威廉姆斯表示，最近通胀数据令人失望，更好地关注通胀趋势更为重要；并不确切知道货币政策未来走向，货币政策处于能够实现美联储目标的良好位置。而美联储柯林斯则表示，降息的信心可能需要更多的时间才能恢复；强劲的需求可以解释2024年通胀上升的原因；今年晚些时候开始降息是合适的；今年的宽松程度可能比预期的要低。非美国家方面，欧洲央行于昨日会议维持利率水平符合市场预期，但当前市场仍大幅押注欧洲央行6月开启首次降息，欧元区整体利率预期或有所下降。往后看短期内美元指数在利率预期升高以及美国与非美国家利差扩大的影响下或得到一定支撑。</w:t>
      </w:r>
    </w:p>
    <w:p>
      <w:pPr>
        <w:spacing w:before="235" w:line="176" w:lineRule="auto"/>
        <w:jc w:val="both"/>
        <w:rPr>
          <w:rFonts w:hint="default" w:ascii="微软雅黑" w:hAnsi="微软雅黑" w:eastAsia="微软雅黑" w:cs="微软雅黑"/>
          <w:spacing w:val="12"/>
          <w:sz w:val="24"/>
          <w:szCs w:val="24"/>
          <w:lang w:val="en-US" w:eastAsia="zh-CN"/>
        </w:rPr>
      </w:pPr>
      <w:r>
        <w:rPr>
          <w:rFonts w:ascii="微软雅黑" w:hAnsi="微软雅黑" w:eastAsia="微软雅黑" w:cs="微软雅黑"/>
          <w:spacing w:val="7"/>
          <w:sz w:val="21"/>
          <w:szCs w:val="21"/>
        </w:rPr>
        <w:t>图表</w:t>
      </w:r>
      <w:r>
        <w:rPr>
          <w:rFonts w:hint="eastAsia" w:ascii="微软雅黑" w:hAnsi="微软雅黑" w:eastAsia="微软雅黑" w:cs="微软雅黑"/>
          <w:spacing w:val="7"/>
          <w:sz w:val="21"/>
          <w:szCs w:val="21"/>
          <w:lang w:val="en-US" w:eastAsia="zh-CN"/>
        </w:rPr>
        <w:t>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美元指数走势图</w:t>
      </w:r>
    </w:p>
    <w:p>
      <w:pPr>
        <w:spacing w:before="103" w:line="256" w:lineRule="auto"/>
        <w:ind w:right="743"/>
        <w:jc w:val="both"/>
      </w:pPr>
      <w:r>
        <w:drawing>
          <wp:inline distT="0" distB="0" distL="114300" distR="114300">
            <wp:extent cx="5270500" cy="2036445"/>
            <wp:effectExtent l="0" t="0" r="6350" b="190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3"/>
                    <a:stretch>
                      <a:fillRect/>
                    </a:stretch>
                  </pic:blipFill>
                  <pic:spPr>
                    <a:xfrm>
                      <a:off x="0" y="0"/>
                      <a:ext cx="5270500" cy="2036445"/>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left="3" w:right="743" w:firstLine="535"/>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12"/>
          <w:sz w:val="24"/>
          <w:szCs w:val="24"/>
        </w:rPr>
        <w:t>截至4月12日，标普500指数收涨0.74%至5199.06点；迷你标普500主力合约收涨0.76%至5243.25点。美股周四收盘涨跌不一。苹果与英伟达股价大涨，推动纳指走高。美国3月PPI创11个月来最大同比涨幅。投资者正等待多家大型银行周五将公布的财报。纽约联储行长威廉姆斯称短期内没有必要改变货币政策。欧央行发出降息的最明确信号。策略上，短线逢低做多。详细支撑阻力位请见图表</w:t>
      </w:r>
      <w:r>
        <w:rPr>
          <w:rFonts w:hint="eastAsia" w:ascii="微软雅黑" w:hAnsi="微软雅黑" w:eastAsia="微软雅黑" w:cs="微软雅黑"/>
          <w:spacing w:val="12"/>
          <w:sz w:val="24"/>
          <w:szCs w:val="24"/>
          <w:lang w:val="en-US" w:eastAsia="zh-CN"/>
        </w:rPr>
        <w:t>3。</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120" w:line="190" w:lineRule="auto"/>
        <w:jc w:val="both"/>
        <w:rPr>
          <w:rFonts w:ascii="新宋体" w:hAnsi="新宋体" w:eastAsia="新宋体"/>
          <w:b/>
        </w:rPr>
      </w:pPr>
      <w:r>
        <w:drawing>
          <wp:inline distT="0" distB="0" distL="0" distR="0">
            <wp:extent cx="6317615" cy="2014855"/>
            <wp:effectExtent l="0" t="0" r="6985"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4"/>
                    <a:stretch>
                      <a:fillRect/>
                    </a:stretch>
                  </pic:blipFill>
                  <pic:spPr>
                    <a:xfrm>
                      <a:off x="0" y="0"/>
                      <a:ext cx="6317615" cy="2014855"/>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235" w:line="176"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right="743" w:firstLine="528" w:firstLineChars="200"/>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截至4月11日，富时中国A50指数收跌0.16%至12019.64点；新交所富时A50期指主力合约收跌0.25%至12022点。美国3月CPI数据超预期，或进一步修正市场对宏观的预期，同时一季度经济进入结算阶段。4月政治局会议召开前市场较难有大利好支持，不排除进一步整理，5月份或需是市场的机会，政策端关注超长国债以及降准等举措。策略上，短线观望为主。详细支撑阻力位请见图表4。</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富时中国A50走势图</w:t>
      </w:r>
    </w:p>
    <w:p>
      <w:pPr>
        <w:spacing w:before="103" w:line="256" w:lineRule="auto"/>
        <w:ind w:right="743"/>
        <w:jc w:val="both"/>
        <w:rPr>
          <w:rFonts w:ascii="新宋体" w:hAnsi="新宋体" w:eastAsia="新宋体"/>
        </w:rPr>
      </w:pPr>
      <w:r>
        <w:drawing>
          <wp:inline distT="0" distB="0" distL="0" distR="0">
            <wp:extent cx="5979160" cy="2189480"/>
            <wp:effectExtent l="0" t="0" r="254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5"/>
                    <a:stretch>
                      <a:fillRect/>
                    </a:stretch>
                  </pic:blipFill>
                  <pic:spPr>
                    <a:xfrm>
                      <a:off x="0" y="0"/>
                      <a:ext cx="5979160" cy="2189480"/>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国际方面，美国3月PPI年率录得2.1%，为2023年4月以来新高，较预期低0.2个百分点。数据公布后，7月降息的可能性稍微增加。美债收益维持高位震荡，美元回吐日内涨幅。国内方面，中国3月份CPI同比上涨0.1%，环比下降1.0%；PPI同比下降2.8%，环比下降0.1%。国家统计局表示，3月份，受节后消费需求季节性回落、市场供应总体充足等因素影响，全国CPI环比季节性下降，同比涨幅有所回落。基本面上，铜精矿国内报价小幅上涨状态，原材料供应趋紧暂无明显改善迹象，需求方面整体预期向好，下游铜材加工产能利用率已逐步回归常态。总的来看，基本面偏暖，但美国经济通胀仍顽固，美联储降息延后，美元走强或将对铜价走势有一定降温影响。操作建议，轻仓震荡交易，注意控制节奏及交易风险。</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5：纽约</w:t>
      </w:r>
      <w:r>
        <w:rPr>
          <w:rFonts w:hint="eastAsia" w:ascii="微软雅黑" w:hAnsi="微软雅黑" w:eastAsia="微软雅黑" w:cs="微软雅黑"/>
          <w:spacing w:val="7"/>
          <w:sz w:val="21"/>
          <w:szCs w:val="21"/>
        </w:rPr>
        <w:t>铜日线走势图</w:t>
      </w:r>
    </w:p>
    <w:p>
      <w:pPr>
        <w:spacing w:before="103" w:line="256" w:lineRule="auto"/>
        <w:ind w:right="743"/>
        <w:jc w:val="both"/>
      </w:pPr>
      <w:r>
        <w:drawing>
          <wp:inline distT="0" distB="0" distL="0" distR="0">
            <wp:extent cx="5979160" cy="2449830"/>
            <wp:effectExtent l="0" t="0" r="254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stretch>
                      <a:fillRect/>
                    </a:stretch>
                  </pic:blipFill>
                  <pic:spPr>
                    <a:xfrm>
                      <a:off x="0" y="0"/>
                      <a:ext cx="5979160" cy="2449830"/>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pPr>
    </w:p>
    <w:p>
      <w:pPr>
        <w:spacing w:before="103" w:line="256" w:lineRule="auto"/>
        <w:ind w:right="743"/>
        <w:jc w:val="both"/>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消息面：昨日公布的美国3月PPI同比上升2.1%，虽略低于预期但创2023年4月以来新高，再次体现整体通胀压力上升，而近期超预期的通胀水平也使得美联储官员于公开演讲中持续释放鹰派信号。非美国家方面，欧洲央行于昨日会议维持利率水平符合市场预期，但当前市场仍大幅押注欧洲央行6月开启首次降息，欧元区整体利率预期或有所下降。</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外盘持仓方面：截至4月11日，SPDR Gold Trust黄金ETF持仓量为830.75吨，较上一交易日增加2.3吨。</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往后看短期内美元指数及美债收益率在利率预期升高以及美国与非美国家利差扩大的影响下或得到一定支撑，但通胀预期升高导致美元实际购买力受到侵蚀，叠加内盘贵金属或有效对冲汇率贬值风险，整体或利多贵金属价格。操作上建议，日内逢低做多，请投资者注意风险控制。</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r>
        <w:rPr>
          <w:rFonts w:hint="eastAsia" w:ascii="微软雅黑" w:hAnsi="微软雅黑" w:eastAsia="微软雅黑" w:cs="微软雅黑"/>
          <w:spacing w:val="7"/>
          <w:sz w:val="21"/>
          <w:szCs w:val="21"/>
          <w:lang w:val="en-US" w:eastAsia="zh-CN"/>
        </w:rPr>
        <w:t xml:space="preserve">  </w:t>
      </w:r>
    </w:p>
    <w:p>
      <w:pPr>
        <w:spacing w:before="103" w:line="256" w:lineRule="auto"/>
        <w:ind w:right="743"/>
        <w:jc w:val="both"/>
      </w:pPr>
      <w:r>
        <w:drawing>
          <wp:inline distT="0" distB="0" distL="114300" distR="114300">
            <wp:extent cx="6033135" cy="2035175"/>
            <wp:effectExtent l="0" t="0" r="5715" b="317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7"/>
                    <a:stretch>
                      <a:fillRect/>
                    </a:stretch>
                  </pic:blipFill>
                  <pic:spPr>
                    <a:xfrm>
                      <a:off x="0" y="0"/>
                      <a:ext cx="6033135" cy="203517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left="528" w:right="743" w:hanging="528" w:hangingChars="200"/>
        <w:jc w:val="both"/>
        <w:rPr>
          <w:rFonts w:hint="eastAsia" w:ascii="微软雅黑" w:hAnsi="微软雅黑" w:eastAsia="微软雅黑" w:cs="微软雅黑"/>
          <w:b/>
          <w:bCs/>
          <w:spacing w:val="12"/>
          <w:sz w:val="24"/>
          <w:szCs w:val="24"/>
          <w:lang w:val="en-US" w:eastAsia="zh-CN"/>
        </w:rPr>
      </w:pPr>
    </w:p>
    <w:p>
      <w:pPr>
        <w:spacing w:before="103" w:line="256" w:lineRule="auto"/>
        <w:ind w:left="528" w:right="743" w:hanging="528" w:hangingChars="200"/>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原油</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麦格理集团全球能源策略师维卡斯德维迪表示，如果地缘政治事件未能导致原油供应实际中断，今年下半年布伦特原油价格将很难维持在每桶90美元以上。随着非欧佩克的供应增长，欧佩克联盟的大量闲置产能重新进入市场，以及持续通胀可能削弱需求，下半年油价走势将会转为看空。</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美联储会议纪要显示，政策制定者担心降低通胀的进展可能停滞，需要实施更长时期的紧缩货币政策。由于美国消费者通胀数据连续第三次超出预期，市场现在认为美联储首次降息的时间很可能是在9月份，而非之前预期的6月份。</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欧洲央行周四将利率维持在历史高位，但是暗示欧洲央行可能很快降息。</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周四欧佩克仍坚持其对2024年全球需求增长相对强劲的预测。国际能源署将于周五发布月报。</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交易员担心伊朗可能会对4月1日以色列空袭其驻叙利亚大使馆进行报复。美国国务卿安东尼布林肯表示美国将与以色列站在一起。</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本周，以色列和哈马斯就长达六个月的加沙战争开始新一轮谈判，但这些谈判尚未达成任何协议。</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纽约商品期货交易所（NYMEX）的西德克萨斯中质原油（WTI）5月合约较上一交易日下跌1.19美元或1.38%，报85.02美元/桶，短期呈现强势震荡走势。支撑位：83.3；压力位：87。</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en-US" w:eastAsia="zh-CN"/>
        </w:rPr>
        <w:t>图7：原油（WTI）</w:t>
      </w:r>
    </w:p>
    <w:p>
      <w:pPr>
        <w:spacing w:before="103" w:line="256" w:lineRule="auto"/>
        <w:ind w:right="743"/>
        <w:jc w:val="both"/>
        <w:rPr>
          <w:rFonts w:hint="eastAsia" w:ascii="微软雅黑" w:hAnsi="微软雅黑" w:eastAsia="微软雅黑" w:cs="微软雅黑"/>
          <w:spacing w:val="12"/>
          <w:sz w:val="24"/>
          <w:szCs w:val="24"/>
        </w:rPr>
      </w:pPr>
      <w:r>
        <w:drawing>
          <wp:inline distT="0" distB="0" distL="0" distR="0">
            <wp:extent cx="6083935" cy="2832100"/>
            <wp:effectExtent l="0" t="0" r="12065"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stretch>
                      <a:fillRect/>
                    </a:stretch>
                  </pic:blipFill>
                  <pic:spPr>
                    <a:xfrm>
                      <a:off x="0" y="0"/>
                      <a:ext cx="6083935" cy="2832100"/>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ICE</w:t>
      </w:r>
      <w:bookmarkStart w:id="0" w:name="OLE_LINK3"/>
      <w:bookmarkStart w:id="1" w:name="OLE_LINK4"/>
      <w:r>
        <w:rPr>
          <w:rFonts w:hint="eastAsia" w:ascii="微软雅黑" w:hAnsi="微软雅黑" w:eastAsia="微软雅黑" w:cs="微软雅黑"/>
          <w:b/>
          <w:bCs/>
          <w:spacing w:val="12"/>
          <w:sz w:val="24"/>
          <w:szCs w:val="24"/>
          <w:lang w:val="en-US" w:eastAsia="zh-CN"/>
        </w:rPr>
        <w:t>棉花</w:t>
      </w:r>
    </w:p>
    <w:bookmarkEnd w:id="0"/>
    <w:bookmarkEnd w:id="1"/>
    <w:p>
      <w:pPr>
        <w:spacing w:before="103" w:line="256" w:lineRule="auto"/>
        <w:ind w:right="743" w:firstLine="528" w:firstLineChars="200"/>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12"/>
          <w:sz w:val="24"/>
          <w:szCs w:val="24"/>
        </w:rPr>
        <w:t>洲际交易所(ICE)棉花期货周四下跌逾2%。受周度销售数据下降及美元走强拖累</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rPr>
        <w:t>抵消了积极的供需预测报告，交投最活跃的ICE 5月期棉收跌1.94美分或2.27%，收盘价报83.37分/磅。操作上，建议5月ICE期棉短期暂且观望为宜</w:t>
      </w:r>
      <w:r>
        <w:rPr>
          <w:rFonts w:hint="eastAsia" w:ascii="微软雅黑" w:hAnsi="微软雅黑" w:eastAsia="微软雅黑" w:cs="微软雅黑"/>
          <w:spacing w:val="12"/>
          <w:sz w:val="24"/>
          <w:szCs w:val="24"/>
          <w:lang w:eastAsia="zh-CN"/>
        </w:rPr>
        <w:t>。</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8：ICE棉花</w:t>
      </w:r>
      <w:r>
        <w:rPr>
          <w:rFonts w:hint="eastAsia" w:ascii="微软雅黑" w:hAnsi="微软雅黑" w:eastAsia="微软雅黑" w:cs="微软雅黑"/>
          <w:spacing w:val="7"/>
          <w:sz w:val="21"/>
          <w:szCs w:val="21"/>
          <w:lang w:val="zh-CN" w:eastAsia="zh-CN"/>
        </w:rPr>
        <w:t>期货主力合约日走势图及支撑位、阻力位</w:t>
      </w:r>
    </w:p>
    <w:p>
      <w:pPr>
        <w:spacing w:before="103" w:line="256" w:lineRule="auto"/>
        <w:ind w:right="743"/>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7"/>
          <w:sz w:val="21"/>
          <w:szCs w:val="21"/>
          <w:lang w:val="zh-CN" w:eastAsia="zh-CN"/>
        </w:rPr>
        <w:drawing>
          <wp:inline distT="0" distB="0" distL="114300" distR="114300">
            <wp:extent cx="6157595" cy="2559050"/>
            <wp:effectExtent l="0" t="0" r="14605" b="12700"/>
            <wp:docPr id="16" name="图片 16" descr="a0be00fad0f08b9d14cdde5c924f7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0be00fad0f08b9d14cdde5c924f70e"/>
                    <pic:cNvPicPr>
                      <a:picLocks noChangeAspect="1"/>
                    </pic:cNvPicPr>
                  </pic:nvPicPr>
                  <pic:blipFill>
                    <a:blip r:embed="rId19"/>
                    <a:stretch>
                      <a:fillRect/>
                    </a:stretch>
                  </pic:blipFill>
                  <pic:spPr>
                    <a:xfrm>
                      <a:off x="0" y="0"/>
                      <a:ext cx="6157595" cy="2559050"/>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p>
    <w:p>
      <w:pPr>
        <w:spacing w:before="103" w:line="256" w:lineRule="auto"/>
        <w:ind w:left="3" w:right="743" w:firstLine="535"/>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12"/>
          <w:sz w:val="24"/>
          <w:szCs w:val="24"/>
          <w:lang w:val="en-US" w:eastAsia="zh-CN"/>
        </w:rPr>
        <w:t>洲际期货交易所（ICE）原糖期货周四下跌，盘中一度触及一个月低位，由于印度产区迎来正常雨季的预报，加剧了市场看跌情绪。交投最活跃的ICE 5月原糖期货合约收盘收跌0.61美分或2.80%，结算价每磅20.85美分。操作上，建议5月ICE原糖短期偏空思路对待。</w:t>
      </w:r>
    </w:p>
    <w:p>
      <w:pPr>
        <w:spacing w:before="103" w:line="256" w:lineRule="auto"/>
        <w:ind w:right="743"/>
        <w:jc w:val="both"/>
        <w:rPr>
          <w:rFonts w:ascii="微软雅黑" w:hAnsi="微软雅黑" w:eastAsia="微软雅黑" w:cs="微软雅黑"/>
          <w:color w:val="CE393F"/>
          <w:spacing w:val="8"/>
          <w:position w:val="2"/>
          <w:sz w:val="40"/>
          <w:szCs w:val="40"/>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9：ICE原糖</w:t>
      </w:r>
      <w:r>
        <w:rPr>
          <w:rFonts w:hint="eastAsia" w:ascii="微软雅黑" w:hAnsi="微软雅黑" w:eastAsia="微软雅黑" w:cs="微软雅黑"/>
          <w:spacing w:val="7"/>
          <w:sz w:val="21"/>
          <w:szCs w:val="21"/>
          <w:lang w:val="zh-CN" w:eastAsia="zh-CN"/>
        </w:rPr>
        <w:t>期货主力合约日走势图及支撑位、阻力位</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drawing>
          <wp:inline distT="0" distB="0" distL="114300" distR="114300">
            <wp:extent cx="6071235" cy="2256155"/>
            <wp:effectExtent l="0" t="0" r="5715" b="10795"/>
            <wp:docPr id="15" name="图片 15" descr="34118601cd1e873644dc4aee9bce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4118601cd1e873644dc4aee9bce399"/>
                    <pic:cNvPicPr>
                      <a:picLocks noChangeAspect="1"/>
                    </pic:cNvPicPr>
                  </pic:nvPicPr>
                  <pic:blipFill>
                    <a:blip r:embed="rId20"/>
                    <a:stretch>
                      <a:fillRect/>
                    </a:stretch>
                  </pic:blipFill>
                  <pic:spPr>
                    <a:xfrm>
                      <a:off x="0" y="0"/>
                      <a:ext cx="6071235" cy="2256155"/>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72" w:line="417" w:lineRule="exact"/>
        <w:rPr>
          <w:rFonts w:hint="eastAsia" w:ascii="微软雅黑" w:hAnsi="微软雅黑" w:eastAsia="微软雅黑" w:cs="微软雅黑"/>
          <w:color w:val="036EB8"/>
          <w:position w:val="-4"/>
          <w:sz w:val="28"/>
          <w:szCs w:val="28"/>
          <w:lang w:eastAsia="zh-CN"/>
        </w:rPr>
      </w:pPr>
    </w:p>
    <w:p>
      <w:pPr>
        <w:spacing w:before="172" w:line="417" w:lineRule="exact"/>
        <w:rPr>
          <w:rFonts w:hint="eastAsia" w:ascii="微软雅黑" w:hAnsi="微软雅黑" w:eastAsia="微软雅黑" w:cs="微软雅黑"/>
          <w:color w:val="036EB8"/>
          <w:position w:val="-4"/>
          <w:sz w:val="28"/>
          <w:szCs w:val="28"/>
          <w:lang w:eastAsia="zh-CN"/>
        </w:rPr>
      </w:pPr>
    </w:p>
    <w:p>
      <w:pPr>
        <w:spacing w:before="172" w:line="417" w:lineRule="exact"/>
        <w:rPr>
          <w:rFonts w:hint="eastAsia" w:ascii="微软雅黑" w:hAnsi="微软雅黑" w:eastAsia="微软雅黑" w:cs="微软雅黑"/>
          <w:color w:val="036EB8"/>
          <w:position w:val="-4"/>
          <w:sz w:val="28"/>
          <w:szCs w:val="28"/>
          <w:lang w:eastAsia="zh-CN"/>
        </w:rPr>
      </w:pPr>
    </w:p>
    <w:p>
      <w:pPr>
        <w:spacing w:before="172" w:line="417" w:lineRule="exact"/>
        <w:rPr>
          <w:rFonts w:hint="eastAsia" w:ascii="微软雅黑" w:hAnsi="微软雅黑" w:eastAsia="微软雅黑" w:cs="微软雅黑"/>
          <w:color w:val="036EB8"/>
          <w:position w:val="-4"/>
          <w:sz w:val="28"/>
          <w:szCs w:val="28"/>
          <w:lang w:eastAsia="zh-CN"/>
        </w:rPr>
      </w:pPr>
      <w:bookmarkStart w:id="2" w:name="_GoBack"/>
      <w:bookmarkEnd w:id="2"/>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8"/>
          <w:sz w:val="18"/>
          <w:szCs w:val="18"/>
        </w:rPr>
        <w:t>则。</w:t>
      </w:r>
    </w:p>
    <w:p>
      <w:pPr>
        <w:spacing w:before="34" w:line="189" w:lineRule="auto"/>
        <w:ind w:left="337" w:right="707" w:firstLine="381"/>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2"/>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2"/>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1431C1"/>
    <w:rsid w:val="00181D4B"/>
    <w:rsid w:val="00593490"/>
    <w:rsid w:val="005F4A09"/>
    <w:rsid w:val="008D4A14"/>
    <w:rsid w:val="00920750"/>
    <w:rsid w:val="00A42231"/>
    <w:rsid w:val="00C177F8"/>
    <w:rsid w:val="00CA7EEA"/>
    <w:rsid w:val="00CE6532"/>
    <w:rsid w:val="00D348C5"/>
    <w:rsid w:val="00DC19CB"/>
    <w:rsid w:val="00E16FE2"/>
    <w:rsid w:val="00E442E6"/>
    <w:rsid w:val="011E3D92"/>
    <w:rsid w:val="013C05EC"/>
    <w:rsid w:val="0140116F"/>
    <w:rsid w:val="014337F8"/>
    <w:rsid w:val="01486DF0"/>
    <w:rsid w:val="01761E20"/>
    <w:rsid w:val="018F67B1"/>
    <w:rsid w:val="019734A3"/>
    <w:rsid w:val="019E3125"/>
    <w:rsid w:val="01B6046E"/>
    <w:rsid w:val="01C257A0"/>
    <w:rsid w:val="01FA65AD"/>
    <w:rsid w:val="021052EA"/>
    <w:rsid w:val="02151639"/>
    <w:rsid w:val="021D5BFB"/>
    <w:rsid w:val="02296E92"/>
    <w:rsid w:val="024953BD"/>
    <w:rsid w:val="028D7421"/>
    <w:rsid w:val="02A97FD3"/>
    <w:rsid w:val="02B7624C"/>
    <w:rsid w:val="02BC7D06"/>
    <w:rsid w:val="02CD47AD"/>
    <w:rsid w:val="02DC4B76"/>
    <w:rsid w:val="030659D3"/>
    <w:rsid w:val="032338E1"/>
    <w:rsid w:val="033C0E47"/>
    <w:rsid w:val="03661A20"/>
    <w:rsid w:val="03705048"/>
    <w:rsid w:val="03767EB5"/>
    <w:rsid w:val="037D56E7"/>
    <w:rsid w:val="038E44A6"/>
    <w:rsid w:val="03AA4003"/>
    <w:rsid w:val="03B31109"/>
    <w:rsid w:val="03C54999"/>
    <w:rsid w:val="03CF5817"/>
    <w:rsid w:val="03D44348"/>
    <w:rsid w:val="03D64DF8"/>
    <w:rsid w:val="03E33071"/>
    <w:rsid w:val="03F31506"/>
    <w:rsid w:val="03FE7EAB"/>
    <w:rsid w:val="0402799B"/>
    <w:rsid w:val="04253689"/>
    <w:rsid w:val="04405814"/>
    <w:rsid w:val="044F0706"/>
    <w:rsid w:val="045A6DD9"/>
    <w:rsid w:val="04620439"/>
    <w:rsid w:val="04695C6C"/>
    <w:rsid w:val="04725735"/>
    <w:rsid w:val="04787C5D"/>
    <w:rsid w:val="0495080F"/>
    <w:rsid w:val="049D5915"/>
    <w:rsid w:val="04CD0E7B"/>
    <w:rsid w:val="04CD5176"/>
    <w:rsid w:val="04E43544"/>
    <w:rsid w:val="04E55250"/>
    <w:rsid w:val="04FB69FF"/>
    <w:rsid w:val="050647B6"/>
    <w:rsid w:val="05173E06"/>
    <w:rsid w:val="051A6F66"/>
    <w:rsid w:val="053D4696"/>
    <w:rsid w:val="054933A7"/>
    <w:rsid w:val="055F4D69"/>
    <w:rsid w:val="056D52E8"/>
    <w:rsid w:val="058F34B0"/>
    <w:rsid w:val="059D2DAA"/>
    <w:rsid w:val="05C869C2"/>
    <w:rsid w:val="061708BA"/>
    <w:rsid w:val="06874187"/>
    <w:rsid w:val="06920D0C"/>
    <w:rsid w:val="06AC1E40"/>
    <w:rsid w:val="06D40C03"/>
    <w:rsid w:val="06D860E7"/>
    <w:rsid w:val="06E91363"/>
    <w:rsid w:val="06F9676B"/>
    <w:rsid w:val="072919FB"/>
    <w:rsid w:val="07375BAD"/>
    <w:rsid w:val="073D6F5B"/>
    <w:rsid w:val="07634D60"/>
    <w:rsid w:val="07652B87"/>
    <w:rsid w:val="077A4193"/>
    <w:rsid w:val="077D0034"/>
    <w:rsid w:val="07950B26"/>
    <w:rsid w:val="07972AF0"/>
    <w:rsid w:val="07D9719C"/>
    <w:rsid w:val="07DD49A7"/>
    <w:rsid w:val="07EB25E1"/>
    <w:rsid w:val="07F5280A"/>
    <w:rsid w:val="07F67816"/>
    <w:rsid w:val="080F6B2A"/>
    <w:rsid w:val="0828199A"/>
    <w:rsid w:val="082F186D"/>
    <w:rsid w:val="0853247A"/>
    <w:rsid w:val="085B34CE"/>
    <w:rsid w:val="089E2E0C"/>
    <w:rsid w:val="08A234FA"/>
    <w:rsid w:val="08AF5C17"/>
    <w:rsid w:val="08B5322E"/>
    <w:rsid w:val="08DD2784"/>
    <w:rsid w:val="08E949DF"/>
    <w:rsid w:val="08F817D8"/>
    <w:rsid w:val="09063A89"/>
    <w:rsid w:val="090E293E"/>
    <w:rsid w:val="09174F67"/>
    <w:rsid w:val="09252A9B"/>
    <w:rsid w:val="093E76C7"/>
    <w:rsid w:val="09491BC8"/>
    <w:rsid w:val="09840E52"/>
    <w:rsid w:val="098E4672"/>
    <w:rsid w:val="09903C9B"/>
    <w:rsid w:val="099A2423"/>
    <w:rsid w:val="09AC6674"/>
    <w:rsid w:val="09B110B8"/>
    <w:rsid w:val="09D26E62"/>
    <w:rsid w:val="09DA6CC4"/>
    <w:rsid w:val="09F02DF6"/>
    <w:rsid w:val="09F31EAA"/>
    <w:rsid w:val="0A037FC9"/>
    <w:rsid w:val="0A140428"/>
    <w:rsid w:val="0A1470E4"/>
    <w:rsid w:val="0A2A37A7"/>
    <w:rsid w:val="0A2C17A5"/>
    <w:rsid w:val="0A3E54A5"/>
    <w:rsid w:val="0A434869"/>
    <w:rsid w:val="0A533A62"/>
    <w:rsid w:val="0A544CC8"/>
    <w:rsid w:val="0A7D5FCD"/>
    <w:rsid w:val="0A823CEB"/>
    <w:rsid w:val="0A8F399C"/>
    <w:rsid w:val="0A943317"/>
    <w:rsid w:val="0A9A6B7F"/>
    <w:rsid w:val="0A9B3267"/>
    <w:rsid w:val="0AA82AC5"/>
    <w:rsid w:val="0ABF0394"/>
    <w:rsid w:val="0AC0235E"/>
    <w:rsid w:val="0AC75B18"/>
    <w:rsid w:val="0AF44EDF"/>
    <w:rsid w:val="0AFB3396"/>
    <w:rsid w:val="0AFD2C6A"/>
    <w:rsid w:val="0B02681E"/>
    <w:rsid w:val="0B0B2B07"/>
    <w:rsid w:val="0B0C10FF"/>
    <w:rsid w:val="0B116814"/>
    <w:rsid w:val="0B156206"/>
    <w:rsid w:val="0B2822B8"/>
    <w:rsid w:val="0B310B66"/>
    <w:rsid w:val="0B3F14D4"/>
    <w:rsid w:val="0B3F6A8F"/>
    <w:rsid w:val="0B6149B5"/>
    <w:rsid w:val="0B696551"/>
    <w:rsid w:val="0B775713"/>
    <w:rsid w:val="0B7C44D7"/>
    <w:rsid w:val="0B837613"/>
    <w:rsid w:val="0BA87886"/>
    <w:rsid w:val="0BB06CD5"/>
    <w:rsid w:val="0C023101"/>
    <w:rsid w:val="0C1E10EA"/>
    <w:rsid w:val="0C430B50"/>
    <w:rsid w:val="0C6311F3"/>
    <w:rsid w:val="0C7358DA"/>
    <w:rsid w:val="0C7426EC"/>
    <w:rsid w:val="0C874AB1"/>
    <w:rsid w:val="0C8A677F"/>
    <w:rsid w:val="0CA53877"/>
    <w:rsid w:val="0CE00A95"/>
    <w:rsid w:val="0CE7389C"/>
    <w:rsid w:val="0D272220"/>
    <w:rsid w:val="0D3A56A0"/>
    <w:rsid w:val="0D6945E7"/>
    <w:rsid w:val="0D6E7E4F"/>
    <w:rsid w:val="0D766D04"/>
    <w:rsid w:val="0D815DD4"/>
    <w:rsid w:val="0D8E04F1"/>
    <w:rsid w:val="0DEB161A"/>
    <w:rsid w:val="0DEF3128"/>
    <w:rsid w:val="0E211365"/>
    <w:rsid w:val="0E2B5D40"/>
    <w:rsid w:val="0E304A35"/>
    <w:rsid w:val="0E3A5F83"/>
    <w:rsid w:val="0E4F7C80"/>
    <w:rsid w:val="0E5E1F69"/>
    <w:rsid w:val="0E680D42"/>
    <w:rsid w:val="0E6A2D0C"/>
    <w:rsid w:val="0E7D63D0"/>
    <w:rsid w:val="0E8A6F0A"/>
    <w:rsid w:val="0E9D4E90"/>
    <w:rsid w:val="0EC40C69"/>
    <w:rsid w:val="0ECA5559"/>
    <w:rsid w:val="0F0E09E8"/>
    <w:rsid w:val="0F1B4006"/>
    <w:rsid w:val="0F425337"/>
    <w:rsid w:val="0F53554E"/>
    <w:rsid w:val="0F83743D"/>
    <w:rsid w:val="0F8B4EFC"/>
    <w:rsid w:val="0FA25CB6"/>
    <w:rsid w:val="0FB51D65"/>
    <w:rsid w:val="0FB7564B"/>
    <w:rsid w:val="0FCF7FFC"/>
    <w:rsid w:val="0FD85A54"/>
    <w:rsid w:val="0FDC5544"/>
    <w:rsid w:val="0FE10DAC"/>
    <w:rsid w:val="0FFA2AB6"/>
    <w:rsid w:val="10090303"/>
    <w:rsid w:val="100D7DF3"/>
    <w:rsid w:val="101E5B5C"/>
    <w:rsid w:val="10240C99"/>
    <w:rsid w:val="103B02B6"/>
    <w:rsid w:val="104135F9"/>
    <w:rsid w:val="105A46BB"/>
    <w:rsid w:val="10613C9B"/>
    <w:rsid w:val="10A51DDA"/>
    <w:rsid w:val="10F1501F"/>
    <w:rsid w:val="11005262"/>
    <w:rsid w:val="1126167A"/>
    <w:rsid w:val="112C1D96"/>
    <w:rsid w:val="112D2A00"/>
    <w:rsid w:val="115B7EC7"/>
    <w:rsid w:val="115D0CDB"/>
    <w:rsid w:val="115F642C"/>
    <w:rsid w:val="118367EC"/>
    <w:rsid w:val="119A2EC2"/>
    <w:rsid w:val="11DF575B"/>
    <w:rsid w:val="12064AFA"/>
    <w:rsid w:val="12241424"/>
    <w:rsid w:val="123A47A4"/>
    <w:rsid w:val="12837EF9"/>
    <w:rsid w:val="129245E0"/>
    <w:rsid w:val="12AB56A1"/>
    <w:rsid w:val="12B72AC8"/>
    <w:rsid w:val="12C14EC5"/>
    <w:rsid w:val="12C53BAB"/>
    <w:rsid w:val="12C56763"/>
    <w:rsid w:val="12D6271E"/>
    <w:rsid w:val="12DD56D0"/>
    <w:rsid w:val="12E453E1"/>
    <w:rsid w:val="130A686C"/>
    <w:rsid w:val="13392CAD"/>
    <w:rsid w:val="13581385"/>
    <w:rsid w:val="1360023A"/>
    <w:rsid w:val="136F66CF"/>
    <w:rsid w:val="137D0DEC"/>
    <w:rsid w:val="13914897"/>
    <w:rsid w:val="13AC16D1"/>
    <w:rsid w:val="13E83022"/>
    <w:rsid w:val="14027543"/>
    <w:rsid w:val="14055F2A"/>
    <w:rsid w:val="14073B5C"/>
    <w:rsid w:val="142D2812"/>
    <w:rsid w:val="143376FC"/>
    <w:rsid w:val="144E4536"/>
    <w:rsid w:val="14587163"/>
    <w:rsid w:val="145B4DEA"/>
    <w:rsid w:val="146B1AFA"/>
    <w:rsid w:val="146B50E8"/>
    <w:rsid w:val="14795475"/>
    <w:rsid w:val="148B7538"/>
    <w:rsid w:val="14914C87"/>
    <w:rsid w:val="14AD6D4E"/>
    <w:rsid w:val="14B24AC5"/>
    <w:rsid w:val="14D35F6D"/>
    <w:rsid w:val="14E03753"/>
    <w:rsid w:val="14EF7AC7"/>
    <w:rsid w:val="15227E9D"/>
    <w:rsid w:val="153567EB"/>
    <w:rsid w:val="15357EA3"/>
    <w:rsid w:val="153F7762"/>
    <w:rsid w:val="1546345F"/>
    <w:rsid w:val="15595889"/>
    <w:rsid w:val="157A3DE6"/>
    <w:rsid w:val="15A20FDE"/>
    <w:rsid w:val="15AD4515"/>
    <w:rsid w:val="15BF56EC"/>
    <w:rsid w:val="15C23767"/>
    <w:rsid w:val="15FA0A52"/>
    <w:rsid w:val="160F471D"/>
    <w:rsid w:val="162163A6"/>
    <w:rsid w:val="162F6237"/>
    <w:rsid w:val="163007A4"/>
    <w:rsid w:val="16323E9D"/>
    <w:rsid w:val="16526560"/>
    <w:rsid w:val="16532BAF"/>
    <w:rsid w:val="16573B76"/>
    <w:rsid w:val="16640041"/>
    <w:rsid w:val="167A1613"/>
    <w:rsid w:val="167F4E7B"/>
    <w:rsid w:val="1697252A"/>
    <w:rsid w:val="169A1CB5"/>
    <w:rsid w:val="169F376F"/>
    <w:rsid w:val="16A86180"/>
    <w:rsid w:val="16AB5CAD"/>
    <w:rsid w:val="16AD19E8"/>
    <w:rsid w:val="16B17A67"/>
    <w:rsid w:val="16C117E9"/>
    <w:rsid w:val="16C136E5"/>
    <w:rsid w:val="16C3745D"/>
    <w:rsid w:val="16CE195E"/>
    <w:rsid w:val="16E84EEA"/>
    <w:rsid w:val="16ED5F07"/>
    <w:rsid w:val="16FE3FF2"/>
    <w:rsid w:val="17231CAA"/>
    <w:rsid w:val="17343EB7"/>
    <w:rsid w:val="174F2A9F"/>
    <w:rsid w:val="1750680B"/>
    <w:rsid w:val="17602EFE"/>
    <w:rsid w:val="176B1094"/>
    <w:rsid w:val="179E5F3A"/>
    <w:rsid w:val="17A50911"/>
    <w:rsid w:val="17A62F40"/>
    <w:rsid w:val="17C36FE9"/>
    <w:rsid w:val="17EF6030"/>
    <w:rsid w:val="181A30AD"/>
    <w:rsid w:val="183124A5"/>
    <w:rsid w:val="1835627A"/>
    <w:rsid w:val="183C317B"/>
    <w:rsid w:val="183E57A4"/>
    <w:rsid w:val="188F46B1"/>
    <w:rsid w:val="188F6EFF"/>
    <w:rsid w:val="18A14670"/>
    <w:rsid w:val="18AB1F57"/>
    <w:rsid w:val="18BF5A03"/>
    <w:rsid w:val="18DA6CE0"/>
    <w:rsid w:val="190E2D54"/>
    <w:rsid w:val="19263CD4"/>
    <w:rsid w:val="19393A07"/>
    <w:rsid w:val="193957B5"/>
    <w:rsid w:val="193B694A"/>
    <w:rsid w:val="197E141A"/>
    <w:rsid w:val="19891B44"/>
    <w:rsid w:val="19E37FA1"/>
    <w:rsid w:val="19EF40C6"/>
    <w:rsid w:val="19F33BB6"/>
    <w:rsid w:val="1A004525"/>
    <w:rsid w:val="1A1A3838"/>
    <w:rsid w:val="1A2A15A2"/>
    <w:rsid w:val="1A3760C8"/>
    <w:rsid w:val="1A586B42"/>
    <w:rsid w:val="1A6F016E"/>
    <w:rsid w:val="1A7F5449"/>
    <w:rsid w:val="1A926B26"/>
    <w:rsid w:val="1AB33345"/>
    <w:rsid w:val="1ADA4D76"/>
    <w:rsid w:val="1AE300CE"/>
    <w:rsid w:val="1AEE342A"/>
    <w:rsid w:val="1AFE6CB6"/>
    <w:rsid w:val="1B0B3181"/>
    <w:rsid w:val="1B143435"/>
    <w:rsid w:val="1B2E0C1E"/>
    <w:rsid w:val="1B430B6D"/>
    <w:rsid w:val="1B593EEC"/>
    <w:rsid w:val="1B5E1503"/>
    <w:rsid w:val="1B6F441F"/>
    <w:rsid w:val="1B6F54BE"/>
    <w:rsid w:val="1B8A054A"/>
    <w:rsid w:val="1BCC2910"/>
    <w:rsid w:val="1BE952E4"/>
    <w:rsid w:val="1BEC2FB3"/>
    <w:rsid w:val="1C220782"/>
    <w:rsid w:val="1C295FB5"/>
    <w:rsid w:val="1C2A3ADB"/>
    <w:rsid w:val="1C2C7853"/>
    <w:rsid w:val="1C2F2E9F"/>
    <w:rsid w:val="1C3C502D"/>
    <w:rsid w:val="1C550B58"/>
    <w:rsid w:val="1C56667E"/>
    <w:rsid w:val="1C5C2AF3"/>
    <w:rsid w:val="1C6F246D"/>
    <w:rsid w:val="1C705992"/>
    <w:rsid w:val="1C730FDE"/>
    <w:rsid w:val="1C760CAC"/>
    <w:rsid w:val="1C840E30"/>
    <w:rsid w:val="1C847E13"/>
    <w:rsid w:val="1C876837"/>
    <w:rsid w:val="1C9871D4"/>
    <w:rsid w:val="1C9961A4"/>
    <w:rsid w:val="1C9B0EC5"/>
    <w:rsid w:val="1CA32066"/>
    <w:rsid w:val="1CB42B02"/>
    <w:rsid w:val="1CB6536F"/>
    <w:rsid w:val="1CB6711D"/>
    <w:rsid w:val="1CDB7F58"/>
    <w:rsid w:val="1CE56411"/>
    <w:rsid w:val="1D063C00"/>
    <w:rsid w:val="1D077978"/>
    <w:rsid w:val="1D1522F2"/>
    <w:rsid w:val="1D317F46"/>
    <w:rsid w:val="1D5038FF"/>
    <w:rsid w:val="1D8A2164"/>
    <w:rsid w:val="1D94745E"/>
    <w:rsid w:val="1D9E0B53"/>
    <w:rsid w:val="1DA8010B"/>
    <w:rsid w:val="1DB70C3A"/>
    <w:rsid w:val="1DD62C34"/>
    <w:rsid w:val="1DE026A3"/>
    <w:rsid w:val="1E140822"/>
    <w:rsid w:val="1E983160"/>
    <w:rsid w:val="1EAB5CA8"/>
    <w:rsid w:val="1ECE074D"/>
    <w:rsid w:val="1EDA46D4"/>
    <w:rsid w:val="1F047D4E"/>
    <w:rsid w:val="1F066139"/>
    <w:rsid w:val="1F2E743E"/>
    <w:rsid w:val="1F43738D"/>
    <w:rsid w:val="1F570A81"/>
    <w:rsid w:val="1F69491A"/>
    <w:rsid w:val="1FA34B99"/>
    <w:rsid w:val="1FA70967"/>
    <w:rsid w:val="1FAA1158"/>
    <w:rsid w:val="1FBB3CE7"/>
    <w:rsid w:val="1FCF6E73"/>
    <w:rsid w:val="1FD47FE6"/>
    <w:rsid w:val="1FD955FC"/>
    <w:rsid w:val="1FE346CD"/>
    <w:rsid w:val="1FE453E9"/>
    <w:rsid w:val="1FE50445"/>
    <w:rsid w:val="1FFE5062"/>
    <w:rsid w:val="200B4005"/>
    <w:rsid w:val="201C373B"/>
    <w:rsid w:val="202111B2"/>
    <w:rsid w:val="203B1E13"/>
    <w:rsid w:val="2040567B"/>
    <w:rsid w:val="20970344"/>
    <w:rsid w:val="209C5541"/>
    <w:rsid w:val="20B61DE1"/>
    <w:rsid w:val="20C067BC"/>
    <w:rsid w:val="20D73FFA"/>
    <w:rsid w:val="20DA5ACF"/>
    <w:rsid w:val="20FB47E7"/>
    <w:rsid w:val="210A2CE1"/>
    <w:rsid w:val="210F504D"/>
    <w:rsid w:val="21194443"/>
    <w:rsid w:val="213571AA"/>
    <w:rsid w:val="213836B0"/>
    <w:rsid w:val="213B4094"/>
    <w:rsid w:val="21690C01"/>
    <w:rsid w:val="21871C2A"/>
    <w:rsid w:val="21893052"/>
    <w:rsid w:val="21934DFE"/>
    <w:rsid w:val="219E4C0D"/>
    <w:rsid w:val="21BF4CC5"/>
    <w:rsid w:val="21DF2D22"/>
    <w:rsid w:val="21E0526C"/>
    <w:rsid w:val="21EE1107"/>
    <w:rsid w:val="22016465"/>
    <w:rsid w:val="22237002"/>
    <w:rsid w:val="224156DA"/>
    <w:rsid w:val="22456F79"/>
    <w:rsid w:val="224C47AB"/>
    <w:rsid w:val="224C6559"/>
    <w:rsid w:val="225243A2"/>
    <w:rsid w:val="22695B2D"/>
    <w:rsid w:val="226D64CF"/>
    <w:rsid w:val="227B0BEC"/>
    <w:rsid w:val="22937CE6"/>
    <w:rsid w:val="22B81E40"/>
    <w:rsid w:val="22CF093F"/>
    <w:rsid w:val="22D57132"/>
    <w:rsid w:val="22D64BAD"/>
    <w:rsid w:val="22F20137"/>
    <w:rsid w:val="23476D20"/>
    <w:rsid w:val="23503E27"/>
    <w:rsid w:val="23517B9F"/>
    <w:rsid w:val="235F71C6"/>
    <w:rsid w:val="23713D9D"/>
    <w:rsid w:val="237750EB"/>
    <w:rsid w:val="237815D0"/>
    <w:rsid w:val="238179BB"/>
    <w:rsid w:val="23F01166"/>
    <w:rsid w:val="23F24EDE"/>
    <w:rsid w:val="23F82635"/>
    <w:rsid w:val="240B5FA0"/>
    <w:rsid w:val="245222E6"/>
    <w:rsid w:val="24613C0B"/>
    <w:rsid w:val="24651B54"/>
    <w:rsid w:val="24711BFF"/>
    <w:rsid w:val="2490190B"/>
    <w:rsid w:val="24904744"/>
    <w:rsid w:val="2497134E"/>
    <w:rsid w:val="24B86FB5"/>
    <w:rsid w:val="24BB79C6"/>
    <w:rsid w:val="24E0742D"/>
    <w:rsid w:val="24F212CA"/>
    <w:rsid w:val="25096983"/>
    <w:rsid w:val="250C0222"/>
    <w:rsid w:val="251315B0"/>
    <w:rsid w:val="25205A7B"/>
    <w:rsid w:val="25283888"/>
    <w:rsid w:val="25323DC4"/>
    <w:rsid w:val="25324D05"/>
    <w:rsid w:val="253B28B5"/>
    <w:rsid w:val="25472113"/>
    <w:rsid w:val="254C6870"/>
    <w:rsid w:val="257D4C7B"/>
    <w:rsid w:val="25853B30"/>
    <w:rsid w:val="25873D4C"/>
    <w:rsid w:val="25A3141D"/>
    <w:rsid w:val="25B71060"/>
    <w:rsid w:val="25BF3AFF"/>
    <w:rsid w:val="25D8182D"/>
    <w:rsid w:val="25E42F4C"/>
    <w:rsid w:val="261D32FC"/>
    <w:rsid w:val="262275D1"/>
    <w:rsid w:val="265754CC"/>
    <w:rsid w:val="26583EBF"/>
    <w:rsid w:val="26591245"/>
    <w:rsid w:val="266A530B"/>
    <w:rsid w:val="268F2EB8"/>
    <w:rsid w:val="268F3365"/>
    <w:rsid w:val="269C3827"/>
    <w:rsid w:val="269E134D"/>
    <w:rsid w:val="26AC3A6A"/>
    <w:rsid w:val="26C708A4"/>
    <w:rsid w:val="26C94690"/>
    <w:rsid w:val="26E2748C"/>
    <w:rsid w:val="26EA6341"/>
    <w:rsid w:val="27104DCE"/>
    <w:rsid w:val="27196C26"/>
    <w:rsid w:val="272827F6"/>
    <w:rsid w:val="274912B9"/>
    <w:rsid w:val="27541A0C"/>
    <w:rsid w:val="27547C5E"/>
    <w:rsid w:val="275639D6"/>
    <w:rsid w:val="276C31F9"/>
    <w:rsid w:val="276F4A98"/>
    <w:rsid w:val="279A1B15"/>
    <w:rsid w:val="27B84C56"/>
    <w:rsid w:val="27BA1634"/>
    <w:rsid w:val="27D03788"/>
    <w:rsid w:val="28575C58"/>
    <w:rsid w:val="287265EE"/>
    <w:rsid w:val="28D450EA"/>
    <w:rsid w:val="28D5055F"/>
    <w:rsid w:val="28FC39E6"/>
    <w:rsid w:val="291C5438"/>
    <w:rsid w:val="29314DC9"/>
    <w:rsid w:val="297457A6"/>
    <w:rsid w:val="29895F83"/>
    <w:rsid w:val="2A157B78"/>
    <w:rsid w:val="2A1831C5"/>
    <w:rsid w:val="2A3B5C65"/>
    <w:rsid w:val="2A471949"/>
    <w:rsid w:val="2A581813"/>
    <w:rsid w:val="2A64640A"/>
    <w:rsid w:val="2A7D74CC"/>
    <w:rsid w:val="2A930039"/>
    <w:rsid w:val="2AA841F2"/>
    <w:rsid w:val="2AF43C32"/>
    <w:rsid w:val="2B0A5203"/>
    <w:rsid w:val="2B2E2991"/>
    <w:rsid w:val="2B603075"/>
    <w:rsid w:val="2B681190"/>
    <w:rsid w:val="2BA967CA"/>
    <w:rsid w:val="2BBF5FEE"/>
    <w:rsid w:val="2BCA04EF"/>
    <w:rsid w:val="2BCE6231"/>
    <w:rsid w:val="2BDD0222"/>
    <w:rsid w:val="2BFD08C4"/>
    <w:rsid w:val="2C0E487F"/>
    <w:rsid w:val="2C0F5A5F"/>
    <w:rsid w:val="2C5030EA"/>
    <w:rsid w:val="2C7C5C8D"/>
    <w:rsid w:val="2C934D84"/>
    <w:rsid w:val="2CB216AE"/>
    <w:rsid w:val="2CB843AF"/>
    <w:rsid w:val="2CC413E2"/>
    <w:rsid w:val="2CC47634"/>
    <w:rsid w:val="2CCF6074"/>
    <w:rsid w:val="2CE028C6"/>
    <w:rsid w:val="2CEB2E12"/>
    <w:rsid w:val="2D012F66"/>
    <w:rsid w:val="2D2D342B"/>
    <w:rsid w:val="2D771923"/>
    <w:rsid w:val="2D776454"/>
    <w:rsid w:val="2D7B5F44"/>
    <w:rsid w:val="2D875411"/>
    <w:rsid w:val="2DA709E8"/>
    <w:rsid w:val="2DA84860"/>
    <w:rsid w:val="2DAF3E40"/>
    <w:rsid w:val="2DDD09AD"/>
    <w:rsid w:val="2DDD44E2"/>
    <w:rsid w:val="2DE81100"/>
    <w:rsid w:val="2DEC299E"/>
    <w:rsid w:val="2DFB5908"/>
    <w:rsid w:val="2E0065CE"/>
    <w:rsid w:val="2E0C1292"/>
    <w:rsid w:val="2E312AA7"/>
    <w:rsid w:val="2E426A62"/>
    <w:rsid w:val="2E4B1DBB"/>
    <w:rsid w:val="2E556795"/>
    <w:rsid w:val="2E7330DD"/>
    <w:rsid w:val="2E746294"/>
    <w:rsid w:val="2EBF315F"/>
    <w:rsid w:val="2EC90F31"/>
    <w:rsid w:val="2EC93975"/>
    <w:rsid w:val="2ED0406E"/>
    <w:rsid w:val="2EF22236"/>
    <w:rsid w:val="2EF91480"/>
    <w:rsid w:val="2F176A2A"/>
    <w:rsid w:val="2F1F6DA3"/>
    <w:rsid w:val="2F261EE0"/>
    <w:rsid w:val="2F391C13"/>
    <w:rsid w:val="2F3D7961"/>
    <w:rsid w:val="2F45680A"/>
    <w:rsid w:val="2F4D3910"/>
    <w:rsid w:val="2F567050"/>
    <w:rsid w:val="2F666780"/>
    <w:rsid w:val="2F7075FF"/>
    <w:rsid w:val="2F8C1E45"/>
    <w:rsid w:val="2FA63021"/>
    <w:rsid w:val="2FAA2B11"/>
    <w:rsid w:val="2FD347CB"/>
    <w:rsid w:val="2FD7142C"/>
    <w:rsid w:val="2FF41FDE"/>
    <w:rsid w:val="2FFB511A"/>
    <w:rsid w:val="300F0BC6"/>
    <w:rsid w:val="30136908"/>
    <w:rsid w:val="30151978"/>
    <w:rsid w:val="30155912"/>
    <w:rsid w:val="30240B15"/>
    <w:rsid w:val="3070283C"/>
    <w:rsid w:val="307D6477"/>
    <w:rsid w:val="307F5D4C"/>
    <w:rsid w:val="309A4933"/>
    <w:rsid w:val="30A12166"/>
    <w:rsid w:val="30C9346B"/>
    <w:rsid w:val="30F32296"/>
    <w:rsid w:val="30F84CE1"/>
    <w:rsid w:val="30FD0529"/>
    <w:rsid w:val="30FF50DE"/>
    <w:rsid w:val="31091AB9"/>
    <w:rsid w:val="31197F4E"/>
    <w:rsid w:val="311D7312"/>
    <w:rsid w:val="313E79B5"/>
    <w:rsid w:val="314174A5"/>
    <w:rsid w:val="314D409C"/>
    <w:rsid w:val="3163417D"/>
    <w:rsid w:val="318A49A8"/>
    <w:rsid w:val="31C51E84"/>
    <w:rsid w:val="31D644AB"/>
    <w:rsid w:val="31E242A6"/>
    <w:rsid w:val="31FB326A"/>
    <w:rsid w:val="3216448E"/>
    <w:rsid w:val="322A618B"/>
    <w:rsid w:val="323E5B9E"/>
    <w:rsid w:val="324E00CB"/>
    <w:rsid w:val="32554509"/>
    <w:rsid w:val="326951F3"/>
    <w:rsid w:val="32A24300"/>
    <w:rsid w:val="32A61AD2"/>
    <w:rsid w:val="32AE46C6"/>
    <w:rsid w:val="32CC0FF0"/>
    <w:rsid w:val="32D3678F"/>
    <w:rsid w:val="32DD144F"/>
    <w:rsid w:val="32DF6F75"/>
    <w:rsid w:val="32E40B1B"/>
    <w:rsid w:val="32E92FB9"/>
    <w:rsid w:val="33150101"/>
    <w:rsid w:val="331704BD"/>
    <w:rsid w:val="334E2397"/>
    <w:rsid w:val="33526CEF"/>
    <w:rsid w:val="338418CB"/>
    <w:rsid w:val="33AD30C5"/>
    <w:rsid w:val="33BC1065"/>
    <w:rsid w:val="33C64D45"/>
    <w:rsid w:val="33EC0EFE"/>
    <w:rsid w:val="33F64119"/>
    <w:rsid w:val="33F8661C"/>
    <w:rsid w:val="340604EA"/>
    <w:rsid w:val="341F3A1B"/>
    <w:rsid w:val="342015F4"/>
    <w:rsid w:val="3454129D"/>
    <w:rsid w:val="345968B4"/>
    <w:rsid w:val="348025C6"/>
    <w:rsid w:val="3492069F"/>
    <w:rsid w:val="34945433"/>
    <w:rsid w:val="349F4C0E"/>
    <w:rsid w:val="34A2025B"/>
    <w:rsid w:val="34C53F49"/>
    <w:rsid w:val="34E940DB"/>
    <w:rsid w:val="350D601C"/>
    <w:rsid w:val="35204032"/>
    <w:rsid w:val="35497CBA"/>
    <w:rsid w:val="354B627A"/>
    <w:rsid w:val="356814A4"/>
    <w:rsid w:val="356909C2"/>
    <w:rsid w:val="357C0AAC"/>
    <w:rsid w:val="35885E60"/>
    <w:rsid w:val="358E3D56"/>
    <w:rsid w:val="35926DCC"/>
    <w:rsid w:val="35E93C67"/>
    <w:rsid w:val="35EA1EB9"/>
    <w:rsid w:val="360311CD"/>
    <w:rsid w:val="36435665"/>
    <w:rsid w:val="3647730B"/>
    <w:rsid w:val="367C49A1"/>
    <w:rsid w:val="36B576F9"/>
    <w:rsid w:val="36C26992"/>
    <w:rsid w:val="36D52B69"/>
    <w:rsid w:val="36D55C7A"/>
    <w:rsid w:val="36E6103A"/>
    <w:rsid w:val="36EF34FF"/>
    <w:rsid w:val="3710594F"/>
    <w:rsid w:val="37364480"/>
    <w:rsid w:val="37545800"/>
    <w:rsid w:val="375D66BB"/>
    <w:rsid w:val="376B702A"/>
    <w:rsid w:val="379A346B"/>
    <w:rsid w:val="37C26C87"/>
    <w:rsid w:val="37E1553E"/>
    <w:rsid w:val="38007D90"/>
    <w:rsid w:val="3801529B"/>
    <w:rsid w:val="380F3E59"/>
    <w:rsid w:val="381474C6"/>
    <w:rsid w:val="38183E1B"/>
    <w:rsid w:val="38295077"/>
    <w:rsid w:val="382B6D50"/>
    <w:rsid w:val="382F0057"/>
    <w:rsid w:val="383C5781"/>
    <w:rsid w:val="384D08D4"/>
    <w:rsid w:val="38613F89"/>
    <w:rsid w:val="388D1222"/>
    <w:rsid w:val="3895243A"/>
    <w:rsid w:val="38A10829"/>
    <w:rsid w:val="38B00000"/>
    <w:rsid w:val="38BB18EB"/>
    <w:rsid w:val="38D37AC3"/>
    <w:rsid w:val="38E30E42"/>
    <w:rsid w:val="38F66DC7"/>
    <w:rsid w:val="391060DB"/>
    <w:rsid w:val="39287D16"/>
    <w:rsid w:val="392C04C3"/>
    <w:rsid w:val="39377035"/>
    <w:rsid w:val="39706B79"/>
    <w:rsid w:val="39904B26"/>
    <w:rsid w:val="39A409AB"/>
    <w:rsid w:val="39AB195F"/>
    <w:rsid w:val="39D35282"/>
    <w:rsid w:val="3A1439A9"/>
    <w:rsid w:val="3A357A7E"/>
    <w:rsid w:val="3A5E4C24"/>
    <w:rsid w:val="3A6B10EF"/>
    <w:rsid w:val="3A775214"/>
    <w:rsid w:val="3A8F494D"/>
    <w:rsid w:val="3AAA7E69"/>
    <w:rsid w:val="3ACA050B"/>
    <w:rsid w:val="3ACF5B21"/>
    <w:rsid w:val="3AD06868"/>
    <w:rsid w:val="3AD82705"/>
    <w:rsid w:val="3AEB650A"/>
    <w:rsid w:val="3AF5356F"/>
    <w:rsid w:val="3AF61300"/>
    <w:rsid w:val="3B3460C0"/>
    <w:rsid w:val="3B3779FE"/>
    <w:rsid w:val="3B6076B2"/>
    <w:rsid w:val="3B691AD2"/>
    <w:rsid w:val="3B6A75F8"/>
    <w:rsid w:val="3B755158"/>
    <w:rsid w:val="3B7A3CDF"/>
    <w:rsid w:val="3B837F8F"/>
    <w:rsid w:val="3B842468"/>
    <w:rsid w:val="3B862684"/>
    <w:rsid w:val="3B885799"/>
    <w:rsid w:val="3B892174"/>
    <w:rsid w:val="3BA90120"/>
    <w:rsid w:val="3BD56240"/>
    <w:rsid w:val="3BE23632"/>
    <w:rsid w:val="3BEB0739"/>
    <w:rsid w:val="3BF5780A"/>
    <w:rsid w:val="3BFF2436"/>
    <w:rsid w:val="3C045336"/>
    <w:rsid w:val="3C241E9D"/>
    <w:rsid w:val="3C485465"/>
    <w:rsid w:val="3C4E5B21"/>
    <w:rsid w:val="3C540EF7"/>
    <w:rsid w:val="3C5462DE"/>
    <w:rsid w:val="3C7060DA"/>
    <w:rsid w:val="3C917BA0"/>
    <w:rsid w:val="3CBA010B"/>
    <w:rsid w:val="3CC01BC6"/>
    <w:rsid w:val="3CC11038"/>
    <w:rsid w:val="3CE31550"/>
    <w:rsid w:val="3CE32F55"/>
    <w:rsid w:val="3D001FC2"/>
    <w:rsid w:val="3D255ECD"/>
    <w:rsid w:val="3D2F0AF9"/>
    <w:rsid w:val="3D346474"/>
    <w:rsid w:val="3D3B2FFA"/>
    <w:rsid w:val="3D566086"/>
    <w:rsid w:val="3D695EAF"/>
    <w:rsid w:val="3D7824A0"/>
    <w:rsid w:val="3D785FFC"/>
    <w:rsid w:val="3D8F7BCA"/>
    <w:rsid w:val="3D932E36"/>
    <w:rsid w:val="3DA60DBB"/>
    <w:rsid w:val="3DAD20DD"/>
    <w:rsid w:val="3DB72FC9"/>
    <w:rsid w:val="3DB8289D"/>
    <w:rsid w:val="3DB86D41"/>
    <w:rsid w:val="3DC54FBA"/>
    <w:rsid w:val="3DD142BB"/>
    <w:rsid w:val="3DEB0EC4"/>
    <w:rsid w:val="3DF02037"/>
    <w:rsid w:val="3DF17B5D"/>
    <w:rsid w:val="3DF638A0"/>
    <w:rsid w:val="3DFC418E"/>
    <w:rsid w:val="3DFD6502"/>
    <w:rsid w:val="3E0C1200"/>
    <w:rsid w:val="3E167563"/>
    <w:rsid w:val="3E2D5039"/>
    <w:rsid w:val="3E4F69BB"/>
    <w:rsid w:val="3E5A656F"/>
    <w:rsid w:val="3E5C76CC"/>
    <w:rsid w:val="3E647289"/>
    <w:rsid w:val="3E7964D0"/>
    <w:rsid w:val="3E810EE1"/>
    <w:rsid w:val="3E891DA4"/>
    <w:rsid w:val="3E933797"/>
    <w:rsid w:val="3E976956"/>
    <w:rsid w:val="3EA52668"/>
    <w:rsid w:val="3EBD0EE2"/>
    <w:rsid w:val="3EFE0783"/>
    <w:rsid w:val="3EFE4C27"/>
    <w:rsid w:val="3F125C8C"/>
    <w:rsid w:val="3F141D55"/>
    <w:rsid w:val="3F1735F3"/>
    <w:rsid w:val="3F222FE0"/>
    <w:rsid w:val="3F3441A5"/>
    <w:rsid w:val="3F3D5750"/>
    <w:rsid w:val="3F4B6BF0"/>
    <w:rsid w:val="3F682C26"/>
    <w:rsid w:val="3F6D16D7"/>
    <w:rsid w:val="3F747261"/>
    <w:rsid w:val="3F8769CB"/>
    <w:rsid w:val="3F8F3AD1"/>
    <w:rsid w:val="3F94000D"/>
    <w:rsid w:val="3FA330D9"/>
    <w:rsid w:val="3FAF7CCF"/>
    <w:rsid w:val="3FE32A90"/>
    <w:rsid w:val="3FE43E1D"/>
    <w:rsid w:val="3FE47979"/>
    <w:rsid w:val="3FE8319B"/>
    <w:rsid w:val="3FFA719D"/>
    <w:rsid w:val="4004305D"/>
    <w:rsid w:val="400870B8"/>
    <w:rsid w:val="401D10DD"/>
    <w:rsid w:val="40442B0E"/>
    <w:rsid w:val="406D3E12"/>
    <w:rsid w:val="40890521"/>
    <w:rsid w:val="40C003E6"/>
    <w:rsid w:val="40CE2673"/>
    <w:rsid w:val="40DA6FCE"/>
    <w:rsid w:val="40EE65D6"/>
    <w:rsid w:val="40EF750C"/>
    <w:rsid w:val="40FB7670"/>
    <w:rsid w:val="410F2FC5"/>
    <w:rsid w:val="4134048C"/>
    <w:rsid w:val="4158794C"/>
    <w:rsid w:val="416F7716"/>
    <w:rsid w:val="419B49AF"/>
    <w:rsid w:val="41A73354"/>
    <w:rsid w:val="41C23CEA"/>
    <w:rsid w:val="41C31810"/>
    <w:rsid w:val="41C757A4"/>
    <w:rsid w:val="41CE376B"/>
    <w:rsid w:val="41D41C6F"/>
    <w:rsid w:val="41DD1214"/>
    <w:rsid w:val="41F84884"/>
    <w:rsid w:val="42162288"/>
    <w:rsid w:val="42277FF1"/>
    <w:rsid w:val="422C3859"/>
    <w:rsid w:val="424C7A58"/>
    <w:rsid w:val="42755843"/>
    <w:rsid w:val="428B1AA5"/>
    <w:rsid w:val="429D02B3"/>
    <w:rsid w:val="429F1251"/>
    <w:rsid w:val="42F223AD"/>
    <w:rsid w:val="42F36125"/>
    <w:rsid w:val="42F62490"/>
    <w:rsid w:val="43000978"/>
    <w:rsid w:val="43004B7A"/>
    <w:rsid w:val="43094BE2"/>
    <w:rsid w:val="430F539D"/>
    <w:rsid w:val="43212C92"/>
    <w:rsid w:val="432D7889"/>
    <w:rsid w:val="432F3601"/>
    <w:rsid w:val="43374264"/>
    <w:rsid w:val="433E2020"/>
    <w:rsid w:val="43501FEC"/>
    <w:rsid w:val="43574906"/>
    <w:rsid w:val="435E5C94"/>
    <w:rsid w:val="435E718F"/>
    <w:rsid w:val="43972F54"/>
    <w:rsid w:val="439F6C52"/>
    <w:rsid w:val="43BC14A4"/>
    <w:rsid w:val="43CC0E50"/>
    <w:rsid w:val="43D16466"/>
    <w:rsid w:val="43F108B7"/>
    <w:rsid w:val="44112D07"/>
    <w:rsid w:val="441445A5"/>
    <w:rsid w:val="4416031D"/>
    <w:rsid w:val="443A0129"/>
    <w:rsid w:val="445B21D4"/>
    <w:rsid w:val="448C6831"/>
    <w:rsid w:val="449F47B6"/>
    <w:rsid w:val="44A0729C"/>
    <w:rsid w:val="44B24732"/>
    <w:rsid w:val="44BE2E8F"/>
    <w:rsid w:val="44CD4E80"/>
    <w:rsid w:val="44E81CBA"/>
    <w:rsid w:val="450308A1"/>
    <w:rsid w:val="45131232"/>
    <w:rsid w:val="452F12F5"/>
    <w:rsid w:val="453B44DF"/>
    <w:rsid w:val="45401AF6"/>
    <w:rsid w:val="455C6204"/>
    <w:rsid w:val="457804D5"/>
    <w:rsid w:val="45B7168C"/>
    <w:rsid w:val="45DA5C68"/>
    <w:rsid w:val="45EC3A2B"/>
    <w:rsid w:val="45EC7588"/>
    <w:rsid w:val="45F20916"/>
    <w:rsid w:val="45FD1795"/>
    <w:rsid w:val="46026DAB"/>
    <w:rsid w:val="460839C1"/>
    <w:rsid w:val="463236F2"/>
    <w:rsid w:val="463D7DE3"/>
    <w:rsid w:val="464B69A4"/>
    <w:rsid w:val="465A6BE7"/>
    <w:rsid w:val="465E764C"/>
    <w:rsid w:val="4694464B"/>
    <w:rsid w:val="46954ED9"/>
    <w:rsid w:val="46A61E2C"/>
    <w:rsid w:val="46AC6D17"/>
    <w:rsid w:val="46B32138"/>
    <w:rsid w:val="46F22218"/>
    <w:rsid w:val="46F72688"/>
    <w:rsid w:val="46FA3F26"/>
    <w:rsid w:val="46FB5788"/>
    <w:rsid w:val="471A0124"/>
    <w:rsid w:val="47412EAE"/>
    <w:rsid w:val="474358CD"/>
    <w:rsid w:val="47487D3C"/>
    <w:rsid w:val="474A6C5C"/>
    <w:rsid w:val="475A2C17"/>
    <w:rsid w:val="47A02FEE"/>
    <w:rsid w:val="47A80F1E"/>
    <w:rsid w:val="47A83982"/>
    <w:rsid w:val="47AB6999"/>
    <w:rsid w:val="47C66AE7"/>
    <w:rsid w:val="47D26C51"/>
    <w:rsid w:val="47DE55F6"/>
    <w:rsid w:val="47E04ECA"/>
    <w:rsid w:val="47E524E0"/>
    <w:rsid w:val="47EB3E1C"/>
    <w:rsid w:val="47F60E93"/>
    <w:rsid w:val="48027536"/>
    <w:rsid w:val="481E3AAF"/>
    <w:rsid w:val="483D056E"/>
    <w:rsid w:val="483D1893"/>
    <w:rsid w:val="485422E0"/>
    <w:rsid w:val="48547666"/>
    <w:rsid w:val="486C49B0"/>
    <w:rsid w:val="486F10A5"/>
    <w:rsid w:val="487565D5"/>
    <w:rsid w:val="48C26CC5"/>
    <w:rsid w:val="48C42A3E"/>
    <w:rsid w:val="48D03190"/>
    <w:rsid w:val="48D16F09"/>
    <w:rsid w:val="48E82D4D"/>
    <w:rsid w:val="48FD385A"/>
    <w:rsid w:val="49107A31"/>
    <w:rsid w:val="4921579A"/>
    <w:rsid w:val="493354CD"/>
    <w:rsid w:val="49341FF9"/>
    <w:rsid w:val="493556E9"/>
    <w:rsid w:val="493B1243"/>
    <w:rsid w:val="49725FF6"/>
    <w:rsid w:val="49A32653"/>
    <w:rsid w:val="49A5461D"/>
    <w:rsid w:val="49B120BE"/>
    <w:rsid w:val="49D71785"/>
    <w:rsid w:val="49DD71DE"/>
    <w:rsid w:val="49F04DE4"/>
    <w:rsid w:val="49F17862"/>
    <w:rsid w:val="49F64E79"/>
    <w:rsid w:val="4A0B01F8"/>
    <w:rsid w:val="4A175E73"/>
    <w:rsid w:val="4A1C545E"/>
    <w:rsid w:val="4A216F8B"/>
    <w:rsid w:val="4A2A4B22"/>
    <w:rsid w:val="4A560560"/>
    <w:rsid w:val="4A954A5F"/>
    <w:rsid w:val="4AAA7A11"/>
    <w:rsid w:val="4ADF3B5F"/>
    <w:rsid w:val="4ADF52C2"/>
    <w:rsid w:val="4AFB026D"/>
    <w:rsid w:val="4B1355B6"/>
    <w:rsid w:val="4B275B29"/>
    <w:rsid w:val="4B2E23F0"/>
    <w:rsid w:val="4B482FE8"/>
    <w:rsid w:val="4B687A43"/>
    <w:rsid w:val="4B7676A2"/>
    <w:rsid w:val="4B7E2B72"/>
    <w:rsid w:val="4B8244EA"/>
    <w:rsid w:val="4B861CB1"/>
    <w:rsid w:val="4B897627"/>
    <w:rsid w:val="4BA1327D"/>
    <w:rsid w:val="4BBF1D08"/>
    <w:rsid w:val="4BDE5BC4"/>
    <w:rsid w:val="4BE64A79"/>
    <w:rsid w:val="4C225B2C"/>
    <w:rsid w:val="4C464A47"/>
    <w:rsid w:val="4C4C1669"/>
    <w:rsid w:val="4C567E51"/>
    <w:rsid w:val="4C600CB1"/>
    <w:rsid w:val="4C667968"/>
    <w:rsid w:val="4C8C4B93"/>
    <w:rsid w:val="4CA010CC"/>
    <w:rsid w:val="4CE64A52"/>
    <w:rsid w:val="4CEC6287"/>
    <w:rsid w:val="4D241CFD"/>
    <w:rsid w:val="4D317F76"/>
    <w:rsid w:val="4D5325E2"/>
    <w:rsid w:val="4D6E6AAF"/>
    <w:rsid w:val="4D7C761C"/>
    <w:rsid w:val="4D891B60"/>
    <w:rsid w:val="4DA33696"/>
    <w:rsid w:val="4DAE16EB"/>
    <w:rsid w:val="4DC5444C"/>
    <w:rsid w:val="4DD454D1"/>
    <w:rsid w:val="4DD73A22"/>
    <w:rsid w:val="4DD76D6F"/>
    <w:rsid w:val="4DDD3C5A"/>
    <w:rsid w:val="4DF0398D"/>
    <w:rsid w:val="4DF60C80"/>
    <w:rsid w:val="4DFE3442"/>
    <w:rsid w:val="4E125FF9"/>
    <w:rsid w:val="4E185B3D"/>
    <w:rsid w:val="4E50224A"/>
    <w:rsid w:val="4E755A1A"/>
    <w:rsid w:val="4E775E5C"/>
    <w:rsid w:val="4E824F2D"/>
    <w:rsid w:val="4E9D50CF"/>
    <w:rsid w:val="4EA053B3"/>
    <w:rsid w:val="4EAB2916"/>
    <w:rsid w:val="4EC05A55"/>
    <w:rsid w:val="4EC372F3"/>
    <w:rsid w:val="4ED908C5"/>
    <w:rsid w:val="4F053A58"/>
    <w:rsid w:val="4F1D4C56"/>
    <w:rsid w:val="4F2628C7"/>
    <w:rsid w:val="4F2F6737"/>
    <w:rsid w:val="4F471CD3"/>
    <w:rsid w:val="4F5246ED"/>
    <w:rsid w:val="4F590025"/>
    <w:rsid w:val="4F7725B8"/>
    <w:rsid w:val="4F8922EB"/>
    <w:rsid w:val="4F960564"/>
    <w:rsid w:val="4F980780"/>
    <w:rsid w:val="4F9D5D96"/>
    <w:rsid w:val="4FC652ED"/>
    <w:rsid w:val="4FCD6C7A"/>
    <w:rsid w:val="4FFF2A2C"/>
    <w:rsid w:val="500951DA"/>
    <w:rsid w:val="50200DCA"/>
    <w:rsid w:val="503264DF"/>
    <w:rsid w:val="506D5769"/>
    <w:rsid w:val="50897A4F"/>
    <w:rsid w:val="50924895"/>
    <w:rsid w:val="50C01D3C"/>
    <w:rsid w:val="50D6330E"/>
    <w:rsid w:val="50F73284"/>
    <w:rsid w:val="51087240"/>
    <w:rsid w:val="510C08F5"/>
    <w:rsid w:val="512236AA"/>
    <w:rsid w:val="512E185C"/>
    <w:rsid w:val="512F2A1E"/>
    <w:rsid w:val="51375377"/>
    <w:rsid w:val="51475FBA"/>
    <w:rsid w:val="51552C9C"/>
    <w:rsid w:val="5179348D"/>
    <w:rsid w:val="517A638F"/>
    <w:rsid w:val="51AC22C1"/>
    <w:rsid w:val="52025B23"/>
    <w:rsid w:val="520B6FE7"/>
    <w:rsid w:val="5224663F"/>
    <w:rsid w:val="52552958"/>
    <w:rsid w:val="52687391"/>
    <w:rsid w:val="52792ECE"/>
    <w:rsid w:val="527E5B61"/>
    <w:rsid w:val="528A2602"/>
    <w:rsid w:val="52976ACD"/>
    <w:rsid w:val="52EB11E0"/>
    <w:rsid w:val="53086608"/>
    <w:rsid w:val="53526EAE"/>
    <w:rsid w:val="53536310"/>
    <w:rsid w:val="536912CC"/>
    <w:rsid w:val="536C09D1"/>
    <w:rsid w:val="536F5815"/>
    <w:rsid w:val="53871B01"/>
    <w:rsid w:val="53963CFA"/>
    <w:rsid w:val="53B228D0"/>
    <w:rsid w:val="53E1679D"/>
    <w:rsid w:val="540C0A08"/>
    <w:rsid w:val="54382383"/>
    <w:rsid w:val="543B5442"/>
    <w:rsid w:val="544D1B39"/>
    <w:rsid w:val="544F3B03"/>
    <w:rsid w:val="54684BC5"/>
    <w:rsid w:val="547A0454"/>
    <w:rsid w:val="54A93FE9"/>
    <w:rsid w:val="54DC69F7"/>
    <w:rsid w:val="54E12D87"/>
    <w:rsid w:val="54EB4C35"/>
    <w:rsid w:val="54F03763"/>
    <w:rsid w:val="55055F70"/>
    <w:rsid w:val="55124B31"/>
    <w:rsid w:val="551E34D6"/>
    <w:rsid w:val="552D4350"/>
    <w:rsid w:val="555B2034"/>
    <w:rsid w:val="556829A3"/>
    <w:rsid w:val="557A3281"/>
    <w:rsid w:val="55B139E6"/>
    <w:rsid w:val="55CE0A58"/>
    <w:rsid w:val="55CE6156"/>
    <w:rsid w:val="55D50038"/>
    <w:rsid w:val="561603B2"/>
    <w:rsid w:val="561641AD"/>
    <w:rsid w:val="561F5757"/>
    <w:rsid w:val="563F1955"/>
    <w:rsid w:val="56464A92"/>
    <w:rsid w:val="564B20A8"/>
    <w:rsid w:val="565753CA"/>
    <w:rsid w:val="567C24C2"/>
    <w:rsid w:val="56B0015D"/>
    <w:rsid w:val="56B57E6A"/>
    <w:rsid w:val="56C360E3"/>
    <w:rsid w:val="56C85EF8"/>
    <w:rsid w:val="56CD6F61"/>
    <w:rsid w:val="56E60023"/>
    <w:rsid w:val="570341F8"/>
    <w:rsid w:val="5705494D"/>
    <w:rsid w:val="570861EB"/>
    <w:rsid w:val="571D6A2B"/>
    <w:rsid w:val="57201A20"/>
    <w:rsid w:val="572D5C52"/>
    <w:rsid w:val="57345792"/>
    <w:rsid w:val="57346FE0"/>
    <w:rsid w:val="575B27BF"/>
    <w:rsid w:val="576F40E4"/>
    <w:rsid w:val="57835872"/>
    <w:rsid w:val="578C4726"/>
    <w:rsid w:val="57AC45D0"/>
    <w:rsid w:val="57AE1241"/>
    <w:rsid w:val="57B273E9"/>
    <w:rsid w:val="57B67C8D"/>
    <w:rsid w:val="57BA2943"/>
    <w:rsid w:val="57C00874"/>
    <w:rsid w:val="57D40540"/>
    <w:rsid w:val="57E5236D"/>
    <w:rsid w:val="57EE718F"/>
    <w:rsid w:val="57EF4CB5"/>
    <w:rsid w:val="58346B6C"/>
    <w:rsid w:val="58372C70"/>
    <w:rsid w:val="583E1656"/>
    <w:rsid w:val="589D1393"/>
    <w:rsid w:val="58B55EFF"/>
    <w:rsid w:val="58C3061C"/>
    <w:rsid w:val="58E70221"/>
    <w:rsid w:val="58F22CAF"/>
    <w:rsid w:val="5908019E"/>
    <w:rsid w:val="591B7FEB"/>
    <w:rsid w:val="59314975"/>
    <w:rsid w:val="59550740"/>
    <w:rsid w:val="5966544B"/>
    <w:rsid w:val="59814033"/>
    <w:rsid w:val="59C10AB4"/>
    <w:rsid w:val="59D56296"/>
    <w:rsid w:val="59D95C1D"/>
    <w:rsid w:val="59DE3233"/>
    <w:rsid w:val="59DE62A0"/>
    <w:rsid w:val="59EA1BD8"/>
    <w:rsid w:val="59EF5441"/>
    <w:rsid w:val="5A026F22"/>
    <w:rsid w:val="5A162DC3"/>
    <w:rsid w:val="5A1D1FAE"/>
    <w:rsid w:val="5A2F2F5F"/>
    <w:rsid w:val="5A57029D"/>
    <w:rsid w:val="5AA004E9"/>
    <w:rsid w:val="5AA955EF"/>
    <w:rsid w:val="5AE568F8"/>
    <w:rsid w:val="5AE605F2"/>
    <w:rsid w:val="5AEB5C08"/>
    <w:rsid w:val="5AEE74A6"/>
    <w:rsid w:val="5AF251E8"/>
    <w:rsid w:val="5AF54CD9"/>
    <w:rsid w:val="5AFD593B"/>
    <w:rsid w:val="5B225A37"/>
    <w:rsid w:val="5B4F0440"/>
    <w:rsid w:val="5B5E287E"/>
    <w:rsid w:val="5B6A1223"/>
    <w:rsid w:val="5B7E6A7C"/>
    <w:rsid w:val="5B8A42EF"/>
    <w:rsid w:val="5B9A7FFC"/>
    <w:rsid w:val="5BA76E58"/>
    <w:rsid w:val="5BB03038"/>
    <w:rsid w:val="5BBC1352"/>
    <w:rsid w:val="5BFB631F"/>
    <w:rsid w:val="5C003935"/>
    <w:rsid w:val="5C0351D3"/>
    <w:rsid w:val="5C11169E"/>
    <w:rsid w:val="5C3E4412"/>
    <w:rsid w:val="5C3F3891"/>
    <w:rsid w:val="5C484871"/>
    <w:rsid w:val="5C4A2E02"/>
    <w:rsid w:val="5C602626"/>
    <w:rsid w:val="5C60665C"/>
    <w:rsid w:val="5C7659A5"/>
    <w:rsid w:val="5C81323B"/>
    <w:rsid w:val="5C875E04"/>
    <w:rsid w:val="5C8D658A"/>
    <w:rsid w:val="5C967DF5"/>
    <w:rsid w:val="5CA83399"/>
    <w:rsid w:val="5CAF3A11"/>
    <w:rsid w:val="5CBF734C"/>
    <w:rsid w:val="5CC33E1F"/>
    <w:rsid w:val="5CDD5A24"/>
    <w:rsid w:val="5CFF1E3E"/>
    <w:rsid w:val="5D1134E3"/>
    <w:rsid w:val="5D3B5199"/>
    <w:rsid w:val="5D6F2B20"/>
    <w:rsid w:val="5D72616D"/>
    <w:rsid w:val="5D7A3273"/>
    <w:rsid w:val="5D9C0A90"/>
    <w:rsid w:val="5DA4235E"/>
    <w:rsid w:val="5DAA334D"/>
    <w:rsid w:val="5DB06C95"/>
    <w:rsid w:val="5DDC5CDC"/>
    <w:rsid w:val="5DDF5B1F"/>
    <w:rsid w:val="5DE352BC"/>
    <w:rsid w:val="5DFC53C5"/>
    <w:rsid w:val="5E196EBA"/>
    <w:rsid w:val="5E253BAB"/>
    <w:rsid w:val="5E4D4235"/>
    <w:rsid w:val="5E504395"/>
    <w:rsid w:val="5E5B4E53"/>
    <w:rsid w:val="5E602469"/>
    <w:rsid w:val="5E677C9B"/>
    <w:rsid w:val="5E6F283B"/>
    <w:rsid w:val="5EA22A81"/>
    <w:rsid w:val="5ED21F55"/>
    <w:rsid w:val="5ED22BFF"/>
    <w:rsid w:val="5EDA6D5D"/>
    <w:rsid w:val="5EE035AA"/>
    <w:rsid w:val="5EE412EC"/>
    <w:rsid w:val="5EF57055"/>
    <w:rsid w:val="5F0D76A3"/>
    <w:rsid w:val="5F117C07"/>
    <w:rsid w:val="5F230066"/>
    <w:rsid w:val="5F2931A3"/>
    <w:rsid w:val="5F334021"/>
    <w:rsid w:val="5F3538F6"/>
    <w:rsid w:val="5F381638"/>
    <w:rsid w:val="5F385194"/>
    <w:rsid w:val="5F3F6522"/>
    <w:rsid w:val="5F4104EC"/>
    <w:rsid w:val="5F4639E0"/>
    <w:rsid w:val="5F5B7C49"/>
    <w:rsid w:val="5F686E8E"/>
    <w:rsid w:val="5F73441E"/>
    <w:rsid w:val="5F8D1984"/>
    <w:rsid w:val="5FAB0CC9"/>
    <w:rsid w:val="5FAD7930"/>
    <w:rsid w:val="5FC829BC"/>
    <w:rsid w:val="5FCF3D4A"/>
    <w:rsid w:val="5FEA2B00"/>
    <w:rsid w:val="602D6CC3"/>
    <w:rsid w:val="6042451C"/>
    <w:rsid w:val="607641C6"/>
    <w:rsid w:val="60883EF9"/>
    <w:rsid w:val="608A3882"/>
    <w:rsid w:val="608B2C81"/>
    <w:rsid w:val="608F34D9"/>
    <w:rsid w:val="609805E0"/>
    <w:rsid w:val="60AA0313"/>
    <w:rsid w:val="60AF3879"/>
    <w:rsid w:val="60C56EFB"/>
    <w:rsid w:val="60EF149E"/>
    <w:rsid w:val="613C0A62"/>
    <w:rsid w:val="615200E1"/>
    <w:rsid w:val="61693230"/>
    <w:rsid w:val="61972B6A"/>
    <w:rsid w:val="61B84E22"/>
    <w:rsid w:val="61F30033"/>
    <w:rsid w:val="61FD5295"/>
    <w:rsid w:val="624502F4"/>
    <w:rsid w:val="62791D4B"/>
    <w:rsid w:val="628D3A49"/>
    <w:rsid w:val="62CD2127"/>
    <w:rsid w:val="62CF5E0F"/>
    <w:rsid w:val="62E83E16"/>
    <w:rsid w:val="62E95123"/>
    <w:rsid w:val="62E96ED1"/>
    <w:rsid w:val="62F35FA1"/>
    <w:rsid w:val="630261E5"/>
    <w:rsid w:val="63067FD3"/>
    <w:rsid w:val="631F28F3"/>
    <w:rsid w:val="632443AD"/>
    <w:rsid w:val="633839B4"/>
    <w:rsid w:val="636E387A"/>
    <w:rsid w:val="636E5E0F"/>
    <w:rsid w:val="637349EC"/>
    <w:rsid w:val="6390559E"/>
    <w:rsid w:val="639C3F43"/>
    <w:rsid w:val="63A45A71"/>
    <w:rsid w:val="63A66B70"/>
    <w:rsid w:val="63C35974"/>
    <w:rsid w:val="63DF2082"/>
    <w:rsid w:val="63ED0C43"/>
    <w:rsid w:val="63ED479F"/>
    <w:rsid w:val="63F10999"/>
    <w:rsid w:val="641F4B74"/>
    <w:rsid w:val="64460353"/>
    <w:rsid w:val="645206D0"/>
    <w:rsid w:val="645E6CBF"/>
    <w:rsid w:val="64AA08E2"/>
    <w:rsid w:val="65002A2C"/>
    <w:rsid w:val="6502427A"/>
    <w:rsid w:val="6509385A"/>
    <w:rsid w:val="653D1756"/>
    <w:rsid w:val="653E102A"/>
    <w:rsid w:val="65442AE4"/>
    <w:rsid w:val="654B78CA"/>
    <w:rsid w:val="656C55D4"/>
    <w:rsid w:val="657607C4"/>
    <w:rsid w:val="65AD4482"/>
    <w:rsid w:val="65B25CA0"/>
    <w:rsid w:val="65C07C91"/>
    <w:rsid w:val="65D8322D"/>
    <w:rsid w:val="65DC4ACB"/>
    <w:rsid w:val="66013B8E"/>
    <w:rsid w:val="660202AA"/>
    <w:rsid w:val="66326DE1"/>
    <w:rsid w:val="66504D19"/>
    <w:rsid w:val="665243A2"/>
    <w:rsid w:val="66552ACF"/>
    <w:rsid w:val="665B6338"/>
    <w:rsid w:val="665E1984"/>
    <w:rsid w:val="66660838"/>
    <w:rsid w:val="667411A7"/>
    <w:rsid w:val="66742F55"/>
    <w:rsid w:val="6680605A"/>
    <w:rsid w:val="668C58AE"/>
    <w:rsid w:val="66A7157D"/>
    <w:rsid w:val="66B5531C"/>
    <w:rsid w:val="66BC37E2"/>
    <w:rsid w:val="66DB2FD4"/>
    <w:rsid w:val="66F44096"/>
    <w:rsid w:val="670562A3"/>
    <w:rsid w:val="670B7AEA"/>
    <w:rsid w:val="671E1113"/>
    <w:rsid w:val="672A3F5C"/>
    <w:rsid w:val="6756421A"/>
    <w:rsid w:val="67630CEF"/>
    <w:rsid w:val="67780EDA"/>
    <w:rsid w:val="67825B46"/>
    <w:rsid w:val="678A67A9"/>
    <w:rsid w:val="679C7611"/>
    <w:rsid w:val="67A4786A"/>
    <w:rsid w:val="67A81366"/>
    <w:rsid w:val="67B9759D"/>
    <w:rsid w:val="67D11A4E"/>
    <w:rsid w:val="67D46CDE"/>
    <w:rsid w:val="67D87514"/>
    <w:rsid w:val="67FA392E"/>
    <w:rsid w:val="6819475B"/>
    <w:rsid w:val="681A3DE2"/>
    <w:rsid w:val="683F7593"/>
    <w:rsid w:val="688A7DAC"/>
    <w:rsid w:val="68A5389A"/>
    <w:rsid w:val="68AF1D6D"/>
    <w:rsid w:val="68B161D3"/>
    <w:rsid w:val="68CF43EA"/>
    <w:rsid w:val="68D93544"/>
    <w:rsid w:val="68DC63DC"/>
    <w:rsid w:val="68E1070E"/>
    <w:rsid w:val="690B56C7"/>
    <w:rsid w:val="690C3CE7"/>
    <w:rsid w:val="691B3B5C"/>
    <w:rsid w:val="69416EAD"/>
    <w:rsid w:val="694C3FC0"/>
    <w:rsid w:val="69765D89"/>
    <w:rsid w:val="698C6808"/>
    <w:rsid w:val="699163F6"/>
    <w:rsid w:val="699F653B"/>
    <w:rsid w:val="69CD7914"/>
    <w:rsid w:val="69D47128"/>
    <w:rsid w:val="69DA5DFE"/>
    <w:rsid w:val="69EC374B"/>
    <w:rsid w:val="69F25583"/>
    <w:rsid w:val="69F66377"/>
    <w:rsid w:val="6A2627B9"/>
    <w:rsid w:val="6A462E5B"/>
    <w:rsid w:val="6A49294B"/>
    <w:rsid w:val="6A503CD9"/>
    <w:rsid w:val="6A692CB7"/>
    <w:rsid w:val="6A696B49"/>
    <w:rsid w:val="6A8952C2"/>
    <w:rsid w:val="6AB57FE0"/>
    <w:rsid w:val="6AC65D4A"/>
    <w:rsid w:val="6AD46A66"/>
    <w:rsid w:val="6AED37F2"/>
    <w:rsid w:val="6AEF7DCE"/>
    <w:rsid w:val="6B3C7DBA"/>
    <w:rsid w:val="6B621F16"/>
    <w:rsid w:val="6B6F4633"/>
    <w:rsid w:val="6B7B2FD8"/>
    <w:rsid w:val="6B7D161D"/>
    <w:rsid w:val="6B9023FF"/>
    <w:rsid w:val="6B9F5BAD"/>
    <w:rsid w:val="6BA442DD"/>
    <w:rsid w:val="6BA46BE1"/>
    <w:rsid w:val="6BC04E8F"/>
    <w:rsid w:val="6BC06C3D"/>
    <w:rsid w:val="6BC404DB"/>
    <w:rsid w:val="6BC95AF1"/>
    <w:rsid w:val="6BCA6224"/>
    <w:rsid w:val="6BD41C61"/>
    <w:rsid w:val="6BE91CF0"/>
    <w:rsid w:val="6BF32B6E"/>
    <w:rsid w:val="6C0A614D"/>
    <w:rsid w:val="6C1D4188"/>
    <w:rsid w:val="6C303DC2"/>
    <w:rsid w:val="6C3952AC"/>
    <w:rsid w:val="6C5D448C"/>
    <w:rsid w:val="6C692E30"/>
    <w:rsid w:val="6C8C114B"/>
    <w:rsid w:val="6CA672D2"/>
    <w:rsid w:val="6CF21078"/>
    <w:rsid w:val="6CF9407C"/>
    <w:rsid w:val="6D002DFC"/>
    <w:rsid w:val="6D194017"/>
    <w:rsid w:val="6D1B05CF"/>
    <w:rsid w:val="6D2A6A64"/>
    <w:rsid w:val="6D571889"/>
    <w:rsid w:val="6D837F22"/>
    <w:rsid w:val="6D8E5551"/>
    <w:rsid w:val="6DBD6517"/>
    <w:rsid w:val="6DD10C8D"/>
    <w:rsid w:val="6DEF55B7"/>
    <w:rsid w:val="6DFA6436"/>
    <w:rsid w:val="6E22773B"/>
    <w:rsid w:val="6E5D0773"/>
    <w:rsid w:val="6E602011"/>
    <w:rsid w:val="6E751F61"/>
    <w:rsid w:val="6E761835"/>
    <w:rsid w:val="6E79211E"/>
    <w:rsid w:val="6E8126B3"/>
    <w:rsid w:val="6E82467D"/>
    <w:rsid w:val="6E8439ED"/>
    <w:rsid w:val="6E9323E7"/>
    <w:rsid w:val="6E9C573F"/>
    <w:rsid w:val="6EA6211A"/>
    <w:rsid w:val="6EC23191"/>
    <w:rsid w:val="6EC93EB4"/>
    <w:rsid w:val="6EEC3440"/>
    <w:rsid w:val="6F255735"/>
    <w:rsid w:val="6F3C65DA"/>
    <w:rsid w:val="6F5837CB"/>
    <w:rsid w:val="6F6D5423"/>
    <w:rsid w:val="6F7C0E3D"/>
    <w:rsid w:val="6F7F4023"/>
    <w:rsid w:val="6F82185F"/>
    <w:rsid w:val="6F886353"/>
    <w:rsid w:val="6F887838"/>
    <w:rsid w:val="6F8E41A4"/>
    <w:rsid w:val="6FA32AFD"/>
    <w:rsid w:val="6FB7179E"/>
    <w:rsid w:val="6FDD600F"/>
    <w:rsid w:val="6FE86762"/>
    <w:rsid w:val="6FEC0000"/>
    <w:rsid w:val="6FEE70E9"/>
    <w:rsid w:val="70096E04"/>
    <w:rsid w:val="700C2451"/>
    <w:rsid w:val="703235D5"/>
    <w:rsid w:val="70380103"/>
    <w:rsid w:val="703A3D0A"/>
    <w:rsid w:val="70705949"/>
    <w:rsid w:val="70744007"/>
    <w:rsid w:val="709C5DB4"/>
    <w:rsid w:val="70BF6642"/>
    <w:rsid w:val="70FF075C"/>
    <w:rsid w:val="710650F2"/>
    <w:rsid w:val="71066EA0"/>
    <w:rsid w:val="71237A52"/>
    <w:rsid w:val="71431EA2"/>
    <w:rsid w:val="71525070"/>
    <w:rsid w:val="715C2F64"/>
    <w:rsid w:val="7162598C"/>
    <w:rsid w:val="71804EA4"/>
    <w:rsid w:val="71983729"/>
    <w:rsid w:val="722F68CA"/>
    <w:rsid w:val="724D08F0"/>
    <w:rsid w:val="72534367"/>
    <w:rsid w:val="72A5093A"/>
    <w:rsid w:val="72BF2E76"/>
    <w:rsid w:val="72D51220"/>
    <w:rsid w:val="72E75D66"/>
    <w:rsid w:val="72ED47BB"/>
    <w:rsid w:val="73497518"/>
    <w:rsid w:val="734E4B2E"/>
    <w:rsid w:val="73634A7D"/>
    <w:rsid w:val="73682094"/>
    <w:rsid w:val="73740A39"/>
    <w:rsid w:val="737C169B"/>
    <w:rsid w:val="73814F04"/>
    <w:rsid w:val="739C3AEB"/>
    <w:rsid w:val="73BA5622"/>
    <w:rsid w:val="73C343E4"/>
    <w:rsid w:val="73E56BC8"/>
    <w:rsid w:val="73E831D5"/>
    <w:rsid w:val="73F25E01"/>
    <w:rsid w:val="73F506D6"/>
    <w:rsid w:val="73FC0A2E"/>
    <w:rsid w:val="740B2A1F"/>
    <w:rsid w:val="74117C8D"/>
    <w:rsid w:val="74220923"/>
    <w:rsid w:val="745708AE"/>
    <w:rsid w:val="74806F69"/>
    <w:rsid w:val="74852401"/>
    <w:rsid w:val="749F1AE5"/>
    <w:rsid w:val="74B471B3"/>
    <w:rsid w:val="74E03EAC"/>
    <w:rsid w:val="75022074"/>
    <w:rsid w:val="751B27D2"/>
    <w:rsid w:val="75221B04"/>
    <w:rsid w:val="75717E89"/>
    <w:rsid w:val="757A6A57"/>
    <w:rsid w:val="758331B5"/>
    <w:rsid w:val="75AB270C"/>
    <w:rsid w:val="75F419BD"/>
    <w:rsid w:val="762A27DA"/>
    <w:rsid w:val="763E0E8A"/>
    <w:rsid w:val="76430936"/>
    <w:rsid w:val="76524935"/>
    <w:rsid w:val="76740D50"/>
    <w:rsid w:val="76764AC8"/>
    <w:rsid w:val="76816FC9"/>
    <w:rsid w:val="76832D41"/>
    <w:rsid w:val="76A50965"/>
    <w:rsid w:val="76A6461F"/>
    <w:rsid w:val="76B80C3C"/>
    <w:rsid w:val="76C53359"/>
    <w:rsid w:val="76DE441B"/>
    <w:rsid w:val="76F679B7"/>
    <w:rsid w:val="77356731"/>
    <w:rsid w:val="773D1603"/>
    <w:rsid w:val="77400C32"/>
    <w:rsid w:val="774A6156"/>
    <w:rsid w:val="77D71596"/>
    <w:rsid w:val="77EB35FA"/>
    <w:rsid w:val="780D320A"/>
    <w:rsid w:val="783F6BF7"/>
    <w:rsid w:val="78434E7D"/>
    <w:rsid w:val="786A41B8"/>
    <w:rsid w:val="7871660D"/>
    <w:rsid w:val="78987C84"/>
    <w:rsid w:val="789E20B4"/>
    <w:rsid w:val="78C4148F"/>
    <w:rsid w:val="78E21FA1"/>
    <w:rsid w:val="78EE4DE9"/>
    <w:rsid w:val="790901FF"/>
    <w:rsid w:val="7924080B"/>
    <w:rsid w:val="79254583"/>
    <w:rsid w:val="792D540E"/>
    <w:rsid w:val="794F07DE"/>
    <w:rsid w:val="797F5A41"/>
    <w:rsid w:val="798B088A"/>
    <w:rsid w:val="798F3644"/>
    <w:rsid w:val="79933102"/>
    <w:rsid w:val="799A287B"/>
    <w:rsid w:val="79C142AC"/>
    <w:rsid w:val="79D10450"/>
    <w:rsid w:val="79DC2E94"/>
    <w:rsid w:val="7A245426"/>
    <w:rsid w:val="7A286917"/>
    <w:rsid w:val="7A290118"/>
    <w:rsid w:val="7A5C2227"/>
    <w:rsid w:val="7A601D17"/>
    <w:rsid w:val="7A6376BF"/>
    <w:rsid w:val="7A97688D"/>
    <w:rsid w:val="7A9814B1"/>
    <w:rsid w:val="7AA65250"/>
    <w:rsid w:val="7AB43E11"/>
    <w:rsid w:val="7AF256B6"/>
    <w:rsid w:val="7AF449C4"/>
    <w:rsid w:val="7B051225"/>
    <w:rsid w:val="7B0846E3"/>
    <w:rsid w:val="7B486307"/>
    <w:rsid w:val="7B4C229B"/>
    <w:rsid w:val="7B4C5DF7"/>
    <w:rsid w:val="7B7F7F7B"/>
    <w:rsid w:val="7B914268"/>
    <w:rsid w:val="7B965AB3"/>
    <w:rsid w:val="7BBC1AD5"/>
    <w:rsid w:val="7BC2255D"/>
    <w:rsid w:val="7BEF7850"/>
    <w:rsid w:val="7C036DFE"/>
    <w:rsid w:val="7C280612"/>
    <w:rsid w:val="7C444D20"/>
    <w:rsid w:val="7C5C650E"/>
    <w:rsid w:val="7C7C0DEA"/>
    <w:rsid w:val="7CB00608"/>
    <w:rsid w:val="7CD442F6"/>
    <w:rsid w:val="7CF14EA8"/>
    <w:rsid w:val="7CF718EF"/>
    <w:rsid w:val="7D07647A"/>
    <w:rsid w:val="7D31799A"/>
    <w:rsid w:val="7D3935CB"/>
    <w:rsid w:val="7D5316BF"/>
    <w:rsid w:val="7D6513F2"/>
    <w:rsid w:val="7D72364A"/>
    <w:rsid w:val="7D7B0C16"/>
    <w:rsid w:val="7D7D6095"/>
    <w:rsid w:val="7D8E0CD4"/>
    <w:rsid w:val="7D9A4AFF"/>
    <w:rsid w:val="7DAC5273"/>
    <w:rsid w:val="7DAD28DC"/>
    <w:rsid w:val="7DB14637"/>
    <w:rsid w:val="7DBF464A"/>
    <w:rsid w:val="7DC15CCA"/>
    <w:rsid w:val="7DF84014"/>
    <w:rsid w:val="7E0105AB"/>
    <w:rsid w:val="7E0503B7"/>
    <w:rsid w:val="7E074257"/>
    <w:rsid w:val="7E0E55E6"/>
    <w:rsid w:val="7E384472"/>
    <w:rsid w:val="7E795155"/>
    <w:rsid w:val="7E841FE0"/>
    <w:rsid w:val="7E843AFA"/>
    <w:rsid w:val="7E885398"/>
    <w:rsid w:val="7E9F4667"/>
    <w:rsid w:val="7EAD3051"/>
    <w:rsid w:val="7EB20667"/>
    <w:rsid w:val="7EE55250"/>
    <w:rsid w:val="7EF94618"/>
    <w:rsid w:val="7F076A8B"/>
    <w:rsid w:val="7F1430D0"/>
    <w:rsid w:val="7F211349"/>
    <w:rsid w:val="7F2B19DA"/>
    <w:rsid w:val="7F2C21C7"/>
    <w:rsid w:val="7F3217A8"/>
    <w:rsid w:val="7F405C73"/>
    <w:rsid w:val="7F460DAF"/>
    <w:rsid w:val="7F4736ED"/>
    <w:rsid w:val="7F4946CE"/>
    <w:rsid w:val="7F5D6825"/>
    <w:rsid w:val="7F631B2A"/>
    <w:rsid w:val="7F65392B"/>
    <w:rsid w:val="7F743B6E"/>
    <w:rsid w:val="7F98785D"/>
    <w:rsid w:val="7FA501CC"/>
    <w:rsid w:val="7FAE52D2"/>
    <w:rsid w:val="7FBB354B"/>
    <w:rsid w:val="7FC9626B"/>
    <w:rsid w:val="7FD0349B"/>
    <w:rsid w:val="7FE505C8"/>
    <w:rsid w:val="7FEC7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rPr>
      <w:sz w:val="24"/>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qFormat/>
    <w:uiPriority w:val="0"/>
    <w:rPr>
      <w:color w:val="0000FF"/>
      <w:u w:val="single"/>
    </w:rPr>
  </w:style>
  <w:style w:type="paragraph" w:customStyle="1" w:styleId="10">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1">
    <w:name w:val="Table Normal"/>
    <w:autoRedefine/>
    <w:semiHidden/>
    <w:unhideWhenUsed/>
    <w:qFormat/>
    <w:uiPriority w:val="0"/>
    <w:tblPr>
      <w:tblCellMar>
        <w:top w:w="0" w:type="dxa"/>
        <w:left w:w="0" w:type="dxa"/>
        <w:bottom w:w="0" w:type="dxa"/>
        <w:right w:w="0" w:type="dxa"/>
      </w:tblCellMar>
    </w:tblPr>
  </w:style>
  <w:style w:type="paragraph" w:customStyle="1" w:styleId="12">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3507</Words>
  <Characters>4281</Characters>
  <Lines>0</Lines>
  <Paragraphs>0</Paragraphs>
  <TotalTime>0</TotalTime>
  <ScaleCrop>false</ScaleCrop>
  <LinksUpToDate>false</LinksUpToDate>
  <CharactersWithSpaces>4340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2024-04-12T01:03:57Z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D23AE21371AD4B2A936F48373C5D0EDD_13</vt:lpwstr>
  </property>
</Properties>
</file>