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15</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2"/>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2"/>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hint="eastAsia" w:ascii="微软雅黑" w:hAnsi="微软雅黑" w:eastAsia="微软雅黑" w:cs="微软雅黑"/>
          <w:spacing w:val="4"/>
          <w:sz w:val="24"/>
          <w:szCs w:val="24"/>
          <w:lang w:val="en-US" w:eastAsia="zh-CN"/>
        </w:rPr>
        <w:t>美联储降息预期再度降低，英美对俄罗斯铝、铜、镍实施新的交易限制或造成全球金属市场动荡，</w:t>
      </w:r>
      <w:r>
        <w:rPr>
          <w:rFonts w:ascii="微软雅黑" w:hAnsi="微软雅黑" w:eastAsia="微软雅黑" w:cs="微软雅黑"/>
          <w:spacing w:val="4"/>
          <w:sz w:val="24"/>
          <w:szCs w:val="24"/>
        </w:rPr>
        <w:t>中东局</w:t>
      </w:r>
      <w:r>
        <w:rPr>
          <w:rFonts w:hint="eastAsia" w:ascii="微软雅黑" w:hAnsi="微软雅黑" w:eastAsia="微软雅黑" w:cs="微软雅黑"/>
          <w:spacing w:val="4"/>
          <w:sz w:val="24"/>
          <w:szCs w:val="24"/>
          <w:lang w:val="en-US" w:eastAsia="zh-CN"/>
        </w:rPr>
        <w:t>骤然升级后出现缓和，地缘政治走向或是影响本周最重要的因素。</w:t>
      </w:r>
      <w:r>
        <w:rPr>
          <w:rFonts w:ascii="微软雅黑" w:hAnsi="微软雅黑" w:eastAsia="微软雅黑" w:cs="微软雅黑"/>
          <w:spacing w:val="4"/>
          <w:sz w:val="24"/>
          <w:szCs w:val="24"/>
        </w:rPr>
        <w:t>截至</w:t>
      </w:r>
      <w:r>
        <w:rPr>
          <w:rFonts w:hint="eastAsia" w:ascii="微软雅黑" w:hAnsi="微软雅黑" w:eastAsia="微软雅黑" w:cs="微软雅黑"/>
          <w:spacing w:val="4"/>
          <w:sz w:val="24"/>
          <w:szCs w:val="24"/>
          <w:lang w:val="en-US" w:eastAsia="zh-CN"/>
        </w:rPr>
        <w:t>4</w:t>
      </w:r>
      <w:r>
        <w:rPr>
          <w:rFonts w:ascii="微软雅黑" w:hAnsi="微软雅黑" w:eastAsia="微软雅黑" w:cs="微软雅黑"/>
          <w:spacing w:val="4"/>
          <w:sz w:val="24"/>
          <w:szCs w:val="24"/>
        </w:rPr>
        <w:t>月</w:t>
      </w:r>
      <w:r>
        <w:rPr>
          <w:rFonts w:hint="eastAsia" w:ascii="微软雅黑" w:hAnsi="微软雅黑" w:eastAsia="微软雅黑" w:cs="微软雅黑"/>
          <w:spacing w:val="4"/>
          <w:sz w:val="24"/>
          <w:szCs w:val="24"/>
          <w:lang w:val="en-US" w:eastAsia="zh-CN"/>
        </w:rPr>
        <w:t>15</w:t>
      </w:r>
      <w:r>
        <w:rPr>
          <w:rFonts w:ascii="微软雅黑" w:hAnsi="微软雅黑" w:eastAsia="微软雅黑" w:cs="微软雅黑"/>
          <w:spacing w:val="4"/>
          <w:sz w:val="24"/>
          <w:szCs w:val="24"/>
        </w:rPr>
        <w:t>日，</w:t>
      </w:r>
      <w:r>
        <w:rPr>
          <w:rFonts w:hint="eastAsia" w:ascii="微软雅黑" w:hAnsi="微软雅黑" w:eastAsia="微软雅黑" w:cs="微软雅黑"/>
          <w:spacing w:val="4"/>
          <w:sz w:val="24"/>
          <w:szCs w:val="24"/>
          <w:lang w:val="en-US" w:eastAsia="zh-CN"/>
        </w:rPr>
        <w:t>上周</w:t>
      </w:r>
      <w:r>
        <w:rPr>
          <w:rFonts w:ascii="微软雅黑" w:hAnsi="微软雅黑" w:eastAsia="微软雅黑" w:cs="微软雅黑"/>
          <w:spacing w:val="4"/>
          <w:sz w:val="24"/>
          <w:szCs w:val="24"/>
        </w:rPr>
        <w:t>富时中国A50</w:t>
      </w:r>
      <w:r>
        <w:rPr>
          <w:rFonts w:hint="eastAsia" w:ascii="微软雅黑" w:hAnsi="微软雅黑" w:eastAsia="微软雅黑" w:cs="微软雅黑"/>
          <w:spacing w:val="4"/>
          <w:sz w:val="24"/>
          <w:szCs w:val="24"/>
          <w:lang w:val="en-US" w:eastAsia="zh-CN"/>
        </w:rPr>
        <w:t>跌1.74%报11916.07点</w:t>
      </w:r>
      <w:r>
        <w:rPr>
          <w:rFonts w:ascii="微软雅黑" w:hAnsi="微软雅黑" w:eastAsia="微软雅黑" w:cs="微软雅黑"/>
          <w:spacing w:val="4"/>
          <w:sz w:val="24"/>
          <w:szCs w:val="24"/>
        </w:rPr>
        <w:t>，标准普尔500指数</w:t>
      </w:r>
      <w:r>
        <w:rPr>
          <w:rFonts w:hint="eastAsia" w:ascii="微软雅黑" w:hAnsi="微软雅黑" w:eastAsia="微软雅黑" w:cs="微软雅黑"/>
          <w:spacing w:val="4"/>
          <w:sz w:val="24"/>
          <w:szCs w:val="24"/>
          <w:lang w:val="en-US" w:eastAsia="zh-CN"/>
        </w:rPr>
        <w:t>跌0.1%报5123.41点</w:t>
      </w:r>
      <w:r>
        <w:rPr>
          <w:rFonts w:hint="eastAsia" w:ascii="微软雅黑" w:hAnsi="微软雅黑" w:eastAsia="微软雅黑" w:cs="微软雅黑"/>
          <w:spacing w:val="5"/>
          <w:sz w:val="24"/>
          <w:szCs w:val="24"/>
          <w:lang w:val="en-US" w:eastAsia="zh-CN"/>
        </w:rPr>
        <w:t>。</w:t>
      </w:r>
      <w:r>
        <w:rPr>
          <w:rFonts w:ascii="微软雅黑" w:hAnsi="微软雅黑" w:eastAsia="微软雅黑" w:cs="微软雅黑"/>
          <w:spacing w:val="5"/>
          <w:sz w:val="24"/>
          <w:szCs w:val="24"/>
        </w:rPr>
        <w:t>美元兑离岸人民币</w:t>
      </w:r>
      <w:r>
        <w:rPr>
          <w:rFonts w:hint="eastAsia" w:ascii="微软雅黑" w:hAnsi="微软雅黑" w:eastAsia="微软雅黑" w:cs="微软雅黑"/>
          <w:spacing w:val="5"/>
          <w:sz w:val="24"/>
          <w:szCs w:val="24"/>
          <w:lang w:val="en-US" w:eastAsia="zh-CN"/>
        </w:rPr>
        <w:t>涨约0.12</w:t>
      </w:r>
      <w:r>
        <w:rPr>
          <w:rFonts w:ascii="微软雅黑" w:hAnsi="微软雅黑" w:eastAsia="微软雅黑" w:cs="微软雅黑"/>
          <w:spacing w:val="5"/>
          <w:sz w:val="24"/>
          <w:szCs w:val="24"/>
        </w:rPr>
        <w:t>%报</w:t>
      </w:r>
      <w:r>
        <w:rPr>
          <w:rFonts w:hint="eastAsia" w:ascii="微软雅黑" w:hAnsi="微软雅黑" w:eastAsia="微软雅黑" w:cs="微软雅黑"/>
          <w:spacing w:val="5"/>
          <w:sz w:val="24"/>
          <w:szCs w:val="24"/>
          <w:lang w:val="en-US" w:eastAsia="zh-CN"/>
        </w:rPr>
        <w:t>7.2673</w:t>
      </w:r>
      <w:r>
        <w:rPr>
          <w:rFonts w:ascii="微软雅黑" w:hAnsi="微软雅黑" w:eastAsia="微软雅黑" w:cs="微软雅黑"/>
          <w:spacing w:val="4"/>
          <w:sz w:val="24"/>
          <w:szCs w:val="24"/>
        </w:rPr>
        <w:t>人民币/美元，</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w:t>
      </w:r>
      <w:r>
        <w:rPr>
          <w:rFonts w:hint="eastAsia" w:ascii="微软雅黑" w:hAnsi="微软雅黑" w:eastAsia="微软雅黑" w:cs="微软雅黑"/>
          <w:spacing w:val="4"/>
          <w:sz w:val="24"/>
          <w:szCs w:val="24"/>
          <w:lang w:val="en-US" w:eastAsia="zh-CN"/>
        </w:rPr>
        <w:t>涨0.56%</w:t>
      </w:r>
      <w:r>
        <w:rPr>
          <w:rFonts w:ascii="微软雅黑" w:hAnsi="微软雅黑" w:eastAsia="微软雅黑" w:cs="微软雅黑"/>
          <w:spacing w:val="4"/>
          <w:sz w:val="24"/>
          <w:szCs w:val="24"/>
        </w:rPr>
        <w:t>报</w:t>
      </w:r>
      <w:r>
        <w:rPr>
          <w:rFonts w:hint="eastAsia" w:ascii="微软雅黑" w:hAnsi="微软雅黑" w:eastAsia="微软雅黑" w:cs="微软雅黑"/>
          <w:spacing w:val="4"/>
          <w:sz w:val="24"/>
          <w:szCs w:val="24"/>
          <w:lang w:val="en-US" w:eastAsia="zh-CN"/>
        </w:rPr>
        <w:t>9407</w:t>
      </w:r>
      <w:r>
        <w:rPr>
          <w:rFonts w:ascii="微软雅黑" w:hAnsi="微软雅黑" w:eastAsia="微软雅黑" w:cs="微软雅黑"/>
          <w:spacing w:val="2"/>
          <w:sz w:val="24"/>
          <w:szCs w:val="24"/>
        </w:rPr>
        <w:t>美元/吨，</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w:t>
      </w:r>
      <w:r>
        <w:rPr>
          <w:rFonts w:hint="eastAsia" w:ascii="微软雅黑" w:hAnsi="微软雅黑" w:eastAsia="微软雅黑" w:cs="微软雅黑"/>
          <w:spacing w:val="2"/>
          <w:sz w:val="24"/>
          <w:szCs w:val="24"/>
          <w:lang w:val="en-US" w:eastAsia="zh-CN"/>
        </w:rPr>
        <w:t>2.07</w:t>
      </w:r>
      <w:r>
        <w:rPr>
          <w:rFonts w:ascii="微软雅黑" w:hAnsi="微软雅黑" w:eastAsia="微软雅黑" w:cs="微软雅黑"/>
          <w:spacing w:val="2"/>
          <w:sz w:val="24"/>
          <w:szCs w:val="24"/>
        </w:rPr>
        <w:t>%报</w:t>
      </w:r>
      <w:r>
        <w:rPr>
          <w:rFonts w:hint="eastAsia" w:ascii="微软雅黑" w:hAnsi="微软雅黑" w:eastAsia="微软雅黑" w:cs="微软雅黑"/>
          <w:spacing w:val="2"/>
          <w:sz w:val="24"/>
          <w:szCs w:val="24"/>
          <w:lang w:val="en-US" w:eastAsia="zh-CN"/>
        </w:rPr>
        <w:t>2360.2</w:t>
      </w:r>
      <w:r>
        <w:rPr>
          <w:rFonts w:ascii="微软雅黑" w:hAnsi="微软雅黑" w:eastAsia="微软雅黑" w:cs="微软雅黑"/>
          <w:spacing w:val="2"/>
          <w:sz w:val="24"/>
          <w:szCs w:val="24"/>
        </w:rPr>
        <w:t>美元/盎司，</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w:t>
      </w:r>
      <w:r>
        <w:rPr>
          <w:rFonts w:hint="eastAsia" w:ascii="微软雅黑" w:hAnsi="微软雅黑" w:eastAsia="微软雅黑" w:cs="微软雅黑"/>
          <w:spacing w:val="2"/>
          <w:sz w:val="24"/>
          <w:szCs w:val="24"/>
          <w:lang w:val="en-US" w:eastAsia="zh-CN"/>
        </w:rPr>
        <w:t>涨4.03</w:t>
      </w:r>
      <w:r>
        <w:rPr>
          <w:rFonts w:ascii="微软雅黑" w:hAnsi="微软雅黑" w:eastAsia="微软雅黑" w:cs="微软雅黑"/>
          <w:spacing w:val="2"/>
          <w:sz w:val="24"/>
          <w:szCs w:val="24"/>
        </w:rPr>
        <w:t>%</w:t>
      </w:r>
      <w:r>
        <w:rPr>
          <w:rFonts w:ascii="微软雅黑" w:hAnsi="微软雅黑" w:eastAsia="微软雅黑" w:cs="微软雅黑"/>
          <w:spacing w:val="12"/>
          <w:sz w:val="24"/>
          <w:szCs w:val="24"/>
        </w:rPr>
        <w:t>报</w:t>
      </w:r>
      <w:r>
        <w:rPr>
          <w:rFonts w:hint="eastAsia" w:ascii="微软雅黑" w:hAnsi="微软雅黑" w:eastAsia="微软雅黑" w:cs="微软雅黑"/>
          <w:spacing w:val="12"/>
          <w:sz w:val="24"/>
          <w:szCs w:val="24"/>
          <w:lang w:val="en-US" w:eastAsia="zh-CN"/>
        </w:rPr>
        <w:t>27.97</w:t>
      </w:r>
      <w:r>
        <w:rPr>
          <w:rFonts w:ascii="微软雅黑" w:hAnsi="微软雅黑" w:eastAsia="微软雅黑" w:cs="微软雅黑"/>
          <w:spacing w:val="12"/>
          <w:sz w:val="24"/>
          <w:szCs w:val="24"/>
        </w:rPr>
        <w:t>美元/盎司。</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原糖期货</w:t>
      </w:r>
      <w:r>
        <w:rPr>
          <w:rFonts w:hint="eastAsia" w:ascii="微软雅黑" w:hAnsi="微软雅黑" w:eastAsia="微软雅黑" w:cs="微软雅黑"/>
          <w:spacing w:val="12"/>
          <w:sz w:val="24"/>
          <w:szCs w:val="24"/>
          <w:lang w:val="en-US" w:eastAsia="zh-CN"/>
        </w:rPr>
        <w:t>周度跌幅6.54</w:t>
      </w: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棉跌</w:t>
      </w:r>
      <w:r>
        <w:rPr>
          <w:rFonts w:hint="eastAsia" w:ascii="微软雅黑" w:hAnsi="微软雅黑" w:eastAsia="微软雅黑" w:cs="微软雅黑"/>
          <w:spacing w:val="12"/>
          <w:sz w:val="24"/>
          <w:szCs w:val="24"/>
          <w:lang w:val="en-US" w:eastAsia="zh-CN"/>
        </w:rPr>
        <w:t>超3</w:t>
      </w:r>
      <w:r>
        <w:rPr>
          <w:rFonts w:ascii="微软雅黑" w:hAnsi="微软雅黑" w:eastAsia="微软雅黑" w:cs="微软雅黑"/>
          <w:spacing w:val="3"/>
          <w:sz w:val="24"/>
          <w:szCs w:val="24"/>
        </w:rPr>
        <w:t>%，</w:t>
      </w:r>
      <w:r>
        <w:rPr>
          <w:rFonts w:hint="eastAsia" w:ascii="微软雅黑" w:hAnsi="微软雅黑" w:eastAsia="微软雅黑" w:cs="微软雅黑"/>
          <w:sz w:val="24"/>
          <w:szCs w:val="24"/>
          <w:lang w:val="en-US" w:eastAsia="zh-CN"/>
        </w:rPr>
        <w:t>MB</w:t>
      </w:r>
      <w:r>
        <w:rPr>
          <w:rFonts w:ascii="微软雅黑" w:hAnsi="微软雅黑" w:eastAsia="微软雅黑" w:cs="微软雅黑"/>
          <w:spacing w:val="3"/>
          <w:sz w:val="24"/>
          <w:szCs w:val="24"/>
        </w:rPr>
        <w:t>铁矿石</w:t>
      </w:r>
      <w:r>
        <w:rPr>
          <w:rFonts w:hint="eastAsia" w:ascii="微软雅黑" w:hAnsi="微软雅黑" w:eastAsia="微软雅黑" w:cs="微软雅黑"/>
          <w:spacing w:val="3"/>
          <w:sz w:val="24"/>
          <w:szCs w:val="24"/>
          <w:lang w:val="en-US" w:eastAsia="zh-CN"/>
        </w:rPr>
        <w:t>涨5.87%</w:t>
      </w:r>
      <w:r>
        <w:rPr>
          <w:rFonts w:hint="eastAsia" w:ascii="微软雅黑" w:hAnsi="微软雅黑" w:eastAsia="微软雅黑" w:cs="微软雅黑"/>
          <w:spacing w:val="3"/>
          <w:sz w:val="24"/>
          <w:szCs w:val="24"/>
          <w:lang w:eastAsia="zh-CN"/>
        </w:rPr>
        <w:t>。</w:t>
      </w:r>
    </w:p>
    <w:p>
      <w:pPr>
        <w:spacing w:before="235" w:line="176" w:lineRule="auto"/>
        <w:ind w:firstLine="254" w:firstLineChars="100"/>
        <w:rPr>
          <w:rFonts w:ascii="微软雅黑" w:hAnsi="微软雅黑" w:eastAsia="微软雅黑" w:cs="微软雅黑"/>
          <w:spacing w:val="7"/>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235" w:line="176" w:lineRule="auto"/>
        <w:ind w:firstLine="210" w:firstLineChars="100"/>
        <w:jc w:val="both"/>
        <w:rPr>
          <w:rFonts w:hint="eastAsia" w:ascii="微软雅黑" w:hAnsi="微软雅黑" w:eastAsia="微软雅黑" w:cs="微软雅黑"/>
          <w:spacing w:val="3"/>
          <w:sz w:val="24"/>
          <w:szCs w:val="24"/>
          <w:lang w:eastAsia="zh-CN"/>
        </w:rPr>
      </w:pPr>
      <w:r>
        <w:drawing>
          <wp:inline distT="0" distB="0" distL="114300" distR="114300">
            <wp:extent cx="5890260" cy="3220085"/>
            <wp:effectExtent l="0" t="0" r="1524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890260" cy="3220085"/>
                    </a:xfrm>
                    <a:prstGeom prst="rect">
                      <a:avLst/>
                    </a:prstGeom>
                    <a:noFill/>
                    <a:ln>
                      <a:noFill/>
                    </a:ln>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2"/>
        <w:spacing w:line="282" w:lineRule="auto"/>
      </w:pPr>
    </w:p>
    <w:p>
      <w:pPr>
        <w:pStyle w:val="2"/>
        <w:spacing w:line="282" w:lineRule="auto"/>
      </w:pPr>
    </w:p>
    <w:p>
      <w:pPr>
        <w:pStyle w:val="2"/>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bookmarkStart w:id="0" w:name="_GoBack"/>
      <w:bookmarkEnd w:id="0"/>
      <w:r>
        <w:rPr>
          <w:rFonts w:hint="eastAsia" w:ascii="微软雅黑" w:hAnsi="微软雅黑" w:eastAsia="微软雅黑" w:cs="微软雅黑"/>
          <w:spacing w:val="4"/>
          <w:sz w:val="24"/>
          <w:szCs w:val="24"/>
          <w:lang w:eastAsia="zh-CN"/>
        </w:rPr>
        <w:t>【美联储博斯蒂克：可能需要进一步推迟降息；如果通胀回落的速度恢复，可能会提前进行降息。美联储的经济增长预测有可能上调；重申其预计2024年通胀回落步伐缓慢；CPI数据若符合预期，将是受欢迎的进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【美国预算赤字扩大，2024财年上半年的预算赤字达到1.07万亿美元，经调整后，</w:t>
      </w:r>
      <w:r>
        <w:rPr>
          <w:rFonts w:hint="eastAsia" w:ascii="微软雅黑" w:hAnsi="微软雅黑" w:eastAsia="微软雅黑" w:cs="微软雅黑"/>
          <w:spacing w:val="4"/>
          <w:sz w:val="24"/>
          <w:szCs w:val="24"/>
          <w:lang w:val="en-US" w:eastAsia="zh-CN"/>
        </w:rPr>
        <w:t>同比</w:t>
      </w:r>
      <w:r>
        <w:rPr>
          <w:rFonts w:hint="eastAsia" w:ascii="微软雅黑" w:hAnsi="微软雅黑" w:eastAsia="微软雅黑" w:cs="微软雅黑"/>
          <w:spacing w:val="4"/>
          <w:sz w:val="24"/>
          <w:szCs w:val="24"/>
          <w:lang w:eastAsia="zh-CN"/>
        </w:rPr>
        <w:t>扩大4%。3月份赤字为2360亿美元，小于去年同期。美国未偿债务的利息负担仍是赤字不断扩大的最大原因。本财年上半年的利息成本为5220亿美元，较2023年增长36%。】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【美国2月批发销售环比升2.3%，为2022年3月以来最大增幅，预期升0.4%，前值由降1.7%修正至降1.4%】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【美国3月NFIB小型企业信心指数为88.5，创2012年2月以来新低，预期89.9，前值89.4。美国上周红皮书商业零售销售同比上升5.4%，前值5.2%。】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w:t>
      </w:r>
      <w:r>
        <w:rPr>
          <w:rFonts w:hint="eastAsia" w:ascii="微软雅黑" w:hAnsi="微软雅黑" w:eastAsia="微软雅黑" w:cs="微软雅黑"/>
          <w:spacing w:val="4"/>
          <w:sz w:val="24"/>
          <w:szCs w:val="24"/>
          <w:lang w:val="en-US" w:eastAsia="zh-CN"/>
        </w:rPr>
        <w:t>3月CPI同比上涨3.5%，为2023年9月以来的最高水平，高于市场预期的3.4%；核心CPI同比上涨3.8%，超长市场预期的3.7%，主要是汽油和房价上涨导致通胀连续三个月超预期。</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【美国3月PPI同比上升2.1%，创2023年4月以来新高，预期2.2%，前值1.6%；环比上升0.2%，预期0.3%，前值0.6%。3月核心PPI同比上升2.4%，预期2.3%，前值2.0%；环比上升0.2%，预期0.2%，前值0.3%。】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【美国上周初请失业金人数为21.1万人，预期21.5万人，前值自22.1万人修正至22.2万人；四周均值21.425万人，前值自21.425万人修正至21.45万人；3月30日当周续请失业金人数181.7万人，预期180万人。】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【美国抵押贷款利率再次突破7%，令购房需求减弱。上周美国30年期固定利率抵押贷款合约利率上升10个基点至7.01%。高利率打压购房抵押贷款申请指数，使其下滑4.7%至近一个月来最低水平。】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将主要再融资利率、存款机制利率、边际贷款利率分别维持在4.5%、4%及4.75%不变，符合市场预期。欧洲央行明确暗示即将降息，称大多数潜在通胀指标正在放缓，如果相信通胀将达到2%，利率可能会下降。】</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【欧元区4月Sentix投资者信心指数为-5.9，预期-8.5，前值-10.5。】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【德国2月未季调经常帐盈余298亿欧元，前值盈余297亿欧元。】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【德国2月季调后贸易帐顺差214亿欧元，预期顺差260亿欧元，前值从顺差275亿欧元修正为顺差276亿欧元。出口环比降2.0%，前值6.3%；进口环比升3.2%，前值从升3.6%修正为升3.7%。】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【德国2月季调后工业产出环比升2.1%，预期升0.5%，前值升1.0%；工作日调整后工业产出同比降4.76%，前值降5.5%。】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【法国2月贸易帐逆差52.44亿欧元，创2021年1月来最小逆差，前值73.88亿欧元。】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【瑞士3月季调后失业率2.3%，预期2.2%，前值2.2%；未季调失业率2.4%，预期2.3%，前值2.4%。】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【加拿大央行将利率维持在5%不变，符合市场预期。加拿大央行将2024年CPI涨幅预期从2.8%下调至2.6%，预计2025年为2.2%；将2024年GDP增长预期上调至1.5%；将中性利率范围上调25个基点至2.25%-3.25%。】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【加拿大央行行长麦克勒姆表示，6月份可能会进行降息。】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【新西兰联储维持基准利率在5.5%不变，连续第六次暂停加息，符合市场预期。新西兰联储表示，继续采取紧缩的货币政策立场以进一步减轻产能压力和通胀。】</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【花旗中国：将今年中国GDP预测从4.6%上调至5%，房地产初现企稳迹象。】</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【日本2月贸易帐逆差2809亿日元，预期逆差1927亿日元，前值逆差14427亿日元；未季调经常帐盈余26442亿日元，预期盈余31125亿日元；季调后经常账盈余13686亿日元，预期盈余19950亿日元。】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【日本央行行长植田和男预计，日本央行债券持有量将在短期内保持稳定，将来会减少债券购买，但现在无法确定具体时间和幅度。植田和男表示，暂无计划在近期出售所持ETF，利率调整速度取决于经济情况。】</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【日本央行行长植田和男表示，日本经济正在逐渐复苏，但仍存在一些结构问题；需要关注外汇水平及其对通胀影响，预计日本金融状况将继续保持宽松。】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【新加坡金管局维持货币波动区间的斜率、宽度和中点不变。】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【越南欧洲商会公布数据显示，2024年第一季度商业信心指数达到52.8点，为2022年以来最高水平。一季度越南吸引外国直接投资（FDI）注册资金近61.7亿美元，同比增长13.4%。】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世界贸易组织发布新一期《全球贸易展望与统计》报告，预计2024年全球商品贸易量将增长2.6%，2025年将增长3.3%。据世贸组织统计，2023年全球商品贸易量下降1.2%，从商品贸易额看则降幅更大，达到5%。</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【国际货币基金组织（IMF）表示，在缺乏重大技术进步或结构性改革的情况下，预计2030年全球经济增速为2.8%，低于历史平均水平3.8%。】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6"/>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8"/>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8"/>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富时中国A50指数跌2.59%至11916.07点；新交所富时A50期指主力合约周跌2.67%至11902点。美国3月CPI数据超预期，或进一步修正市场对宏观的预期，同时一季度经济进入结算阶段。4月政治局会议召开前市场较难有大利好支持，不排除进一步整理，5月份或需是市场的机会，政策端关注超长国债以及降准等举措。策略上，短线观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0" w:line="191" w:lineRule="auto"/>
              <w:jc w:val="center"/>
              <w:rPr>
                <w:b/>
                <w:bCs/>
                <w:sz w:val="19"/>
                <w:szCs w:val="19"/>
              </w:rPr>
            </w:pPr>
            <w:r>
              <w:rPr>
                <w:rFonts w:hint="eastAsia"/>
                <w:b/>
                <w:bCs/>
                <w:sz w:val="19"/>
                <w:szCs w:val="19"/>
              </w:rPr>
              <w:t>S&amp;P500</w:t>
            </w:r>
          </w:p>
          <w:p>
            <w:pPr>
              <w:pStyle w:val="8"/>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标普500指数上周跌1.56%至5123.41点；迷你标普500主力合约上周跌1.70%至5166.5点。美股连续第二周下跌，通胀压力与中东局势施压。纽约联储行长威廉姆斯称短期内没有必要改变货币政策。欧央行发出降息的最明确信号。策略上，短线观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铁矿石期价震荡走高，钢厂高炉开工率及产能利用率上调，提升铁矿石现货需求，提振市场信心，主流持仓增多减空推动铁矿石期价进一步走高。供应端，国内铁矿石港口库存继续增加，目前上升至1.45亿吨，较去年同期增加1575万吨，供应整体维持宽松。需求端，部分钢厂仍执行限产计划，钢厂高炉开工率及产能利用率虽有上调，但整体仍处在相对低位。终端需求回暖，市场预期钢厂或继续上调钢材产量对于铁矿石构成支撑。操作上，建议I2409合约回调择机做多，注意操作节奏及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在美联储降息预期日益消退和避险情绪的双重支撑下，美元指数快速走强。周末英美对俄罗斯金属实施制裁，限制铜、铝、镍交易。LME宣布暂停为4月13日后生产的俄罗斯金属出具仓单。中国经济运行释放积极信号，市场活跃度上升，部分上市公司一季度盈利改善。随着设备更新改造和消费品以旧换新等政策加快落地显效，经济回升向好基础有望进一步巩固。基本面上，TC价格持续走低，矿端偏紧冶炼厂成本抬升，冶炼厂减产预期偏强，加之4月冶炼厂进入较密集的检修期，预计现货供给量上或将有所收敛。需求方面，当前现货价格高企，下游企业需求或将收到一定程度影响。终端消费方面，在“以旧换新”政策的助力下，整体预期向好。轻仓逢低短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美国农业部四月份供需报告中性偏空，因为巴西和阿根廷大豆产量预期均维持不变，同时还调高了美国大豆期末库存。巴西豆出口继续冲击美豆的出口，美豆出口持续性的回落，继续压制美豆的价格。中下旬美豆开始种植，暂时没有明显的天气炒作的预期，限制美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美国经济保持韧性，通胀数据呈现反弹，市场削减美联储降息预期，美元指数升至五个月高点。欧佩克联盟产油国将自愿减产措施延长到二季度，沙特将自愿减产100万桶/日，俄罗斯将在二季度自愿削减供应47.1万桶/日。美国炼厂开工小幅回落，原油及成品油库存增加；欧佩克月报维持今明两年原油需求增幅预期，国际能源署小幅下调增幅预估。整体上，欧佩克联盟减产及地缘局势支撑油市，伊朗对以色列展开报复性袭击，伊朗与以色列冲突升级风险上升，市场权衡地缘局势及美联储推迟降息对能源需求影响，短线原油期价呈现强势震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jc w:val="both"/>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糖7月合约周度跌幅6.54%。由于印度糖增产，且巴西糖进入新榨季，供应增加施压糖市。北半球印度、泰国产量减幅不及预期，当前印度糖产量已达3020.2万吨，同比小幅增加。印度糖出口限制政策或有所松动。市场迎来巴西新榨季，出口仍表现强劲，利空原糖市场。巴西航运机构Williams发布数据显示，截至4月10日当周巴西港口等待装运食糖的船只数量为72艘，此前一周为50艘。港口等待装运的食糖数量为265.1万吨，此前一周为180.68万吨。当周等待装运出口的食糖船只数量大幅增加，运输进度开始放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棉7月合约周度跌幅超3.0%。外部环境不佳，美国通胀数据强于预期，给大宗商品市场带来压力。是美棉出口销售签约量下滑明显，且美元上涨拖累市场，抵消了月度供需预测报告。据美国农业部(USDA)报告显示，3月29日-4月4日一周美国2023/24年度陆地棉净签18484吨（含签约29574吨，取消前期签约11090吨），较前一周减少4%，较近四周平均减少10%。装运陆地棉62165吨，较前一周减少25%，较近四周平均减少23%。未来一周美棉销售报告仍是关注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8"/>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周末伊朗对以色列发动袭击，中东地缘冲突紧张升级，市场避险情绪或逐步提升。周末多位美联储官员于公开演讲中释放鹰派言论，预计美联储将比此前预期的时间晚一些降息。欧洲整体发言基调偏鸽，市场或持续下调年内欧元区利率预期。往后看，短期内地缘冲突所产生的的避险情绪或持续发酵，叠加美国与非美国家利差走阔，美元指数或得到一定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8"/>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伊朗对以色列发动袭击导致市场避险情绪上升。在先前美国经济数据接连超出市场预期显示整体经济韧性尚存的状况下，多位美联储官员于公开演讲中接连放鹰，与非美央行官员支持提早降息的态度截然相反，美国与非美国家利差在利率预期推动下逐渐走阔，使美元及美债收益率得到一定支撑。往后看，短期内地缘冲突所产生的的避险情绪或持续发酵，贵金属或持续得益于避险需求及通胀预期得到一定支撑。操作上建议，逢低做多。</w:t>
            </w:r>
          </w:p>
        </w:tc>
      </w:tr>
    </w:tbl>
    <w:p>
      <w:pPr>
        <w:spacing w:before="120" w:line="190" w:lineRule="auto"/>
        <w:rPr>
          <w:rFonts w:hint="eastAsia" w:ascii="微软雅黑" w:hAnsi="微软雅黑" w:eastAsia="微软雅黑" w:cs="微软雅黑"/>
          <w:b/>
          <w:bCs/>
          <w:color w:val="036EB8"/>
          <w:spacing w:val="10"/>
          <w:sz w:val="28"/>
          <w:szCs w:val="28"/>
          <w:lang w:val="en-US" w:eastAsia="zh-CN"/>
        </w:rPr>
      </w:pPr>
    </w:p>
    <w:p>
      <w:pPr>
        <w:pStyle w:val="2"/>
        <w:spacing w:line="263" w:lineRule="auto"/>
      </w:pPr>
    </w:p>
    <w:p>
      <w:pPr>
        <w:pStyle w:val="2"/>
        <w:spacing w:line="263" w:lineRule="auto"/>
      </w:pPr>
    </w:p>
    <w:p>
      <w:pPr>
        <w:pStyle w:val="2"/>
        <w:spacing w:line="263" w:lineRule="auto"/>
      </w:pPr>
    </w:p>
    <w:p>
      <w:pPr>
        <w:pStyle w:val="2"/>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9"/>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center"/>
              <w:rPr>
                <w:rFonts w:hint="eastAsia" w:eastAsia="宋体"/>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2917825</wp:posOffset>
                      </wp:positionH>
                      <wp:positionV relativeFrom="paragraph">
                        <wp:posOffset>2190750</wp:posOffset>
                      </wp:positionV>
                      <wp:extent cx="2849245" cy="287655"/>
                      <wp:effectExtent l="5080" t="4445" r="22225" b="12700"/>
                      <wp:wrapNone/>
                      <wp:docPr id="39" name="文本框 39"/>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 ：纽约铜主力合约走势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5pt;margin-top:172.5pt;height:22.65pt;width:224.35pt;z-index:251663360;mso-width-relative:page;mso-height-relative:page;" fillcolor="#FFFFFF [3201]" filled="t" stroked="t" coordsize="21600,21600" o:gfxdata="UEsDBAoAAAAAAIdO4kAAAAAAAAAAAAAAAAAEAAAAZHJzL1BLAwQUAAAACACHTuJA+EKd9NkAAAAL&#10;AQAADwAAAGRycy9kb3ducmV2LnhtbE2PTU+DQBCG7yb+h82YeLO7/cAAZenBxJsxoVbtcQtTILKz&#10;lF2g/nvHkx5n5sk7z5vtrrYTEw6+daRhuVAgkEpXtVRrOLw9P8QgfDBUmc4RavhGD7v89iYzaeVm&#10;KnDah1pwCPnUaGhC6FMpfdmgNX7heiS+nd1gTeBxqGU1mJnDbSdXSj1Ka1riD43p8anB8ms/Wg2v&#10;0+je64+o/KTjXPj4fCle4ovW93dLtQUR8Br+YPjVZ3XI2enkRqq86DRsoiRiVMN6E3EpJhIVr0Cc&#10;eJOoNcg8k/875D9QSwMEFAAAAAgAh07iQBJtEm1TAgAAugQAAA4AAABkcnMvZTJvRG9jLnhtbK1U&#10;zW4aMRC+V+o7WL6XBQIJQSwRTURVKWoi0apn4/WylmyPaxt20wdo36CnXnrvc/EcHXsX8tMeOJSD&#10;mT++mflmhtlVoxXZCeclmJwOen1KhOFQSLPJ6aePyzcTSnxgpmAKjMjpg/D0av761ay2UzGEClQh&#10;HEEQ46e1zWkVgp1mmeeV0Mz3wAqDzhKcZgFVt8kKx2pE1yob9vvnWQ2usA648B6tN62TdojuFEAo&#10;S8nFDfCtFia0qE4oFrAlX0nr6TxVW5aCh7uy9CIQlVPsNKQXk6C8jm82n7HpxjFbSd6VwE4p4UVP&#10;mkmDSY9QNywwsnXyLygtuQMPZehx0FnbSGIEuxj0X3CzqpgVqRek2tsj6f7/wfIPu3tHZJHTs0tK&#10;DNM48f2P7/ufv/e/vhG0IUG19VOMW1mMDM1baHBtDnaPxth3Uzodv7Ejgn6k9+FIr2gC4WgcTkaX&#10;w9GYEo6+4eTifDyOMNnjr63z4Z0ATaKQU4fjS6yy3a0PbeghJCbzoGSxlEolxW3W18qRHcNRL9On&#10;Q38Wpgypc3p+Nu4n5Gc+fwoElqsMVh1ZabuPUmjWTUfVGooHZMpBu2ze8qXEdm6ZD/fM4XYhOXh/&#10;4Q6fUgFWA51ESQXu67/sMR6Hjl5KatzWnPovW+YEJeq9wXW4HIxGcb2TMhpfDFFxTz3rpx6z1deA&#10;LA3w0i1PYowP6iCWDvRnPNNFzIouZjjmzmk4iNehvSE8cy4WixSEC21ZuDUryyN0nImBxTZAKdPs&#10;Ik0tNx17uNJp+t35xZt5qqeox7+c+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4Qp302QAAAAsB&#10;AAAPAAAAAAAAAAEAIAAAACIAAABkcnMvZG93bnJldi54bWxQSwECFAAUAAAACACHTuJAEm0SbVMC&#10;AAC6BAAADgAAAAAAAAABACAAAAAoAQAAZHJzL2Uyb0RvYy54bWxQSwUGAAAAAAYABgBZAQAA7QUA&#10;AAAA&#10;">
                      <v:fill on="t" focussize="0,0"/>
                      <v:stroke weight="0.5pt" color="#FFFFFF [3212]" joinstyle="round"/>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 ：纽约铜主力合约走势</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107315</wp:posOffset>
                      </wp:positionH>
                      <wp:positionV relativeFrom="paragraph">
                        <wp:posOffset>2211070</wp:posOffset>
                      </wp:positionV>
                      <wp:extent cx="2797175" cy="287655"/>
                      <wp:effectExtent l="0" t="0" r="3175" b="17145"/>
                      <wp:wrapNone/>
                      <wp:docPr id="38" name="文本框 38"/>
                      <wp:cNvGraphicFramePr/>
                      <a:graphic xmlns:a="http://schemas.openxmlformats.org/drawingml/2006/main">
                        <a:graphicData uri="http://schemas.microsoft.com/office/word/2010/wordprocessingShape">
                          <wps:wsp>
                            <wps:cNvSpPr txBox="1"/>
                            <wps:spPr>
                              <a:xfrm>
                                <a:off x="897890" y="4470400"/>
                                <a:ext cx="279717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：铜库存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174.1pt;height:22.65pt;width:220.25pt;z-index:251662336;mso-width-relative:page;mso-height-relative:page;" fillcolor="#FFFFFF [3201]" filled="t" stroked="f" coordsize="21600,21600" o:gfxdata="UEsDBAoAAAAAAIdO4kAAAAAAAAAAAAAAAAAEAAAAZHJzL1BLAwQUAAAACACHTuJA9zg1ANYAAAAK&#10;AQAADwAAAGRycy9kb3ducmV2LnhtbE2PTU/DMAyG70j8h8hI3FjarRtbaboDElcktrFz1pimInGq&#10;JPv89ZgTHF/70evHzfrinThhTEMgBeWkAIHUBTNQr2C3fXtagkhZk9EuECq4YoJ1e3/X6NqEM33g&#10;aZN7wSWUaq3A5jzWUqbOotdpEkYk3n2F6HXmGHtpoj5zuXdyWhQL6fVAfMHqEV8tdt+bo1ew7/1t&#10;/1mO0RrvKnq/Xbe7MCj1+FAWLyAyXvIfDL/6rA4tOx3CkUwSjvNixaSCWbWcgmCgmj9XIA48Wc3m&#10;INtG/n+h/QFQSwMEFAAAAAgAh07iQLTAi4tcAgAAnAQAAA4AAABkcnMvZTJvRG9jLnhtbK1UwW4T&#10;MRC9I/EPlu90N2nSTaJuqtAqCKmilQri7Hi9WUu2x9hOdssHwB/0xIU739XvYOzdtKVw6IEcnBnP&#10;5I3fm5mcnnVakb1wXoIp6egop0QYDpU025J++rh+M6PEB2YqpsCIkt4KT8+Wr1+dtnYhxtCAqoQj&#10;CGL8orUlbUKwiyzzvBGa+SOwwmCwBqdZQNdts8qxFtG1ysZ5fpK14CrrgAvv8faiD9IB0b0EEOpa&#10;cnEBfKeFCT2qE4oFpOQbaT1dptfWteDhqq69CESVFJmGdGIRtDfxzJanbLF1zDaSD09gL3nCM06a&#10;SYNFH6AuWGBk5+RfUFpyBx7qcMRBZz2RpAiyGOXPtLlpmBWJC0rt7YPo/v/B8g/7a0dkVdJj7Lth&#10;Gjt+f/f9/sev+5/fCN6hQK31C8y7sZgZurfQ4dgc7j1eRt5d7XT8RkYE47N5MZujxrclnUyKfJIP&#10;SosuEI7xcTEvRsWUEo4Z41lxMp1GxOwRyDof3gnQJBolddjJJDDbX/rQpx5SYl0PSlZrqVRy3HZz&#10;rhzZM+z6On0G9D/SlCFtSU+Op3lCNhB/30Mrg4+JvHt+0QrdphvE2EB1i1o46MfJW76W+MpL5sM1&#10;czg/yBw3LFzhUSvAIjBYlDTgvv7rPuZjWzFKSYvzWFL/ZcecoES9N9jw+WgyiQOcnMm0GKPjnkY2&#10;TyNmp88ByY9wly1PZswP6mDWDvRnXMRVrIohZjjWLmk4mOeh3xJcZC5Wq5SEI2tZuDQ3lkfoKLWB&#10;1S5ALVNLoky9NoN6OLSpqcOCxa146qesxz+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ODUA&#10;1gAAAAoBAAAPAAAAAAAAAAEAIAAAACIAAABkcnMvZG93bnJldi54bWxQSwECFAAUAAAACACHTuJA&#10;tMCLi1wCAACcBAAADgAAAAAAAAABACAAAAAl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：铜库存</w:t>
                            </w:r>
                          </w:p>
                        </w:txbxContent>
                      </v:textbox>
                    </v:shape>
                  </w:pict>
                </mc:Fallback>
              </mc:AlternateContent>
            </w:r>
            <w:r>
              <w:object>
                <v:shape id="_x0000_i1028" o:spt="75" alt="" type="#_x0000_t75" style="height:150.5pt;width:225.2pt;" o:ole="t" filled="f" o:preferrelative="t" stroked="f" coordsize="21600,21600">
                  <v:path/>
                  <v:fill on="f" focussize="0,0"/>
                  <v:stroke on="f"/>
                  <v:imagedata r:id="rId15" o:title=""/>
                  <o:lock v:ext="edit" aspectratio="f"/>
                  <w10:wrap type="none"/>
                  <w10:anchorlock/>
                </v:shape>
                <o:OLEObject Type="Link" ProgID="Excel.Sheet.12" ShapeID="_x0000_i1028" UpdateMode="Always" DrawAspect="Content" ObjectID="_1468075725" r:id="rId16">
                  <o:LinkType>EnhancedMetaFile</o:LinkType>
                  <o:LockedField>false</o:LockedField>
                </o:OLEObject>
              </w:object>
            </w:r>
            <w:r>
              <w:drawing>
                <wp:inline distT="0" distB="0" distL="0" distR="0">
                  <wp:extent cx="2834005" cy="1894840"/>
                  <wp:effectExtent l="0" t="0" r="444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2834005" cy="189484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center"/>
              <w:rPr>
                <w:rFonts w:hint="eastAsia" w:eastAsia="新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3142615</wp:posOffset>
                      </wp:positionH>
                      <wp:positionV relativeFrom="paragraph">
                        <wp:posOffset>2124710</wp:posOffset>
                      </wp:positionV>
                      <wp:extent cx="2573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2573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图4：中国GDP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45pt;margin-top:167.3pt;height:22.65pt;width:202.6pt;z-index:251665408;mso-width-relative:page;mso-height-relative:page;" fillcolor="#FFFFFF [3201]" filled="t" stroked="f" coordsize="21600,21600" o:gfxdata="UEsDBAoAAAAAAIdO4kAAAAAAAAAAAAAAAAAEAAAAZHJzL1BLAwQUAAAACACHTuJAm+zAdNYAAAAL&#10;AQAADwAAAGRycy9kb3ducmV2LnhtbE2Py07DMBBF90j8gzVI7KgdGhWcxukCiS0SbenajYc4qj2O&#10;bPf59ZgVLGfm6M657eriHTthTGMgBdVMAEPqgxlpULDdvD+9AktZk9EuECq4YoJVd3/X6saEM33i&#10;aZ0HVkIoNVqBzXlqOE+9Ra/TLExI5fYdote5jHHgJupzCfeOPwux4F6PVD5YPeGbxf6wPnoFu8Hf&#10;dl/VFK3xrqaP23WzDaNSjw+VWALLeMl/MPzqF3XoitM+HMkk5hTUspYFVTCf1wtghZBCVMD2ZfMi&#10;JfCu5f87dD9QSwMEFAAAAAgAh07iQCjXV0lQAgAAkQQAAA4AAABkcnMvZTJvRG9jLnhtbK1UzW4T&#10;MRC+I/EOlu9089uWKJsqJApCqmilgjg7XjtryfYY28lueQB4A05cuPNcfQ7G3k1bCoceyGEznpn9&#10;xt83Mzu/aI0mB+GDAlvS4cmAEmE5VMruSvrxw+bVOSUhMlsxDVaU9FYEerF4+WLeuJkYQQ26Ep4g&#10;iA2zxpW0jtHNiiLwWhgWTsAJi0EJ3rCIR78rKs8aRDe6GA0Gp0UDvnIeuAgBvesuSHtE/xxAkFJx&#10;sQa+N8LGDtULzSJSCrVygS7ybaUUPF5JGUQkuqTINOYnFkF7m57FYs5mO89crXh/BfacKzzhZJiy&#10;WPQeas0iI3uv/oIyinsIIOMJB1N0RLIiyGI4eKLNTc2cyFxQ6uDuRQ//D5a/P1x7oqqSTsaUWGaw&#10;43ffv939+HX38ytBHwrUuDDDvBuHmbF9Ay2OzdEf0Jl4t9Kb9I+MCMZR3tt7eUUbCUfnaHo2Howw&#10;xDE2Oj87nU4TTPHwtvMhvhVgSDJK6rF9WVV2uAyxSz2mpGIBtKo2Sut88LvtSntyYNjqTf716H+k&#10;aUuakp6Op4OMbCG930Fri5dJZDtSyYrttu0V2EJ1iwJ46GYoOL5ReMtLFuI18zg0SAzXKl7hQ2rA&#10;ItBblNTgv/zLn/KxlxilpMEhLGn4vGdeUKLfWezy6+FkgrAxHybTsySefxzZPo7YvVkBkh/iAjue&#10;zZQf9dGUHswn3L5lqoohZjnWLmk8mqvYrQZuLxfLZU7COXUsXtobxxN0ktrCch9BqtySJFOnTa8e&#10;Tmpuar9VaRUen3PW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7MB01gAAAAsBAAAPAAAA&#10;AAAAAAEAIAAAACIAAABkcnMvZG93bnJldi54bWxQSwECFAAUAAAACACHTuJAKNdXSV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图4：中国GDP</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236855</wp:posOffset>
                      </wp:positionH>
                      <wp:positionV relativeFrom="paragraph">
                        <wp:posOffset>2127885</wp:posOffset>
                      </wp:positionV>
                      <wp:extent cx="2849245" cy="287655"/>
                      <wp:effectExtent l="0" t="0" r="8255" b="17145"/>
                      <wp:wrapNone/>
                      <wp:docPr id="40" name="文本框 40"/>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图3：美国通胀水平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167.55pt;height:22.65pt;width:224.35pt;z-index:251664384;mso-width-relative:page;mso-height-relative:page;" fillcolor="#FFFFFF [3201]" filled="t" stroked="f" coordsize="21600,21600" o:gfxdata="UEsDBAoAAAAAAIdO4kAAAAAAAAAAAAAAAAAEAAAAZHJzL1BLAwQUAAAACACHTuJAIu4w29YAAAAK&#10;AQAADwAAAGRycy9kb3ducmV2LnhtbE2PzU7DMBCE70i8g7VI3KgTEkoU4vSAxBWJtvTsxkscYa8j&#10;2/19epYTnFa7M5r9pludvRNHjGkKpKBcFCCQhmAmGhVsN28PDYiUNRntAqGCCyZY9bc3nW5NONEH&#10;Htd5FBxCqdUKbM5zK2UaLHqdFmFGYu0rRK8zr3GUJuoTh3snH4tiKb2eiD9YPeOrxeF7ffAKdqO/&#10;7j7LOVrjXU3v18tmGyal7u/K4gVExnP+M8MvPqNDz0z7cCCThFNQPVfs5Fk9lSDYUDdLLrfnS1PU&#10;IPtO/q/Q/wBQSwMEFAAAAAgAh07iQDpyiwJRAgAAkQQAAA4AAABkcnMvZTJvRG9jLnhtbK1UzW4T&#10;MRC+I/EOlu90k5D0J8qmComCkCpaqSDOjtfOWrI9xnayWx4A3oATF+48V5+DsXfThsKhB3LYjGdm&#10;v/H3zczOLlujyV74oMCWdHgyoERYDpWy25J+/LB+dU5JiMxWTIMVJb0TgV7OX76YNW4qRlCDroQn&#10;CGLDtHElrWN006IIvBaGhRNwwmJQgjcs4tFvi8qzBtGNLkaDwWnRgK+cBy5CQO+qC9Ie0T8HEKRU&#10;XKyA74ywsUP1QrOIlEKtXKDzfFspBY/XUgYRiS4pMo35iUXQ3qRnMZ+x6dYzVyveX4E95wpPOBmm&#10;LBZ9gFqxyMjOq7+gjOIeAsh4wsEUHZGsCLIYDp5oc1szJzIXlDq4B9HD/4Pl7/c3nqiqpGOUxDKD&#10;Hb///u3+x6/7n18J+lCgxoUp5t06zIztG2hxbA7+gM7Eu5XepH9kRDCOWHcP8oo2Eo7O0fn4YjSe&#10;UMIxNjo/O51MEkzx+LbzIb4VYEgySuqxfVlVtr8KsUs9pKRiAbSq1krrfPDbzVJ7smfY6nX+9eh/&#10;pGlLmpKevp4MMrKF9H4HrS1eJpHtSCUrtpu2V2AD1R0K4KGboeD4WuEtr1iIN8zj0CBnXKt4jQ+p&#10;AYtAb1FSg//yL3/Kx15ilJIGh7Ck4fOOeUGJfmexyxfDcWpLzIfx5GyEB38c2RxH7M4sAckPcYEd&#10;z2bKj/pgSg/mE27fIlXFELMca5c0Hsxl7FYDt5eLxSIn4Zw6Fq/sreMJOkltYbGLIFVuSZKp06ZX&#10;Dyc1N7XfqrQKx+ec9fg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u4w29YAAAAKAQAADwAA&#10;AAAAAAABACAAAAAiAAAAZHJzL2Rvd25yZXYueG1sUEsBAhQAFAAAAAgAh07iQDpyiwJ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图3：美国通胀水平</w:t>
                            </w:r>
                          </w:p>
                        </w:txbxContent>
                      </v:textbox>
                    </v:shape>
                  </w:pict>
                </mc:Fallback>
              </mc:AlternateContent>
            </w:r>
            <w:r>
              <w:drawing>
                <wp:inline distT="0" distB="0" distL="0" distR="0">
                  <wp:extent cx="2906395" cy="1819275"/>
                  <wp:effectExtent l="0" t="0" r="825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906395" cy="1819275"/>
                          </a:xfrm>
                          <a:prstGeom prst="rect">
                            <a:avLst/>
                          </a:prstGeom>
                        </pic:spPr>
                      </pic:pic>
                    </a:graphicData>
                  </a:graphic>
                </wp:inline>
              </w:drawing>
            </w:r>
            <w:r>
              <w:drawing>
                <wp:inline distT="0" distB="0" distL="0" distR="0">
                  <wp:extent cx="2779395" cy="1857375"/>
                  <wp:effectExtent l="0" t="0" r="190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779395" cy="185737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ind w:firstLine="1470" w:firstLineChars="700"/>
              <w:jc w:val="both"/>
              <w:rPr>
                <w:rFonts w:ascii="宋体" w:hAnsi="宋体" w:eastAsia="宋体"/>
                <w:color w:val="000000"/>
                <w:szCs w:val="21"/>
              </w:rPr>
            </w:pPr>
          </w:p>
          <w:p>
            <w:pPr>
              <w:spacing w:line="4053" w:lineRule="exact"/>
              <w:jc w:val="center"/>
            </w:pPr>
            <w:r>
              <w:rPr>
                <w:rFonts w:ascii="宋体" w:hAnsi="宋体" w:eastAsia="宋体"/>
              </w:rPr>
              <w:drawing>
                <wp:inline distT="0" distB="0" distL="0" distR="0">
                  <wp:extent cx="2720975" cy="1985645"/>
                  <wp:effectExtent l="0" t="0" r="3175"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20975" cy="1985645"/>
                          </a:xfrm>
                          <a:prstGeom prst="rect">
                            <a:avLst/>
                          </a:prstGeom>
                          <a:noFill/>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3223260</wp:posOffset>
                      </wp:positionH>
                      <wp:positionV relativeFrom="paragraph">
                        <wp:posOffset>2156460</wp:posOffset>
                      </wp:positionV>
                      <wp:extent cx="2580640" cy="302895"/>
                      <wp:effectExtent l="0" t="0" r="10160" b="1905"/>
                      <wp:wrapNone/>
                      <wp:docPr id="66" name="文本框 66"/>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图6：美国炼厂产能利用率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169.8pt;height:23.85pt;width:203.2pt;z-index:251667456;mso-width-relative:page;mso-height-relative:page;" fillcolor="#FFFFFF [3201]" filled="t" stroked="f" coordsize="21600,21600" o:gfxdata="UEsDBAoAAAAAAIdO4kAAAAAAAAAAAAAAAAAEAAAAZHJzL1BLAwQUAAAACACHTuJAPh/lhNYAAAAL&#10;AQAADwAAAGRycy9kb3ducmV2LnhtbE2PS0/EMAyE70j8h8hI3Ni0dNlHaboHJK5I7OucbUxTkThV&#10;kn3+eswJbrZnNP6mWV28EyeMaQikoJwUIJC6YAbqFWw3708LEClrMtoFQgVXTLBq7+8aXZtwpk88&#10;rXMvOIRSrRXYnMdaytRZ9DpNwojE2leIXmdeYy9N1GcO904+F8VMej0Qf7B6xDeL3ff66BXse3/b&#10;78oxWuPdlD5u1802DEo9PpTFK4iMl/xnhl98RoeWmQ7hSCYJp+ClmM/YqqCqljywY1lOud2BL4t5&#10;BbJt5P8O7Q9QSwMEFAAAAAgAh07iQBzv4ZRQAgAAkQQAAA4AAABkcnMvZTJvRG9jLnhtbK1UwW4T&#10;MRC9I/EPlu9kN2kT2iibKjQKQopopYI4O15v1pLtMbaT3fAB8AecuHDnu/odjL2bNhQOPZDDZjwz&#10;+8bvzczOrlqtyF44L8EUdDjIKRGGQynNtqAfP6xeXVDiAzMlU2BEQQ/C06v5yxezxk7FCGpQpXAE&#10;QYyfNragdQh2mmWe10IzPwArDAYrcJoFPLptVjrWILpW2SjPJ1kDrrQOuPAevcsuSHtE9xxAqCrJ&#10;xRL4TgsTOlQnFAtIydfSejpPt60qwcNNVXkRiCooMg3piUXQ3sRnNp+x6dYxW0veX4E95wpPOGkm&#10;DRZ9gFqywMjOyb+gtOQOPFRhwEFnHZGkCLIY5k+0uauZFYkLSu3tg+j+/8Hy9/tbR2RZ0MmEEsM0&#10;dvz++7f7H7/uf34l6EOBGuunmHdnMTO0b6DFsTn6PToj77ZyOv4jI4JxlPfwIK9oA+HoHI0v8sk5&#10;hjjGzvLRxeU4wmSPb1vnw1sBmkSjoA7bl1Rl+7UPXeoxJRbzoGS5kkqlg9turpUje4atXqVfj/5H&#10;mjKkQbJn4zwhG4jvd9DK4GUi2Y5UtEK7aXsFNlAeUAAH3Qx5y1cSb7lmPtwyh0ODxHCtwg0+KgVY&#10;BHqLkhrcl3/5Yz72EqOUNDiEBfWfd8wJStQ7g12+HJ5HvUI6nI9fj/DgTiOb04jZ6WtA8kNcYMuT&#10;GfODOpqVA/0Jt28Rq2KIGY61CxqO5nXoVgO3l4vFIiXhnFoW1ubO8ggdpTaw2AWoZGpJlKnTplcP&#10;JzU1td+quAqn55T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WE1gAAAAsBAAAPAAAA&#10;AAAAAAEAIAAAACIAAABkcnMvZG93bnJldi54bWxQSwECFAAUAAAACACHTuJAHO/hlF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图6：美国炼厂产能利用率</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287020</wp:posOffset>
                      </wp:positionH>
                      <wp:positionV relativeFrom="paragraph">
                        <wp:posOffset>2142490</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1079500" y="9404985"/>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图5：EIA美国商业原油库存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pt;margin-top:168.7pt;height:23.85pt;width:203.2pt;z-index:251666432;mso-width-relative:page;mso-height-relative:page;" fillcolor="#FFFFFF [3201]" filled="t" stroked="f" coordsize="21600,21600" o:gfxdata="UEsDBAoAAAAAAIdO4kAAAAAAAAAAAAAAAAAEAAAAZHJzL1BLAwQUAAAACACHTuJANXKS/9YAAAAK&#10;AQAADwAAAGRycy9kb3ducmV2LnhtbE2PTU/DMAyG70j8h8hI3FiarR1TaboDElcktrFz1pimInGq&#10;Jvv89ZgTHG0/ev28zfoSvDjhlIZIGtSsAIHURTtQr2G3fXtagUjZkDU+Emq4YoJ1e3/XmNrGM33g&#10;aZN7wSGUaqPB5TzWUqbOYTBpFkckvn3FKZjM49RLO5kzhwcv50WxlMEMxB+cGfHVYfe9OQYN+z7c&#10;9p9qnJwNvqT323W7i4PWjw+qeAGR8ZL/YPjVZ3Vo2ekQj2ST8BrKas6khsXiuQTBQFmpJYgDb1aV&#10;Atk28n+F9gdQSwMEFAAAAAgAh07iQDA79ddeAgAAnQQAAA4AAABkcnMvZTJvRG9jLnhtbK1UwW4a&#10;MRC9V+o/WL6XXQgQQFkiGkRVKWoipVXPxutlLdke1zbs0g9o/yCnXnrvd/EdHXshSdMeciiHZex5&#10;OzPvzcxeXLZakZ1wXoIpaL+XUyIMh1KaTUE/fVy9mVDiAzMlU2BEQffC08v561cXjZ2JAdSgSuEI&#10;BjF+1tiC1iHYWZZ5XgvNfA+sMOiswGkW8Og2WelYg9G1ygZ5Ps4acKV1wIX3eLvsnPQY0b0kIFSV&#10;5GIJfKuFCV1UJxQLSMnX0no6T9VWleDhpqq8CEQVFJmG9MQkaK/jM5tfsNnGMVtLfiyBvaSEZ5w0&#10;kwaTPoRassDI1sm/QmnJHXioQo+DzjoiSRFk0c+faXNXMysSF5Ta2wfR/f8Lyz/sbh2RZUHHI0oM&#10;09jxw/33w49fh5/fCN6hQI31M8TdWUSG9i20ODane4+XkXdbOR3/kRGJ/vx8OspR5H1Bp8N8OJ2k&#10;SGwm2kA4AgajST4eIoAj4iwfTKYJkD1Gss6HdwI0iUZBHbYyKcx21z5gVQg9QWJiD0qWK6lUOrjN&#10;+ko5smPY9lX6xYLxlT9gypAGiZ+N8hTZQHy/wymD8Ei8Ixit0K7boxprKPcohoNunrzlK4lVXjMf&#10;bpnDAUJiuGLhBh+VAkwCR4uSGtzXf91HPPYVvZQ0OJAF9V+2zAlK1HuDHZ/2h1GvkA7D0fkAD+6p&#10;Z/3UY7b6CpB8H5fZ8mRGfFAns3KgP+MmLmJWdDHDMXdBw8m8Ct2a4CZzsVgkEM6sZeHa3FkeQ0ep&#10;DSy2ASqZWhJl6rQ5qodTm2Q/blhci6fnhHr8q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Vy&#10;kv/WAAAACgEAAA8AAAAAAAAAAQAgAAAAIgAAAGRycy9kb3ducmV2LnhtbFBLAQIUABQAAAAIAIdO&#10;4kAwO/XXXgIAAJ0EAAAOAAAAAAAAAAEAIAAAACUBAABkcnMvZTJvRG9jLnhtbFBLBQYAAAAABgAG&#10;AFkBAAD1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图5：EIA美国商业原油库存</w:t>
                            </w:r>
                          </w:p>
                        </w:txbxContent>
                      </v:textbox>
                    </v:shape>
                  </w:pict>
                </mc:Fallback>
              </mc:AlternateContent>
            </w:r>
            <w:r>
              <w:rPr>
                <w:rFonts w:ascii="宋体" w:hAnsi="宋体" w:eastAsia="宋体"/>
              </w:rPr>
              <w:drawing>
                <wp:inline distT="0" distB="0" distL="0" distR="0">
                  <wp:extent cx="2705100" cy="19983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05100" cy="1998345"/>
                          </a:xfrm>
                          <a:prstGeom prst="rect">
                            <a:avLst/>
                          </a:prstGeom>
                          <a:noFill/>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图8：ICE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69504;mso-width-relative:page;mso-height-relative:page;" fillcolor="#FFFFFF [3201]" filled="t" stroked="f" coordsize="21600,21600" o:gfxdata="UEsDBAoAAAAAAIdO4kAAAAAAAAAAAAAAAAAEAAAAZHJzL1BLAwQUAAAACACHTuJAvvTj5dcAAAAL&#10;AQAADwAAAGRycy9kb3ducmV2LnhtbE2Py07DMBBF90j8gzVI7KidB1UT4nSBxBaJtnTtxkMcYY8j&#10;231+PWYFy5k5unNut744y04Y4uRJQrEQwJAGrycaJey2b08rYDEp0sp6QglXjLDu7+861Wp/pg88&#10;bdLIcgjFVkkwKc0t53Ew6FRc+Bkp3758cCrlMYxcB3XO4c7yUogld2qi/MGoGV8NDt+bo5OwH91t&#10;/1nMwWhna3q/Xbc7P0n5+FCIF2AJL+kPhl/9rA59djr4I+nIrIR61TxnVEJVlSWwTDTVsgZ2yJum&#10;EcD7jv/v0P8AUEsDBBQAAAAIAIdO4kB1VSPeUwIAAJEEAAAOAAAAZHJzL2Uyb0RvYy54bWytVMFu&#10;EzEQvSPxD5bvdJM0bUOUTRVSBSFVtFJBnB2vN7uS12NsJ7vlA+APOHHhznf1O3j2Jm0pHHogB2c8&#10;M56Z92ZmZ+ddo9lOOV+TyfnwaMCZMpKK2mxy/vHD6tWEMx+EKYQmo3J+qzw/n798MWvtVI2oIl0o&#10;xxDE+Glrc16FYKdZ5mWlGuGPyCoDY0muEQFXt8kKJ1pEb3Q2GgxOs5ZcYR1J5T20F72R7yO65wSk&#10;sqyluiC5bZQJfVSntAiA5Kvaej5P1ZalkuGqLL0KTOccSEM6kQTyOp7ZfCamGydsVct9CeI5JTzB&#10;1IjaIOl9qAsRBNu6+q9QTS0deSrDkaQm64EkRoBiOHjCzU0lrEpYQLW396T7/xdWvt9dO1YXOT9F&#10;341o0PG779/ufvy6+/mVQQeCWuun8Lux8AzdG+owNge9hzLi7krXxH8gYrCD3tt7elUXmIRyNDk+&#10;mwxPOJOwjUfj4STxnz28ts6Ht4oaFoWcO7QvsSp2lz6gErgeXGIyT7ouVrXW6eI266V2bCfQ6lX6&#10;xSLx5A83bVgLsMcngxTZUHzf+2kD9wi2BxWl0K27PQNrKm5BgKN+hryVqxpVXgofroXD0AAz1ipc&#10;4Sg1IQntJc4qcl/+pY/+6CWsnLUYwpz7z1vhFGf6nUGXXw/H4zi16TI+ORvh4h5b1o8tZtssCeCH&#10;WGArkxj9gz6IpaPmE7ZvEbPCJIxE7pyHg7gM/Wpge6VaLJIT5tSKcGlurIyhI9WGFttAZZ1aEmnq&#10;udmzh0lNtO+3Kq7C43vyeviS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vTj5dcAAAALAQAA&#10;DwAAAAAAAAABACAAAAAiAAAAZHJzL2Rvd25yZXYueG1sUEsBAhQAFAAAAAgAh07iQHVVI95TAgAA&#10;kQQAAA4AAAAAAAAAAQAgAAAAJgEAAGRycy9lMm9Eb2MueG1sUEsFBgAAAAAGAAYAWQEAAOsFAAAA&#10;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图8：ICE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8480;mso-width-relative:page;mso-height-relative:page;" fillcolor="#FFFFFF [3201]"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NF5u3F0CAACcBAAADgAAAGRycy9lMm9Eb2MueG1srVTBbtsw&#10;DL0P2D8Iui92kiZNgjpF1iLDgGIt0A07K7IcC5BETVJidx+w/UFPu+y+78p3jJKdtut26GE5OJT4&#10;TPI9kj47b7Uie+G8BFPQ4SCnRBgOpTTbgn76uH4zo8QHZkqmwIiC3glPz5evX501diFGUIMqhSMY&#10;xPhFYwtah2AXWeZ5LTTzA7DCoLMCp1nAo9tmpWMNRtcqG+X5NGvAldYBF97j7WXnpH1E95KAUFWS&#10;i0vgOy1M6KI6oVhASr6W1tNlqraqBA/XVeVFIKqgyDSkJyZBexOf2fKMLbaO2VryvgT2khKecdJM&#10;Gkz6EOqSBUZ2Tv4VSkvuwEMVBhx01hFJiiCLYf5Mm9uaWZG4oNTePoju/19Y/mF/44gsCzo9pcQw&#10;jR0/3H8//Ph1+PmN4B0K1Fi/QNytRWRo30KLY3O893gZebeV0/EfGRH0z+fj4QlqfFfQ8Xg0m572&#10;Sos2EI7+0WSW5/mEEh4ReT6fJ0D2GMg6H94J0CQaBXXYySQw21/5gEUh9AiJeT0oWa6lUungtpsL&#10;5cieYdfX6RfrxVf+gClDGuQ9nuQpsoH4fodTBuGRd8cvWqHdtL0YGyjvUAsH3Th5y9cSq7xiPtww&#10;h/ODzHHDwjU+KgWYBHqLkhrc13/dRzy2Fb2UNDiPBfVfdswJStR7gw2fD0+ioCEdTianIzy4p57N&#10;U4/Z6QtA8kPcZcuTGfFBHc3Kgf6Mi7iKWdHFDMfcBQ1H8yJ0W4KLzMVqlUA4spaFK3NreQwdpTaw&#10;2gWoZGpJlKnTplcPhzbJ3i9Y3Iqn54R6/K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bVxP&#10;1QAAAAoBAAAPAAAAAAAAAAEAIAAAACIAAABkcnMvZG93bnJldi54bWxQSwECFAAUAAAACACHTuJA&#10;NF5u3F0CAACcBAAADgAAAAAAAAABACAAAAAk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v:textbox>
                    </v:shape>
                  </w:pict>
                </mc:Fallback>
              </mc:AlternateContent>
            </w:r>
            <w:r>
              <w:rPr>
                <w:rFonts w:hint="eastAsia" w:eastAsia="宋体"/>
                <w:lang w:val="en-US" w:eastAsia="zh-CN"/>
              </w:rPr>
              <w:t xml:space="preserve">  </w:t>
            </w:r>
            <w:r>
              <w:rPr>
                <w:rFonts w:hint="eastAsia"/>
                <w:lang w:val="en-US" w:eastAsia="zh-CN"/>
              </w:rPr>
              <w:drawing>
                <wp:inline distT="0" distB="0" distL="114300" distR="114300">
                  <wp:extent cx="2869565" cy="1769110"/>
                  <wp:effectExtent l="0" t="0" r="6985" b="2540"/>
                  <wp:docPr id="12" name="图片 12" descr="QQ截图2024041508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40415082143"/>
                          <pic:cNvPicPr>
                            <a:picLocks noChangeAspect="1"/>
                          </pic:cNvPicPr>
                        </pic:nvPicPr>
                        <pic:blipFill>
                          <a:blip r:embed="rId22"/>
                          <a:stretch>
                            <a:fillRect/>
                          </a:stretch>
                        </pic:blipFill>
                        <pic:spPr>
                          <a:xfrm>
                            <a:off x="0" y="0"/>
                            <a:ext cx="2869565" cy="176911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762250" cy="1762760"/>
                  <wp:effectExtent l="0" t="0" r="0" b="8890"/>
                  <wp:docPr id="5" name="图片 5" descr="QQ截图2024041508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40415082136"/>
                          <pic:cNvPicPr>
                            <a:picLocks noChangeAspect="1"/>
                          </pic:cNvPicPr>
                        </pic:nvPicPr>
                        <pic:blipFill>
                          <a:blip r:embed="rId23"/>
                          <a:stretch>
                            <a:fillRect/>
                          </a:stretch>
                        </pic:blipFill>
                        <pic:spPr>
                          <a:xfrm>
                            <a:off x="0" y="0"/>
                            <a:ext cx="2762250" cy="176276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eastAsia="宋体"/>
                                      <w:lang w:val="en-US" w:eastAsia="zh-CN"/>
                                    </w:rPr>
                                    <w:t>9</w:t>
                                  </w:r>
                                  <w:r>
                                    <w:rPr>
                                      <w:rFonts w:hint="eastAsia" w:ascii="微软雅黑" w:hAnsi="微软雅黑" w:eastAsia="微软雅黑" w:cs="微软雅黑"/>
                                      <w:snapToGrid w:val="0"/>
                                      <w:color w:val="000000"/>
                                      <w:spacing w:val="25"/>
                                      <w:kern w:val="0"/>
                                      <w:sz w:val="19"/>
                                      <w:szCs w:val="19"/>
                                      <w:lang w:val="en-US" w:eastAsia="zh-CN" w:bidi="ar-SA"/>
                                    </w:rPr>
                                    <w:t>：钢厂高炉开工率及产能利用率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68.7pt;height:24.35pt;width:208pt;z-index:251670528;mso-width-relative:page;mso-height-relative:page;" fillcolor="#FFFFFF [3201]" filled="t" stroked="f" coordsize="21600,21600" o:gfxdata="UEsDBAoAAAAAAIdO4kAAAAAAAAAAAAAAAAAEAAAAZHJzL1BLAwQUAAAACACHTuJA0l0GhtYAAAAK&#10;AQAADwAAAGRycy9kb3ducmV2LnhtbE2PS0/DMBCE70j8B2uRuFEnTQhVGqcHJK5I9HV24yWJaq8j&#10;233+epYTnFY7M5r9tlldnRVnDHH0pCCfZSCQOm9G6hVsNx8vCxAxaTLaekIFN4ywah8fGl0bf6Ev&#10;PK9TL7iEYq0VDClNtZSxG9DpOPMTEnvfPjideA29NEFfuNxZOc+ySjo9El8Y9ITvA3bH9ckp2Pfu&#10;vt/lUxiMsyV93m+brR+Ven7KsyWIhNf0F4ZffEaHlpkO/kQmCqugqApO8izeShAcKF/nrBxYWVQ5&#10;yLaR/19ofwBQSwMEFAAAAAgAh07iQNttW0ZbAgAAnAQAAA4AAABkcnMvZTJvRG9jLnhtbK1UzW4T&#10;MRC+I/EOlu90d/NXEnVThVZBSBWtVBBnx+vNWrI9xnayWx4A3oATF+48V56DsXfTlsKhB3Jwxp7J&#10;N/N9M5Oz804rshfOSzAlLU5ySoThUEmzLenHD+tXrynxgZmKKTCipHfC0/PlyxdnrV2IETSgKuEI&#10;ghi/aG1JmxDsIss8b4Rm/gSsMOiswWkW8Oq2WeVYi+haZaM8n2UtuMo64MJ7fL3snXRAdM8BhLqW&#10;XFwC32lhQo/qhGIBKflGWk+Xqdq6Fjxc17UXgaiSItOQTkyC9iae2fKMLbaO2UbyoQT2nBKecNJM&#10;Gkx6D3XJAiM7J/+C0pI78FCHEw4664kkRZBFkT/R5rZhViQuKLW396L7/wfL3+9vHJFVSWdzSgzT&#10;2PHD92+HH78OP78SfEOBWusXGHdrMTJ0b6DDsTm+e3yMvLva6fiNjAj656fT8Qw1vivpdF6Mi9Gg&#10;tOgC4egfzSbFLMcAjhHjfD6aTCNi9gBknQ9vBWgSjZI67GQSmO2vfOhDjyExrwclq7VUKl3cdnOh&#10;HNkz7Po6fQb0P8KUIS3yHk/zhGwg/r6HVgaLibx7ftEK3aYbxNhAdYdaOOjHyVu+lljlFfPhhjmc&#10;HySGGxau8agVYBIYLEoacF/+9R7jsa3opaTFeSyp/7xjTlCi3hls+LyYTBA2pMtkeoqKEvfYs3ns&#10;MTt9AUi+wF22PJkxPqijWTvQn3ARVzErupjhmLuk4WhehH5LcJG5WK1SEI6sZeHK3FoeoaPUBla7&#10;ALVMLYky9doM6uHQpqYOCxa34vE9RT38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dBobW&#10;AAAACgEAAA8AAAAAAAAAAQAgAAAAIgAAAGRycy9kb3ducmV2LnhtbFBLAQIUABQAAAAIAIdO4kDb&#10;bVtGWwIAAJwEAAAOAAAAAAAAAAEAIAAAACUBAABkcnMvZTJvRG9jLnhtbFBLBQYAAAAABgAGAFkB&#10;AADy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eastAsia="宋体"/>
                                <w:lang w:val="en-US" w:eastAsia="zh-CN"/>
                              </w:rPr>
                              <w:t>9</w:t>
                            </w:r>
                            <w:r>
                              <w:rPr>
                                <w:rFonts w:hint="eastAsia" w:ascii="微软雅黑" w:hAnsi="微软雅黑" w:eastAsia="微软雅黑" w:cs="微软雅黑"/>
                                <w:snapToGrid w:val="0"/>
                                <w:color w:val="000000"/>
                                <w:spacing w:val="25"/>
                                <w:kern w:val="0"/>
                                <w:sz w:val="19"/>
                                <w:szCs w:val="19"/>
                                <w:lang w:val="en-US" w:eastAsia="zh-CN" w:bidi="ar-SA"/>
                              </w:rPr>
                              <w:t>：钢厂高炉开工率及产能利用率</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图10：大豆走势图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71552;mso-width-relative:page;mso-height-relative:page;" fillcolor="#FFFFFF [3201]"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GH1hZBRAgAAkQQAAA4AAABkcnMvZTJvRG9jLnhtbK1UwW7b&#10;MAy9D9g/CLqvdtw0W4M4RZYgw4BiLdANOyuyHAuQRE1SYncfsP1BT7vsvu/qd4ySnTbrduhhOTgU&#10;ST/qPZKeXXRakb1wXoIp6egkp0QYDpU025J++rh+9YYSH5ipmAIjSnorPL2Yv3wxa+1UFNCAqoQj&#10;CGL8tLUlbUKw0yzzvBGa+ROwwmCwBqdZwKPbZpVjLaJrlRV5PslacJV1wIX36F31QToguucAQl1L&#10;LlbAd1qY0KM6oVhASr6R1tN5um1dCx6u6tqLQFRJkWlITyyC9iY+s/mMTbeO2Uby4QrsOVd4wkkz&#10;abDoA9SKBUZ2Tv4FpSV34KEOJxx01hNJiiCLUf5Em5uGWZG4oNTePoju/x8s/7C/dkRWJS0KSgzT&#10;2PH7u+/3P37d//xG0IcCtdZPMe/GYmbo3kKHY3Pwe3RG3l3tdPxHRgTjKO/tg7yiC4Sjs5iMR5Mc&#10;Qxxjp/l5MT6LMNnj29b58E6AJtEoqcP2JVXZ/tKHPvWQEot5ULJaS6XSwW03S+XInmGr1+k3oP+R&#10;pgxpSzo5PcsTsoH4fg+tDF4mku1JRSt0m25QYAPVLQrgoJ8hb/la4i0vmQ/XzOHQIDFcq3CFj1oB&#10;FoHBoqQB9/Vf/piPvcQoJS0OYUn9lx1zghL13mCXz0fjMcKGdBifvS7w4I4jm+OI2eklIPkRLrDl&#10;yYz5QR3M2oH+jNu3iFUxxAzH2iUNB3MZ+tXA7eVisUhJOKeWhUtzY3mEjlIbWOwC1DK1JMrUazOo&#10;h5OamjpsVVyF43PKevy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n6eNYAAAALAQAADwAA&#10;AAAAAAABACAAAAAiAAAAZHJzL2Rvd25yZXYueG1sUEsBAhQAFAAAAAgAh07iQGH1hZB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图10：大豆走势图</w:t>
                            </w:r>
                          </w:p>
                        </w:txbxContent>
                      </v:textbox>
                    </v:shape>
                  </w:pict>
                </mc:Fallback>
              </mc:AlternateContent>
            </w:r>
            <w:r>
              <w:drawing>
                <wp:inline distT="0" distB="0" distL="0" distR="0">
                  <wp:extent cx="3074670" cy="1743075"/>
                  <wp:effectExtent l="0" t="0" r="1143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4"/>
                          <a:stretch>
                            <a:fillRect/>
                          </a:stretch>
                        </pic:blipFill>
                        <pic:spPr>
                          <a:xfrm>
                            <a:off x="0" y="0"/>
                            <a:ext cx="3074670" cy="1743075"/>
                          </a:xfrm>
                          <a:prstGeom prst="rect">
                            <a:avLst/>
                          </a:prstGeom>
                        </pic:spPr>
                      </pic:pic>
                    </a:graphicData>
                  </a:graphic>
                </wp:inline>
              </w:drawing>
            </w:r>
            <w:r>
              <w:rPr>
                <w:rFonts w:hint="eastAsia" w:eastAsia="宋体"/>
                <w:lang w:val="en-US" w:eastAsia="zh-CN"/>
              </w:rPr>
              <w:t xml:space="preserve"> </w:t>
            </w:r>
            <w:r>
              <w:rPr>
                <w:rFonts w:hint="eastAsia" w:eastAsia="宋体"/>
                <w:lang w:eastAsia="zh-CN"/>
              </w:rPr>
              <w:drawing>
                <wp:inline distT="0" distB="0" distL="114300" distR="114300">
                  <wp:extent cx="2700655" cy="1740535"/>
                  <wp:effectExtent l="0" t="0" r="4445" b="12065"/>
                  <wp:docPr id="32" name="图片 32" descr="2da22a1e29caa1614e9feebed16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da22a1e29caa1614e9feebed16c550"/>
                          <pic:cNvPicPr>
                            <a:picLocks noChangeAspect="1"/>
                          </pic:cNvPicPr>
                        </pic:nvPicPr>
                        <pic:blipFill>
                          <a:blip r:embed="rId25"/>
                          <a:stretch>
                            <a:fillRect/>
                          </a:stretch>
                        </pic:blipFill>
                        <pic:spPr>
                          <a:xfrm>
                            <a:off x="0" y="0"/>
                            <a:ext cx="2700655" cy="174053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0"/>
              </w:rPr>
              <mc:AlternateContent>
                <mc:Choice Requires="wps">
                  <w:drawing>
                    <wp:anchor distT="0" distB="0" distL="114300" distR="114300" simplePos="0" relativeHeight="251673600" behindDoc="0" locked="0" layoutInCell="1" allowOverlap="1">
                      <wp:simplePos x="0" y="0"/>
                      <wp:positionH relativeFrom="column">
                        <wp:posOffset>2950210</wp:posOffset>
                      </wp:positionH>
                      <wp:positionV relativeFrom="paragraph">
                        <wp:posOffset>2152650</wp:posOffset>
                      </wp:positionV>
                      <wp:extent cx="2922270" cy="318770"/>
                      <wp:effectExtent l="0" t="0" r="11430" b="5080"/>
                      <wp:wrapNone/>
                      <wp:docPr id="26" name="文本框 26"/>
                      <wp:cNvGraphicFramePr/>
                      <a:graphic xmlns:a="http://schemas.openxmlformats.org/drawingml/2006/main">
                        <a:graphicData uri="http://schemas.microsoft.com/office/word/2010/wordprocessingShape">
                          <wps:wsp>
                            <wps:cNvSpPr txBox="1"/>
                            <wps:spPr>
                              <a:xfrm>
                                <a:off x="0" y="0"/>
                                <a:ext cx="292227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图12：美国与英国10年期国债收益率利差走阔</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3pt;margin-top:169.5pt;height:25.1pt;width:230.1pt;z-index:251673600;mso-width-relative:page;mso-height-relative:page;" fillcolor="#FFFFFF [3201]" filled="t" stroked="f" coordsize="21600,21600" o:gfxdata="UEsDBAoAAAAAAIdO4kAAAAAAAAAAAAAAAAAEAAAAZHJzL1BLAwQUAAAACACHTuJAEAKWb9YAAAAL&#10;AQAADwAAAGRycy9kb3ducmV2LnhtbE2Py07DMBBF90j8gzVI7KidliRViNMFElukPujajU0cYY8j&#10;231+fYcVLOfO0Z0z7eriHTuZmMaAEoqZAGawD3rEQcJu+/GyBJayQq1cQCPhahKsuseHVjU6nHFt&#10;Tps8MCrB1CgJNuep4Tz11niVZmEySLvvEL3KNMaB66jOVO4dnwtRca9GpAtWTebdmv5nc/QS9oO/&#10;7b+KKVrt3St+3q7bXRilfH4qxBuwbC75D4ZffVKHjpwO4Yg6MSehLMqKUAmLRV0CI2JZCUoOlNT1&#10;HHjX8v8/dHdQSwMEFAAAAAgAh07iQJHpMNFQAgAAkQQAAA4AAABkcnMvZTJvRG9jLnhtbK1UwW4T&#10;MRC9I/EPlu9kk6VJaZRNFRoFIVW0UkCcHa83a8n2GNvJbvgA+IOeuHDnu/odjL2bNhQOPZCDM54Z&#10;v5l5M7Ozy1YrshfOSzAFHQ2GlAjDoZRmW9BPH1ev3lDiAzMlU2BEQQ/C08v5yxezxk5FDjWoUjiC&#10;IMZPG1vQOgQ7zTLPa6GZH4AVBo0VOM0CXt02Kx1rEF2rLB8OJ1kDrrQOuPAetcvOSHtE9xxAqCrJ&#10;xRL4TgsTOlQnFAtYkq+l9XSesq0qwcNNVXkRiCooVhrSiUFQ3sQzm8/YdOuYrSXvU2DPSeFJTZpJ&#10;g0EfoJYsMLJz8i8oLbkDD1UYcNBZV0hiBKsYDZ9ws66ZFakWpNrbB9L9/4PlH/a3jsiyoPmEEsM0&#10;dvz+7vv9j1/3P78R1CFBjfVT9Ftb9AztW2hxbI56j8pYd1s5Hf+xIoJ2pPfwQK9oA+GozEcXw/Mx&#10;mjja8nE+vBhHmOzxtXU+vBOgSRQK6rB9iVW2v/ahcz26xGAelCxXUql0cdvNlXJkz7DVq/Tr0f9w&#10;U4Y0BZ28xjziKwPxfQetDCYTi+2KilJoN23PwAbKAxLgoJshb/lKYpbXzIdb5nBosDBcq3CDR6UA&#10;g0AvUVKD+/ovffTHXqKVkgaHsKD+y445QYl6b7DLF6OzM4QN6XI2Ps/x4k4tm1OL2ekrwOJHuMCW&#10;JzH6B3UUKwf6M27fIkZFEzMcYxc0HMWr0K0Gbi8Xi0Vywjm1LFybteURuiNtsQtQydSSSFPHTc8e&#10;Tmpqar9VcRVO78nr8Us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ApZv1gAAAAsBAAAPAAAA&#10;AAAAAAEAIAAAACIAAABkcnMvZG93bnJldi54bWxQSwECFAAUAAAACACHTuJAkekw0VACAACRBAAA&#10;DgAAAAAAAAABACAAAAAlAQAAZHJzL2Uyb0RvYy54bWxQSwUGAAAAAAYABgBZAQAA5wUAAAAA&#10;">
                      <v:fill on="t" focussize="0,0"/>
                      <v:stroke on="f" weight="0.5pt"/>
                      <v:imagedata o:title=""/>
                      <o:lock v:ext="edit" aspectratio="f"/>
                      <v:textbox>
                        <w:txbxContent>
                          <w:p>
                            <w:pPr>
                              <w:keepNext w:val="0"/>
                              <w:keepLines w:val="0"/>
                              <w:widowControl/>
                              <w:suppressLineNumbers w:val="0"/>
                              <w:jc w:val="center"/>
                              <w:rPr>
                                <w:rFonts w:hint="eastAsia"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图12：美国与英国10年期国债收益率利差走阔</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138430</wp:posOffset>
                      </wp:positionH>
                      <wp:positionV relativeFrom="paragraph">
                        <wp:posOffset>2157095</wp:posOffset>
                      </wp:positionV>
                      <wp:extent cx="2190750" cy="337185"/>
                      <wp:effectExtent l="0" t="0" r="0" b="5715"/>
                      <wp:wrapNone/>
                      <wp:docPr id="25" name="文本框 25"/>
                      <wp:cNvGraphicFramePr/>
                      <a:graphic xmlns:a="http://schemas.openxmlformats.org/drawingml/2006/main">
                        <a:graphicData uri="http://schemas.microsoft.com/office/word/2010/wordprocessingShape">
                          <wps:wsp>
                            <wps:cNvSpPr txBox="1"/>
                            <wps:spPr>
                              <a:xfrm>
                                <a:off x="0" y="0"/>
                                <a:ext cx="2190750" cy="337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图11：美德10年期国债利差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pt;margin-top:169.85pt;height:26.55pt;width:172.5pt;z-index:251672576;mso-width-relative:page;mso-height-relative:page;" fillcolor="#FFFFFF [3201]" filled="t" stroked="f" coordsize="21600,21600" o:gfxdata="UEsDBAoAAAAAAIdO4kAAAAAAAAAAAAAAAAAEAAAAZHJzL1BLAwQUAAAACACHTuJAZ36E+tYAAAAK&#10;AQAADwAAAGRycy9kb3ducmV2LnhtbE2PzU7DMBCE70i8g7VI3KiTpkppiNMDElck2tKzGy9xhL2O&#10;bPf36VlOcNudHc18264v3okTxjQGUlDOChBIfTAjDQp227enZxApazLaBUIFV0yw7u7vWt2YcKYP&#10;PG3yIDiEUqMV2JynRsrUW/Q6zcKExLevEL3OvMZBmqjPHO6dnBdFLb0eiRusnvDVYv+9OXoF+8Hf&#10;9p/lFK3xbkHvt+t2F0alHh/K4gVExkv+M8MvPqNDx0yHcCSThFMwL5k8K6iq1RIEG6q6ZuXAw3K1&#10;ANm18v8L3Q9QSwMEFAAAAAgAh07iQG4vbZ1RAgAAkQQAAA4AAABkcnMvZTJvRG9jLnhtbK1UzW4T&#10;MRC+I/EOlu90k6VpadRNFVoFIVW0UkCcHa83a8l/2E52ywPAG/TEhTvP1efgszdpS+HQAzk445nx&#10;zHzfzOzpWa8V2QofpDUVHR+MKBGG21qadUU/fVy8ekNJiMzUTFkjKnojAj2bvXxx2rmpKG1rVS08&#10;QRATpp2raBujmxZF4K3QLBxYJwyMjfWaRVz9uqg96xBdq6IcjY6KzvraectFCNBeDEa6i+ifE9A2&#10;jeTiwvKNFiYOUb1QLAJSaKULdJarbRrB41XTBBGJqiiQxnwiCeRVOovZKZuuPXOt5LsS2HNKeIJJ&#10;M2mQ9D7UBYuMbLz8K5SW3Ntgm3jArS4GIJkRoBiPnnCzbJkTGQuoDu6e9PD/wvIP22tPZF3RckKJ&#10;YRodv7v9fvfj193PbwQ6ENS5MIXf0sEz9m9tj7HZ6wOUCXffeJ3+gYjADnpv7ukVfSQcynJ8Mjqe&#10;wMRhKyfl6CSHLx5eOx/iO2E1SUJFPdqXWWXbyxBRCVz3LilZsErWC6lUvvj16lx5smVo9SL/UpF4&#10;8oebMqSr6NFr1JFeGZveD37KwD2BHUAlKfarfsfAytY3IMDbYYaC4wuJKi9ZiNfMY2gADGsVr3A0&#10;yiKJ3UmUtNZ//Zc++aOXsFLSYQgrGr5smBeUqPcGXT4ZHx4ibMyXw8lxiYt/bFk9tpiNPrcAP8YC&#10;O57F5B/VXmy81Z+xffOUFSZmOHJXNO7F8zisBraXi/k8O2FOHYuXZul4Cj2QNt9E28jckkTTwM2O&#10;PUxqpn23VWkVHt+z18OX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36E+tYAAAAKAQAADwAA&#10;AAAAAAABACAAAAAiAAAAZHJzL2Rvd25yZXYueG1sUEsBAhQAFAAAAAgAh07iQG4vbZ1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图11：美德10年期国债利差</w:t>
                            </w:r>
                          </w:p>
                        </w:txbxContent>
                      </v:textbox>
                    </v:shape>
                  </w:pict>
                </mc:Fallback>
              </mc:AlternateContent>
            </w:r>
            <w:r>
              <w:drawing>
                <wp:inline distT="0" distB="0" distL="114300" distR="114300">
                  <wp:extent cx="2966720" cy="1881505"/>
                  <wp:effectExtent l="0" t="0" r="508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2966720" cy="188150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741295" cy="1845945"/>
                  <wp:effectExtent l="0" t="0" r="190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741295" cy="1845945"/>
                          </a:xfrm>
                          <a:prstGeom prst="rect">
                            <a:avLst/>
                          </a:prstGeom>
                          <a:noFill/>
                          <a:ln>
                            <a:noFill/>
                          </a:ln>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sz w:val="20"/>
              </w:rPr>
            </w:pPr>
            <w:r>
              <w:rPr>
                <w:sz w:val="20"/>
              </w:rPr>
              <mc:AlternateContent>
                <mc:Choice Requires="wps">
                  <w:drawing>
                    <wp:anchor distT="0" distB="0" distL="114300" distR="114300" simplePos="0" relativeHeight="251675648" behindDoc="0" locked="0" layoutInCell="1" allowOverlap="1">
                      <wp:simplePos x="0" y="0"/>
                      <wp:positionH relativeFrom="column">
                        <wp:posOffset>3407410</wp:posOffset>
                      </wp:positionH>
                      <wp:positionV relativeFrom="paragraph">
                        <wp:posOffset>2141220</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图14：白银净多头持仓持续上升</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3pt;margin-top:168.6pt;height:25.1pt;width:172.5pt;z-index:251675648;mso-width-relative:page;mso-height-relative:page;" fillcolor="#FFFFFF [3201]" filled="t" stroked="f" coordsize="21600,21600" o:gfxdata="UEsDBAoAAAAAAIdO4kAAAAAAAAAAAAAAAAAEAAAAZHJzL1BLAwQUAAAACACHTuJAp4LvhtcAAAAL&#10;AQAADwAAAGRycy9kb3ducmV2LnhtbE2PTU/DMAyG70j8h8hI3FjaFbrSNd0BiSsS29g5a7ymonGq&#10;JPv89ZgTHP360evHzeriRnHCEAdPCvJZBgKp82agXsF28/5UgYhJk9GjJ1RwxQir9v6u0bXxZ/rE&#10;0zr1gkso1lqBTWmqpYydRafjzE9IvDv44HTiMfTSBH3mcjfKeZaV0umB+ILVE75Z7L7XR6dg17vb&#10;7iufgjVufKaP23Wz9YNSjw95tgSR8JL+YPjVZ3Vo2Wnvj2SiGBW8FGXJqIKiWMxBMFFVOSd7Thbl&#10;K8i2kf9/aH8AUEsDBBQAAAAIAIdO4kDTMmt3UAIAAJEEAAAOAAAAZHJzL2Uyb0RvYy54bWytVMFu&#10;EzEQvSPxD5bvZJMlaUmUTRVaBSFVtFJBnB2vN2vJ9hjbyW74APiDnrhw57v6HYy9mzQUDj2QgzOe&#10;Gb+ZeTOz84tWK7ITzkswBR0NhpQIw6GUZlPQTx9Xr95Q4gMzJVNgREH3wtOLxcsX88bORA41qFI4&#10;giDGzxpb0DoEO8syz2uhmR+AFQaNFTjNAl7dJisdaxBdqywfDs+yBlxpHXDhPWqvOiPtEd1zAKGq&#10;JBdXwLdamNChOqFYwJJ8La2ni5RtVQkebqrKi0BUQbHSkE4MgvI6ntlizmYbx2wteZ8Ce04KT2rS&#10;TBoMeoS6YoGRrZN/QWnJHXiowoCDzrpCEiNYxWj4hJu7mlmRakGqvT2S7v8fLP+wu3VElgXNp5QY&#10;prHjD/ffH378evj5jaAOCWqsn6HfnUXP0L6FFsfmoPeojHW3ldPxHysiaEd690d6RRsIR2U+mg7P&#10;J2jiaMsn+XA6iTDZ42vrfHgnQJMoFNRh+xKrbHftQ+d6cInBPChZrqRS6eI260vlyI5hq1fp16P/&#10;4aYMaQp69hrziK8MxPcdtDKYTCy2KypKoV23PQNrKPdIgINuhrzlK4lZXjMfbpnDocHCcK3CDR6V&#10;AgwCvURJDe7rv/TRH3uJVkoaHMKC+i9b5gQl6r3BLk9H4zHChnQZT85zvLhTy/rUYrb6ErD4ES6w&#10;5UmM/kEdxMqB/ozbt4xR0cQMx9gFDQfxMnSrgdvLxXKZnHBOLQvX5s7yCN2RttwGqGRqSaSp46Zn&#10;Dyc1NbXfqrgKp/fk9fglW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4LvhtcAAAALAQAADwAA&#10;AAAAAAABACAAAAAiAAAAZHJzL2Rvd25yZXYueG1sUEsBAhQAFAAAAAgAh07iQNMya3dQAgAAkQQA&#10;AA4AAAAAAAAAAQAgAAAAJg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图14：白银净多头持仓持续上升</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drawing>
                <wp:inline distT="0" distB="0" distL="114300" distR="114300">
                  <wp:extent cx="2963545" cy="1790065"/>
                  <wp:effectExtent l="0" t="0" r="825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2963545" cy="1790065"/>
                          </a:xfrm>
                          <a:prstGeom prst="rect">
                            <a:avLst/>
                          </a:prstGeom>
                          <a:noFill/>
                          <a:ln>
                            <a:noFill/>
                          </a:ln>
                        </pic:spPr>
                      </pic:pic>
                    </a:graphicData>
                  </a:graphic>
                </wp:inline>
              </w:drawing>
            </w:r>
            <w:r>
              <w:rPr>
                <w:sz w:val="20"/>
              </w:rPr>
              <mc:AlternateContent>
                <mc:Choice Requires="wps">
                  <w:drawing>
                    <wp:anchor distT="0" distB="0" distL="114300" distR="114300" simplePos="0" relativeHeight="251674624" behindDoc="0" locked="0" layoutInCell="1" allowOverlap="1">
                      <wp:simplePos x="0" y="0"/>
                      <wp:positionH relativeFrom="column">
                        <wp:posOffset>197485</wp:posOffset>
                      </wp:positionH>
                      <wp:positionV relativeFrom="paragraph">
                        <wp:posOffset>2131695</wp:posOffset>
                      </wp:positionV>
                      <wp:extent cx="2190750" cy="328295"/>
                      <wp:effectExtent l="0" t="0" r="0" b="14605"/>
                      <wp:wrapNone/>
                      <wp:docPr id="23" name="文本框 23"/>
                      <wp:cNvGraphicFramePr/>
                      <a:graphic xmlns:a="http://schemas.openxmlformats.org/drawingml/2006/main">
                        <a:graphicData uri="http://schemas.microsoft.com/office/word/2010/wordprocessingShape">
                          <wps:wsp>
                            <wps:cNvSpPr txBox="1"/>
                            <wps:spPr>
                              <a:xfrm>
                                <a:off x="0" y="0"/>
                                <a:ext cx="2190750"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图13：黄金净多头持仓持续上升</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167.85pt;height:25.85pt;width:172.5pt;z-index:251674624;mso-width-relative:page;mso-height-relative:page;" fillcolor="#FFFFFF [3201]" filled="t" stroked="f" coordsize="21600,21600" o:gfxdata="UEsDBAoAAAAAAIdO4kAAAAAAAAAAAAAAAAAEAAAAZHJzL1BLAwQUAAAACACHTuJA+RXP/9UAAAAK&#10;AQAADwAAAGRycy9kb3ducmV2LnhtbE2Py07DMBBF90j8gzVI7Khj0gdK43SBxBaJtnTtxtM4wh5H&#10;sfv8eqYrWM3r6t4z9eoSvDjhmPpIGtSkAIHURttTp2G7+Xh5A5GyIWt8JNRwxQSr5vGhNpWNZ/rC&#10;0zp3gk0oVUaDy3mopEytw2DSJA5IfDvEMZjM49hJO5ozmwcvX4tiLoPpiROcGfDdYfuzPgYNuy7c&#10;dt9qGJ0Nfkqft+tmG3utn59UsQSR8ZL/xHDHZ3RomGkfj2ST8BpKpVjJtZwtQLCgXMx5s783synI&#10;ppb/X2h+AVBLAwQUAAAACACHTuJAkKLWBVACAACRBAAADgAAAGRycy9lMm9Eb2MueG1srVTBbhMx&#10;EL0j8Q+W72STbdPSKJsqNApCqmilgDg7Xm/Wku0xtpPd8AHwB5y4cOe78h2MvZu0FA49kIMznhm/&#10;mXkzs9PrViuyE85LMAUdDYaUCMOhlGZT0I8flq9eU+IDMyVTYERB98LT69nLF9PGTkQONahSOIIg&#10;xk8aW9A6BDvJMs9roZkfgBUGjRU4zQJe3SYrHWsQXassHw4vsgZcaR1w4T1qF52R9ojuOYBQVZKL&#10;BfCtFiZ0qE4oFrAkX0vr6SxlW1WCh7uq8iIQVVCsNKQTg6C8jmc2m7LJxjFbS96nwJ6TwpOaNJMG&#10;g56gFiwwsnXyLygtuQMPVRhw0FlXSGIEqxgNn3CzqpkVqRak2tsT6f7/wfL3u3tHZFnQ/IwSwzR2&#10;/PD92+HHr8PPrwR1SFBj/QT9VhY9Q/sGWhybo96jMtbdVk7Hf6yIoB3p3Z/oFW0gHJX56Gp4OUYT&#10;R1s+zodX4wiTPby2zoe3AjSJQkEdti+xyna3PnSuR5cYzIOS5VIqlS5us75RjuwYtnqZfj36H27K&#10;kKagF2eYR3xlIL7voJXBZGKxXVFRCu267RlYQ7lHAhx0M+QtX0rM8pb5cM8cDg0WhmsV7vCoFGAQ&#10;6CVKanBf/qWP/thLtFLS4BAW1H/eMicoUe8MdvlqdH6OsCFdzseXOV7cY8v6scVs9Q1g8SNcYMuT&#10;GP2DOoqVA/0Jt28eo6KJGY6xCxqO4k3oVgO3l4v5PDnhnFoWbs3K8gjdkTbfBqhkakmkqeOmZw8n&#10;NTW136q4Co/vyevhS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kVz//VAAAACgEAAA8AAAAA&#10;AAAAAQAgAAAAIgAAAGRycy9kb3ducmV2LnhtbFBLAQIUABQAAAAIAIdO4kCQotYFUAIAAJEEAAAO&#10;AAAAAAAAAAEAIAAAACQBAABkcnMvZTJvRG9jLnhtbFBLBQYAAAAABgAGAFkBAADm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图13：黄金净多头持仓持续上升</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rFonts w:hint="eastAsia" w:eastAsia="宋体"/>
                <w:lang w:val="en-US" w:eastAsia="zh-CN"/>
              </w:rPr>
              <w:t xml:space="preserve"> </w:t>
            </w:r>
            <w:r>
              <w:drawing>
                <wp:inline distT="0" distB="0" distL="114300" distR="114300">
                  <wp:extent cx="2858770" cy="1762125"/>
                  <wp:effectExtent l="0" t="0" r="1778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2858770" cy="1762125"/>
                          </a:xfrm>
                          <a:prstGeom prst="rect">
                            <a:avLst/>
                          </a:prstGeom>
                          <a:noFill/>
                          <a:ln>
                            <a:noFill/>
                          </a:ln>
                        </pic:spPr>
                      </pic:pic>
                    </a:graphicData>
                  </a:graphic>
                </wp:inline>
              </w:drawing>
            </w:r>
          </w:p>
        </w:tc>
      </w:tr>
    </w:tbl>
    <w:p>
      <w:pPr>
        <w:spacing w:before="235" w:line="176" w:lineRule="auto"/>
        <w:ind w:firstLine="194" w:firstLineChars="100"/>
        <w:rPr>
          <w:rFonts w:hint="default" w:ascii="微软雅黑" w:hAnsi="微软雅黑" w:eastAsia="微软雅黑" w:cs="微软雅黑"/>
          <w:spacing w:val="7"/>
          <w:sz w:val="18"/>
          <w:szCs w:val="18"/>
          <w:lang w:val="en-US" w:eastAsia="zh-CN"/>
        </w:rPr>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r>
        <w:rPr>
          <w:rFonts w:hint="eastAsia" w:ascii="微软雅黑" w:hAnsi="微软雅黑" w:eastAsia="微软雅黑" w:cs="微软雅黑"/>
          <w:spacing w:val="7"/>
          <w:sz w:val="18"/>
          <w:szCs w:val="18"/>
          <w:lang w:val="en-US" w:eastAsia="zh-CN"/>
        </w:rPr>
        <w:t>资料源：公开资料整理，瑞达国际</w:t>
      </w: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0"/>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9"/>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8"/>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8"/>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28"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15</w:t>
            </w:r>
          </w:p>
        </w:tc>
        <w:tc>
          <w:tcPr>
            <w:tcW w:w="1478" w:type="dxa"/>
            <w:vAlign w:val="top"/>
          </w:tcPr>
          <w:p>
            <w:pPr>
              <w:pStyle w:val="8"/>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17</w:t>
            </w:r>
            <w:r>
              <w:rPr>
                <w:b/>
                <w:bCs/>
                <w:spacing w:val="6"/>
                <w:sz w:val="19"/>
                <w:szCs w:val="19"/>
              </w:rPr>
              <w:t>:</w:t>
            </w:r>
            <w:r>
              <w:rPr>
                <w:rFonts w:hint="eastAsia"/>
                <w:b/>
                <w:bCs/>
                <w:spacing w:val="6"/>
                <w:sz w:val="19"/>
                <w:szCs w:val="19"/>
                <w:lang w:val="en-US" w:eastAsia="zh-CN"/>
              </w:rPr>
              <w:t>00</w:t>
            </w:r>
          </w:p>
        </w:tc>
        <w:tc>
          <w:tcPr>
            <w:tcW w:w="6344" w:type="dxa"/>
            <w:vAlign w:val="top"/>
          </w:tcPr>
          <w:p>
            <w:pPr>
              <w:pStyle w:val="8"/>
              <w:spacing w:before="221" w:line="180" w:lineRule="auto"/>
              <w:jc w:val="center"/>
              <w:rPr>
                <w:rFonts w:hint="default" w:eastAsia="微软雅黑"/>
                <w:sz w:val="19"/>
                <w:szCs w:val="19"/>
                <w:lang w:val="en-US" w:eastAsia="zh-CN"/>
              </w:rPr>
            </w:pPr>
            <w:r>
              <w:rPr>
                <w:rFonts w:hint="eastAsia"/>
                <w:spacing w:val="25"/>
                <w:sz w:val="19"/>
                <w:szCs w:val="19"/>
                <w:lang w:val="en-US" w:eastAsia="zh-CN"/>
              </w:rPr>
              <w:t>欧元区2月工业产出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0"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15</w:t>
            </w:r>
          </w:p>
        </w:tc>
        <w:tc>
          <w:tcPr>
            <w:tcW w:w="1478" w:type="dxa"/>
            <w:shd w:val="clear" w:color="auto" w:fill="D3EAFF"/>
            <w:vAlign w:val="top"/>
          </w:tcPr>
          <w:p>
            <w:pPr>
              <w:pStyle w:val="8"/>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20</w:t>
            </w:r>
            <w:r>
              <w:rPr>
                <w:b/>
                <w:bCs/>
                <w:spacing w:val="5"/>
                <w:sz w:val="19"/>
                <w:szCs w:val="19"/>
              </w:rPr>
              <w:t>:</w:t>
            </w:r>
            <w:r>
              <w:rPr>
                <w:rFonts w:hint="eastAsia"/>
                <w:b/>
                <w:bCs/>
                <w:spacing w:val="5"/>
                <w:sz w:val="19"/>
                <w:szCs w:val="19"/>
                <w:lang w:val="en-US" w:eastAsia="zh-CN"/>
              </w:rPr>
              <w:t>30</w:t>
            </w:r>
          </w:p>
        </w:tc>
        <w:tc>
          <w:tcPr>
            <w:tcW w:w="6344" w:type="dxa"/>
            <w:shd w:val="clear" w:color="auto" w:fill="D3EAFF"/>
            <w:vAlign w:val="top"/>
          </w:tcPr>
          <w:p>
            <w:pPr>
              <w:pStyle w:val="8"/>
              <w:spacing w:before="224" w:line="179" w:lineRule="auto"/>
              <w:jc w:val="center"/>
              <w:rPr>
                <w:rFonts w:hint="default" w:eastAsia="微软雅黑"/>
                <w:sz w:val="19"/>
                <w:szCs w:val="19"/>
                <w:lang w:val="en-US" w:eastAsia="zh-CN"/>
              </w:rPr>
            </w:pPr>
            <w:r>
              <w:rPr>
                <w:rFonts w:hint="eastAsia"/>
                <w:spacing w:val="25"/>
                <w:sz w:val="19"/>
                <w:szCs w:val="19"/>
                <w:lang w:val="en-US" w:eastAsia="zh-CN"/>
              </w:rPr>
              <w:t>美国3月零售销售、4月纽约联储制造业指数、4月NAHB房产市场指数、2月商业库存环比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1"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478" w:type="dxa"/>
            <w:vAlign w:val="top"/>
          </w:tcPr>
          <w:p>
            <w:pPr>
              <w:pStyle w:val="8"/>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10</w:t>
            </w:r>
            <w:r>
              <w:rPr>
                <w:b/>
                <w:bCs/>
                <w:spacing w:val="5"/>
                <w:sz w:val="19"/>
                <w:szCs w:val="19"/>
              </w:rPr>
              <w:t>:</w:t>
            </w:r>
            <w:r>
              <w:rPr>
                <w:rFonts w:hint="eastAsia"/>
                <w:b/>
                <w:bCs/>
                <w:spacing w:val="5"/>
                <w:sz w:val="19"/>
                <w:szCs w:val="19"/>
                <w:lang w:val="en-US" w:eastAsia="zh-CN"/>
              </w:rPr>
              <w:t>00</w:t>
            </w:r>
          </w:p>
        </w:tc>
        <w:tc>
          <w:tcPr>
            <w:tcW w:w="6344" w:type="dxa"/>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中国</w:t>
            </w:r>
            <w:r>
              <w:rPr>
                <w:rFonts w:hint="eastAsia"/>
                <w:spacing w:val="25"/>
                <w:sz w:val="19"/>
                <w:szCs w:val="19"/>
                <w:lang w:val="en-US" w:eastAsia="zh-CN"/>
              </w:rPr>
              <w:t>一季度</w:t>
            </w:r>
            <w:r>
              <w:rPr>
                <w:rFonts w:hint="default"/>
                <w:spacing w:val="25"/>
                <w:sz w:val="19"/>
                <w:szCs w:val="19"/>
                <w:lang w:val="en-US" w:eastAsia="zh-CN"/>
              </w:rPr>
              <w:t>社会消费品零售总</w:t>
            </w:r>
            <w:r>
              <w:rPr>
                <w:rFonts w:hint="eastAsia"/>
                <w:spacing w:val="25"/>
                <w:sz w:val="19"/>
                <w:szCs w:val="19"/>
                <w:lang w:val="en-US" w:eastAsia="zh-CN"/>
              </w:rPr>
              <w:t>额、规模以上工业增加值、GDP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478" w:type="dxa"/>
            <w:shd w:val="clear" w:color="auto" w:fill="D3EAFF"/>
            <w:vAlign w:val="top"/>
          </w:tcPr>
          <w:p>
            <w:pPr>
              <w:pStyle w:val="8"/>
              <w:spacing w:before="246" w:line="172" w:lineRule="auto"/>
              <w:ind w:left="101"/>
              <w:rPr>
                <w:sz w:val="19"/>
                <w:szCs w:val="19"/>
              </w:rPr>
            </w:pPr>
            <w:r>
              <w:rPr>
                <w:rFonts w:hint="eastAsia"/>
                <w:b/>
                <w:bCs/>
                <w:spacing w:val="5"/>
                <w:sz w:val="19"/>
                <w:szCs w:val="19"/>
                <w:lang w:val="en-US" w:eastAsia="zh-CN"/>
              </w:rPr>
              <w:t>14</w:t>
            </w:r>
            <w:r>
              <w:rPr>
                <w:b/>
                <w:bCs/>
                <w:spacing w:val="5"/>
                <w:sz w:val="19"/>
                <w:szCs w:val="19"/>
              </w:rPr>
              <w:t>:</w:t>
            </w:r>
            <w:r>
              <w:rPr>
                <w:rFonts w:hint="eastAsia"/>
                <w:b/>
                <w:bCs/>
                <w:spacing w:val="5"/>
                <w:sz w:val="19"/>
                <w:szCs w:val="19"/>
                <w:lang w:val="en-US" w:eastAsia="zh-CN"/>
              </w:rPr>
              <w:t>0</w:t>
            </w:r>
            <w:r>
              <w:rPr>
                <w:b/>
                <w:bCs/>
                <w:spacing w:val="5"/>
                <w:sz w:val="19"/>
                <w:szCs w:val="19"/>
              </w:rPr>
              <w:t>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英国3月失业率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4"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478" w:type="dxa"/>
            <w:vAlign w:val="top"/>
          </w:tcPr>
          <w:p>
            <w:pPr>
              <w:pStyle w:val="8"/>
              <w:spacing w:before="248" w:line="172" w:lineRule="auto"/>
              <w:ind w:left="92"/>
              <w:rPr>
                <w:sz w:val="19"/>
                <w:szCs w:val="19"/>
              </w:rPr>
            </w:pPr>
            <w:r>
              <w:rPr>
                <w:rFonts w:hint="eastAsia"/>
                <w:b/>
                <w:bCs/>
                <w:spacing w:val="3"/>
                <w:sz w:val="19"/>
                <w:szCs w:val="19"/>
                <w:lang w:val="en-US" w:eastAsia="zh-CN"/>
              </w:rPr>
              <w:t>17：00</w:t>
            </w:r>
          </w:p>
        </w:tc>
        <w:tc>
          <w:tcPr>
            <w:tcW w:w="6344" w:type="dxa"/>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欧元区4月ZEW经济景气指数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478" w:type="dxa"/>
            <w:shd w:val="clear" w:color="auto" w:fill="D3EAFF"/>
            <w:vAlign w:val="top"/>
          </w:tcPr>
          <w:p>
            <w:pPr>
              <w:pStyle w:val="8"/>
              <w:spacing w:before="246" w:line="172" w:lineRule="auto"/>
              <w:ind w:left="101"/>
              <w:rPr>
                <w:rFonts w:hint="default"/>
                <w:sz w:val="19"/>
                <w:szCs w:val="19"/>
                <w:lang w:val="en-US"/>
              </w:rPr>
            </w:pPr>
            <w:r>
              <w:rPr>
                <w:rFonts w:hint="eastAsia"/>
                <w:b/>
                <w:bCs/>
                <w:spacing w:val="5"/>
                <w:sz w:val="19"/>
                <w:szCs w:val="19"/>
                <w:lang w:val="en-US" w:eastAsia="zh-CN"/>
              </w:rPr>
              <w:t>17：00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德国4月ZEW经济景气指数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478" w:type="dxa"/>
            <w:vAlign w:val="top"/>
          </w:tcPr>
          <w:p>
            <w:pPr>
              <w:pStyle w:val="8"/>
              <w:spacing w:before="248" w:line="172" w:lineRule="auto"/>
              <w:ind w:left="92" w:leftChars="0"/>
              <w:rPr>
                <w:rFonts w:hint="default" w:eastAsia="微软雅黑"/>
                <w:sz w:val="19"/>
                <w:szCs w:val="19"/>
                <w:lang w:val="en-US" w:eastAsia="zh-CN"/>
              </w:rPr>
            </w:pPr>
            <w:r>
              <w:rPr>
                <w:rFonts w:hint="eastAsia"/>
                <w:b/>
                <w:bCs/>
                <w:spacing w:val="3"/>
                <w:sz w:val="19"/>
                <w:szCs w:val="19"/>
                <w:lang w:val="en-US" w:eastAsia="zh-CN"/>
              </w:rPr>
              <w:t>20：30</w:t>
            </w:r>
          </w:p>
        </w:tc>
        <w:tc>
          <w:tcPr>
            <w:tcW w:w="6344" w:type="dxa"/>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美国3月新屋开工</w:t>
            </w:r>
            <w:r>
              <w:rPr>
                <w:rFonts w:hint="eastAsia"/>
                <w:spacing w:val="25"/>
                <w:sz w:val="19"/>
                <w:szCs w:val="19"/>
                <w:lang w:val="en-US" w:eastAsia="zh-CN"/>
              </w:rPr>
              <w:t>、工业产出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478" w:type="dxa"/>
            <w:shd w:val="clear" w:color="auto" w:fill="D3EAFF"/>
            <w:vAlign w:val="top"/>
          </w:tcPr>
          <w:p>
            <w:pPr>
              <w:pStyle w:val="8"/>
              <w:spacing w:before="248" w:line="172" w:lineRule="auto"/>
              <w:ind w:left="92" w:leftChars="0"/>
              <w:rPr>
                <w:rFonts w:hint="default"/>
                <w:sz w:val="19"/>
                <w:szCs w:val="19"/>
                <w:lang w:val="en-US"/>
              </w:rPr>
            </w:pPr>
            <w:r>
              <w:rPr>
                <w:rFonts w:hint="eastAsia"/>
                <w:b/>
                <w:bCs/>
                <w:spacing w:val="6"/>
                <w:sz w:val="19"/>
                <w:szCs w:val="19"/>
                <w:lang w:val="en-US" w:eastAsia="zh-CN"/>
              </w:rPr>
              <w:t>6</w:t>
            </w:r>
            <w:r>
              <w:rPr>
                <w:b/>
                <w:bCs/>
                <w:spacing w:val="6"/>
                <w:sz w:val="19"/>
                <w:szCs w:val="19"/>
              </w:rPr>
              <w:t>:</w:t>
            </w:r>
            <w:r>
              <w:rPr>
                <w:rFonts w:hint="eastAsia"/>
                <w:b/>
                <w:bCs/>
                <w:spacing w:val="6"/>
                <w:sz w:val="19"/>
                <w:szCs w:val="19"/>
                <w:lang w:val="en-US" w:eastAsia="zh-CN"/>
              </w:rPr>
              <w:t>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新西兰一季度CPI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7</w:t>
            </w:r>
            <w:r>
              <w:rPr>
                <w:b/>
                <w:bCs/>
                <w:spacing w:val="5"/>
                <w:sz w:val="19"/>
                <w:szCs w:val="19"/>
              </w:rPr>
              <w:t>:</w:t>
            </w:r>
            <w:r>
              <w:rPr>
                <w:rFonts w:hint="eastAsia"/>
                <w:b/>
                <w:bCs/>
                <w:spacing w:val="5"/>
                <w:sz w:val="19"/>
                <w:szCs w:val="19"/>
                <w:lang w:val="en-US" w:eastAsia="zh-CN"/>
              </w:rPr>
              <w:t>50</w:t>
            </w:r>
          </w:p>
        </w:tc>
        <w:tc>
          <w:tcPr>
            <w:tcW w:w="6344" w:type="dxa"/>
            <w:shd w:val="clear" w:color="auto" w:fill="FFFFFF" w:themeFill="background1"/>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日本3月进出口、3月季调后商品贸易帐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14</w:t>
            </w:r>
            <w:r>
              <w:rPr>
                <w:b/>
                <w:bCs/>
                <w:spacing w:val="5"/>
                <w:sz w:val="19"/>
                <w:szCs w:val="19"/>
              </w:rPr>
              <w:t>:</w:t>
            </w:r>
            <w:r>
              <w:rPr>
                <w:rFonts w:hint="eastAsia"/>
                <w:b/>
                <w:bCs/>
                <w:spacing w:val="5"/>
                <w:sz w:val="19"/>
                <w:szCs w:val="19"/>
                <w:lang w:val="en-US" w:eastAsia="zh-CN"/>
              </w:rPr>
              <w:t>00</w:t>
            </w:r>
          </w:p>
        </w:tc>
        <w:tc>
          <w:tcPr>
            <w:tcW w:w="6344" w:type="dxa"/>
            <w:shd w:val="clear" w:color="auto" w:fill="D3EAFF"/>
            <w:vAlign w:val="top"/>
          </w:tcPr>
          <w:p>
            <w:pPr>
              <w:pStyle w:val="8"/>
              <w:spacing w:before="221" w:line="180" w:lineRule="auto"/>
              <w:jc w:val="center"/>
              <w:rPr>
                <w:rFonts w:hint="eastAsia"/>
                <w:spacing w:val="25"/>
                <w:sz w:val="19"/>
                <w:szCs w:val="19"/>
                <w:lang w:val="en-US" w:eastAsia="zh-CN"/>
              </w:rPr>
            </w:pPr>
            <w:r>
              <w:rPr>
                <w:rFonts w:hint="default"/>
                <w:spacing w:val="25"/>
                <w:sz w:val="19"/>
                <w:szCs w:val="19"/>
                <w:lang w:val="en-US" w:eastAsia="zh-CN"/>
              </w:rPr>
              <w:t>英国3月核心零售物价指数</w:t>
            </w:r>
            <w:r>
              <w:rPr>
                <w:rFonts w:hint="eastAsia"/>
                <w:spacing w:val="25"/>
                <w:sz w:val="19"/>
                <w:szCs w:val="19"/>
                <w:lang w:val="en-US" w:eastAsia="zh-CN"/>
              </w:rPr>
              <w:t>、核心CPI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cs="微软雅黑"/>
                <w:b/>
                <w:bCs/>
                <w:snapToGrid w:val="0"/>
                <w:color w:val="000000"/>
                <w:spacing w:val="5"/>
                <w:kern w:val="0"/>
                <w:sz w:val="19"/>
                <w:szCs w:val="19"/>
                <w:lang w:val="en-US" w:eastAsia="zh-CN" w:bidi="ar-SA"/>
              </w:rPr>
              <w:t>17：00</w:t>
            </w:r>
          </w:p>
        </w:tc>
        <w:tc>
          <w:tcPr>
            <w:tcW w:w="6344" w:type="dxa"/>
            <w:shd w:val="clear" w:color="auto" w:fill="FFFFFF" w:themeFill="background1"/>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欧元区3月核心调和CPI终值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b/>
                <w:bCs/>
                <w:spacing w:val="5"/>
                <w:sz w:val="19"/>
                <w:szCs w:val="19"/>
                <w:lang w:val="en-US" w:eastAsia="zh-CN"/>
              </w:rPr>
              <w:t>22：30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美国4月12日当周EIA库存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default"/>
                <w:spacing w:val="25"/>
                <w:sz w:val="19"/>
                <w:szCs w:val="19"/>
                <w:lang w:val="en-US" w:eastAsia="zh-CN"/>
              </w:rPr>
              <w:t>美国4月6日当周续请失业救济人数</w:t>
            </w:r>
            <w:r>
              <w:rPr>
                <w:rFonts w:hint="eastAsia"/>
                <w:spacing w:val="25"/>
                <w:sz w:val="19"/>
                <w:szCs w:val="19"/>
                <w:lang w:val="en-US" w:eastAsia="zh-CN"/>
              </w:rPr>
              <w:t>、4月13日当周首次申请失业救济人数、4月费城联储制造业指数、3月成屋销售总数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00：00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世界银行召开春季会议（4月19-21日）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07：30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日本3月CPI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9"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14：00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英国3月核心零售销售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19</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01：00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default"/>
                <w:spacing w:val="25"/>
                <w:sz w:val="19"/>
                <w:szCs w:val="19"/>
                <w:lang w:val="en-US" w:eastAsia="zh-CN"/>
              </w:rPr>
              <w:t>美国4月19日当周石油钻井数</w:t>
            </w:r>
          </w:p>
        </w:tc>
      </w:tr>
    </w:tbl>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1"/>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19E86119"/>
    <w:rsid w:val="014E455E"/>
    <w:rsid w:val="01D34AC7"/>
    <w:rsid w:val="03237D85"/>
    <w:rsid w:val="03AA5DB1"/>
    <w:rsid w:val="04540896"/>
    <w:rsid w:val="04812FB5"/>
    <w:rsid w:val="054B35C3"/>
    <w:rsid w:val="056401E1"/>
    <w:rsid w:val="05761F9D"/>
    <w:rsid w:val="05DB66F5"/>
    <w:rsid w:val="068D4577"/>
    <w:rsid w:val="068E5516"/>
    <w:rsid w:val="06EB560A"/>
    <w:rsid w:val="071F2612"/>
    <w:rsid w:val="074B1659"/>
    <w:rsid w:val="09A82D92"/>
    <w:rsid w:val="0A8A2498"/>
    <w:rsid w:val="0B2C15EF"/>
    <w:rsid w:val="0BCA5D9B"/>
    <w:rsid w:val="0BD7170D"/>
    <w:rsid w:val="0C2E40B0"/>
    <w:rsid w:val="0CD93263"/>
    <w:rsid w:val="0CDD0FA5"/>
    <w:rsid w:val="0E5232CD"/>
    <w:rsid w:val="101F18D4"/>
    <w:rsid w:val="104430E9"/>
    <w:rsid w:val="10C123D9"/>
    <w:rsid w:val="12E50BB3"/>
    <w:rsid w:val="134C478E"/>
    <w:rsid w:val="13506BAF"/>
    <w:rsid w:val="14060DE1"/>
    <w:rsid w:val="150A2B53"/>
    <w:rsid w:val="15D53161"/>
    <w:rsid w:val="16243D50"/>
    <w:rsid w:val="183710AD"/>
    <w:rsid w:val="189B3AC2"/>
    <w:rsid w:val="19193365"/>
    <w:rsid w:val="198F7ACB"/>
    <w:rsid w:val="19E86119"/>
    <w:rsid w:val="1A071979"/>
    <w:rsid w:val="1AF776D6"/>
    <w:rsid w:val="1B8A054A"/>
    <w:rsid w:val="1BA3785E"/>
    <w:rsid w:val="1C525A3A"/>
    <w:rsid w:val="1E581DD0"/>
    <w:rsid w:val="1E931DB8"/>
    <w:rsid w:val="1E934127"/>
    <w:rsid w:val="1FAB6CE1"/>
    <w:rsid w:val="21D249F9"/>
    <w:rsid w:val="22D36C7A"/>
    <w:rsid w:val="22FB3ADB"/>
    <w:rsid w:val="232F685D"/>
    <w:rsid w:val="23395957"/>
    <w:rsid w:val="233B65CE"/>
    <w:rsid w:val="23B51EDC"/>
    <w:rsid w:val="23F724F4"/>
    <w:rsid w:val="24207C9D"/>
    <w:rsid w:val="248B2649"/>
    <w:rsid w:val="2498264B"/>
    <w:rsid w:val="24D9609E"/>
    <w:rsid w:val="250C1FD0"/>
    <w:rsid w:val="25115838"/>
    <w:rsid w:val="25270BB7"/>
    <w:rsid w:val="25F747AF"/>
    <w:rsid w:val="26413EFB"/>
    <w:rsid w:val="26F471BF"/>
    <w:rsid w:val="274F030F"/>
    <w:rsid w:val="27736336"/>
    <w:rsid w:val="28026FB4"/>
    <w:rsid w:val="284101E2"/>
    <w:rsid w:val="288264C6"/>
    <w:rsid w:val="2A5C7555"/>
    <w:rsid w:val="2A697EC4"/>
    <w:rsid w:val="2B25203D"/>
    <w:rsid w:val="2C2045B2"/>
    <w:rsid w:val="2CC80A91"/>
    <w:rsid w:val="2CC94C4A"/>
    <w:rsid w:val="2D0B0DBF"/>
    <w:rsid w:val="2D8017AD"/>
    <w:rsid w:val="2DF9330D"/>
    <w:rsid w:val="2EC456C9"/>
    <w:rsid w:val="302B515F"/>
    <w:rsid w:val="30703A47"/>
    <w:rsid w:val="30BA6D84"/>
    <w:rsid w:val="310D20A5"/>
    <w:rsid w:val="320B4F05"/>
    <w:rsid w:val="32317519"/>
    <w:rsid w:val="324803BF"/>
    <w:rsid w:val="32E8157B"/>
    <w:rsid w:val="32F81DE5"/>
    <w:rsid w:val="335A2AA0"/>
    <w:rsid w:val="342F27ED"/>
    <w:rsid w:val="3485313E"/>
    <w:rsid w:val="349A5478"/>
    <w:rsid w:val="34EC3C2E"/>
    <w:rsid w:val="36513CE6"/>
    <w:rsid w:val="394A2C6F"/>
    <w:rsid w:val="3A4818A4"/>
    <w:rsid w:val="3AE47F1E"/>
    <w:rsid w:val="3AF37A62"/>
    <w:rsid w:val="3C0C409C"/>
    <w:rsid w:val="3C6B3628"/>
    <w:rsid w:val="3C964B49"/>
    <w:rsid w:val="3EB35031"/>
    <w:rsid w:val="3EDC080D"/>
    <w:rsid w:val="409C46F8"/>
    <w:rsid w:val="40EA5463"/>
    <w:rsid w:val="415C79E3"/>
    <w:rsid w:val="41BE4CC7"/>
    <w:rsid w:val="42051E29"/>
    <w:rsid w:val="42240501"/>
    <w:rsid w:val="43476B9D"/>
    <w:rsid w:val="43CB67C0"/>
    <w:rsid w:val="43E4263E"/>
    <w:rsid w:val="43F3462F"/>
    <w:rsid w:val="44A8366B"/>
    <w:rsid w:val="44AF0444"/>
    <w:rsid w:val="45F23AC6"/>
    <w:rsid w:val="46205483"/>
    <w:rsid w:val="4928096E"/>
    <w:rsid w:val="4A565917"/>
    <w:rsid w:val="4A5751EC"/>
    <w:rsid w:val="4C0D0258"/>
    <w:rsid w:val="4DCF5AD7"/>
    <w:rsid w:val="50616DC4"/>
    <w:rsid w:val="507C1E50"/>
    <w:rsid w:val="508F1B83"/>
    <w:rsid w:val="50B415EA"/>
    <w:rsid w:val="521C2FA3"/>
    <w:rsid w:val="523D6FB3"/>
    <w:rsid w:val="54501629"/>
    <w:rsid w:val="549A0AF6"/>
    <w:rsid w:val="54C16083"/>
    <w:rsid w:val="556F788D"/>
    <w:rsid w:val="55E464CD"/>
    <w:rsid w:val="55E55DA1"/>
    <w:rsid w:val="561A2735"/>
    <w:rsid w:val="56B714EC"/>
    <w:rsid w:val="579932E7"/>
    <w:rsid w:val="58CE429C"/>
    <w:rsid w:val="5A1D0200"/>
    <w:rsid w:val="5A2F0DB8"/>
    <w:rsid w:val="5B24111A"/>
    <w:rsid w:val="5B5F167B"/>
    <w:rsid w:val="5C653798"/>
    <w:rsid w:val="5DC22821"/>
    <w:rsid w:val="5EE07779"/>
    <w:rsid w:val="5F021772"/>
    <w:rsid w:val="5F334021"/>
    <w:rsid w:val="5F920D48"/>
    <w:rsid w:val="5FFC403D"/>
    <w:rsid w:val="61882D10"/>
    <w:rsid w:val="619958DF"/>
    <w:rsid w:val="61C40F61"/>
    <w:rsid w:val="63C65464"/>
    <w:rsid w:val="641A130C"/>
    <w:rsid w:val="65D379C4"/>
    <w:rsid w:val="66815672"/>
    <w:rsid w:val="66902CF8"/>
    <w:rsid w:val="66CA7EB9"/>
    <w:rsid w:val="68227FB0"/>
    <w:rsid w:val="689B4294"/>
    <w:rsid w:val="690600B1"/>
    <w:rsid w:val="69AB3E1D"/>
    <w:rsid w:val="6A884BFC"/>
    <w:rsid w:val="6ABD22B6"/>
    <w:rsid w:val="6B673089"/>
    <w:rsid w:val="6C2B67AC"/>
    <w:rsid w:val="6E7C12C8"/>
    <w:rsid w:val="6EC922AC"/>
    <w:rsid w:val="70460245"/>
    <w:rsid w:val="70A02B99"/>
    <w:rsid w:val="730E028E"/>
    <w:rsid w:val="7333597E"/>
    <w:rsid w:val="73D2750D"/>
    <w:rsid w:val="74510D7A"/>
    <w:rsid w:val="74EF0832"/>
    <w:rsid w:val="79222CE5"/>
    <w:rsid w:val="7A1940E8"/>
    <w:rsid w:val="7B86755B"/>
    <w:rsid w:val="7BAE260E"/>
    <w:rsid w:val="7D651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oleObject" Target="file:///D:\SUGA&#24037;&#20316;\SUGA&#24037;&#20316;\2&#38108;\&#21697;&#31181;--&#25968;&#25454;&#24211;\&#25968;&#25454;&#24211;\4&#20135;&#19994;.xlsx!&#20132;&#26131;&#25152;&#24211;&#23384;!%5b4&#20135;&#19994;.xlsx%5d&#20132;&#26131;&#25152;&#24211;&#23384;%20&#22270;&#34920;%201" TargetMode="External"/><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2024-04-15T00:04:00Z</dcterms:created>
  <dc:creator>WPS_1180513195</dc:creator>
  <cp:lastModifiedBy>WPS_1180513195</cp:lastModifiedBy>
  <dcterms:modified xsi:type="dcterms:W3CDTF">2024-04-15T01:36:12Z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059DC34C93C247A3B7744A883535FBC6_11</vt:lpwstr>
  </property>
</Properties>
</file>