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4</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17</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美国三大股指</w:t>
      </w:r>
      <w:r>
        <w:rPr>
          <w:rFonts w:hint="eastAsia" w:ascii="微软雅黑" w:hAnsi="微软雅黑" w:eastAsia="微软雅黑" w:cs="微软雅黑"/>
          <w:spacing w:val="4"/>
          <w:sz w:val="24"/>
          <w:szCs w:val="24"/>
          <w:lang w:val="en-US" w:eastAsia="zh-CN"/>
        </w:rPr>
        <w:t>收盘涨跌不一</w:t>
      </w:r>
      <w:r>
        <w:rPr>
          <w:rFonts w:hint="eastAsia" w:ascii="微软雅黑" w:hAnsi="微软雅黑" w:eastAsia="微软雅黑" w:cs="微软雅黑"/>
          <w:spacing w:val="4"/>
          <w:sz w:val="24"/>
          <w:szCs w:val="24"/>
          <w:lang w:eastAsia="zh-CN"/>
        </w:rPr>
        <w:t>，道指</w:t>
      </w:r>
      <w:r>
        <w:rPr>
          <w:rFonts w:hint="eastAsia" w:ascii="微软雅黑" w:hAnsi="微软雅黑" w:eastAsia="微软雅黑" w:cs="微软雅黑"/>
          <w:spacing w:val="4"/>
          <w:sz w:val="24"/>
          <w:szCs w:val="24"/>
          <w:lang w:val="en-US" w:eastAsia="zh-CN"/>
        </w:rPr>
        <w:t>涨0.17</w:t>
      </w:r>
      <w:r>
        <w:rPr>
          <w:rFonts w:hint="eastAsia" w:ascii="微软雅黑" w:hAnsi="微软雅黑" w:eastAsia="微软雅黑" w:cs="微软雅黑"/>
          <w:spacing w:val="4"/>
          <w:sz w:val="24"/>
          <w:szCs w:val="24"/>
          <w:lang w:eastAsia="zh-CN"/>
        </w:rPr>
        <w:t>%，结束六连跌，标普500指数跌</w:t>
      </w:r>
      <w:r>
        <w:rPr>
          <w:rFonts w:hint="eastAsia" w:ascii="微软雅黑" w:hAnsi="微软雅黑" w:eastAsia="微软雅黑" w:cs="微软雅黑"/>
          <w:spacing w:val="4"/>
          <w:sz w:val="24"/>
          <w:szCs w:val="24"/>
          <w:lang w:val="en-US" w:eastAsia="zh-CN"/>
        </w:rPr>
        <w:t>0.21</w:t>
      </w:r>
      <w:r>
        <w:rPr>
          <w:rFonts w:hint="eastAsia" w:ascii="微软雅黑" w:hAnsi="微软雅黑" w:eastAsia="微软雅黑" w:cs="微软雅黑"/>
          <w:spacing w:val="4"/>
          <w:sz w:val="24"/>
          <w:szCs w:val="24"/>
          <w:lang w:eastAsia="zh-CN"/>
        </w:rPr>
        <w:t>%，纳指跌</w:t>
      </w:r>
      <w:r>
        <w:rPr>
          <w:rFonts w:hint="eastAsia" w:ascii="微软雅黑" w:hAnsi="微软雅黑" w:eastAsia="微软雅黑" w:cs="微软雅黑"/>
          <w:spacing w:val="4"/>
          <w:sz w:val="24"/>
          <w:szCs w:val="24"/>
          <w:lang w:val="en-US" w:eastAsia="zh-CN"/>
        </w:rPr>
        <w:t>0.12</w:t>
      </w:r>
      <w:r>
        <w:rPr>
          <w:rFonts w:hint="eastAsia" w:ascii="微软雅黑" w:hAnsi="微软雅黑" w:eastAsia="微软雅黑" w:cs="微软雅黑"/>
          <w:spacing w:val="4"/>
          <w:sz w:val="24"/>
          <w:szCs w:val="24"/>
          <w:lang w:eastAsia="zh-CN"/>
        </w:rPr>
        <w:t>%，</w:t>
      </w:r>
      <w:r>
        <w:rPr>
          <w:rFonts w:hint="eastAsia" w:ascii="微软雅黑" w:hAnsi="微软雅黑" w:eastAsia="微软雅黑" w:cs="微软雅黑"/>
          <w:spacing w:val="4"/>
          <w:sz w:val="24"/>
          <w:szCs w:val="24"/>
          <w:lang w:val="en-US" w:eastAsia="zh-CN"/>
        </w:rPr>
        <w:t>特斯拉跌超2%，市值跌破5000亿美元</w:t>
      </w:r>
      <w:r>
        <w:rPr>
          <w:rFonts w:hint="eastAsia" w:ascii="微软雅黑" w:hAnsi="微软雅黑" w:eastAsia="微软雅黑" w:cs="微软雅黑"/>
          <w:spacing w:val="4"/>
          <w:sz w:val="24"/>
          <w:szCs w:val="24"/>
          <w:lang w:eastAsia="zh-CN"/>
        </w:rPr>
        <w:t>。美元指数涨0.15%报106.37，非美货币普遍下跌，离岸人民币对美元跌53个基点报7.2645。美债收益率集体收涨，</w:t>
      </w:r>
      <w:r>
        <w:rPr>
          <w:rFonts w:hint="eastAsia" w:ascii="微软雅黑" w:hAnsi="微软雅黑" w:eastAsia="微软雅黑" w:cs="微软雅黑"/>
          <w:spacing w:val="12"/>
          <w:sz w:val="24"/>
          <w:szCs w:val="24"/>
        </w:rPr>
        <w:t>10年期美债收益率逼近4.7%。</w:t>
      </w:r>
      <w:r>
        <w:rPr>
          <w:rFonts w:hint="eastAsia" w:ascii="微软雅黑" w:hAnsi="微软雅黑" w:eastAsia="微软雅黑" w:cs="微软雅黑"/>
          <w:spacing w:val="4"/>
          <w:sz w:val="24"/>
          <w:szCs w:val="24"/>
          <w:lang w:eastAsia="zh-CN"/>
        </w:rPr>
        <w:t>国际油价小幅下跌，美油5月合约跌0.</w:t>
      </w:r>
      <w:r>
        <w:rPr>
          <w:rFonts w:hint="eastAsia" w:ascii="微软雅黑" w:hAnsi="微软雅黑" w:eastAsia="微软雅黑" w:cs="微软雅黑"/>
          <w:spacing w:val="4"/>
          <w:sz w:val="24"/>
          <w:szCs w:val="24"/>
          <w:lang w:val="en-US" w:eastAsia="zh-CN"/>
        </w:rPr>
        <w:t>12</w:t>
      </w:r>
      <w:r>
        <w:rPr>
          <w:rFonts w:hint="eastAsia" w:ascii="微软雅黑" w:hAnsi="微软雅黑" w:eastAsia="微软雅黑" w:cs="微软雅黑"/>
          <w:spacing w:val="4"/>
          <w:sz w:val="24"/>
          <w:szCs w:val="24"/>
          <w:lang w:eastAsia="zh-CN"/>
        </w:rPr>
        <w:t>%，报85.</w:t>
      </w:r>
      <w:r>
        <w:rPr>
          <w:rFonts w:hint="eastAsia" w:ascii="微软雅黑" w:hAnsi="微软雅黑" w:eastAsia="微软雅黑" w:cs="微软雅黑"/>
          <w:spacing w:val="4"/>
          <w:sz w:val="24"/>
          <w:szCs w:val="24"/>
          <w:lang w:val="en-US" w:eastAsia="zh-CN"/>
        </w:rPr>
        <w:t>31</w:t>
      </w:r>
      <w:r>
        <w:rPr>
          <w:rFonts w:hint="eastAsia" w:ascii="微软雅黑" w:hAnsi="微软雅黑" w:eastAsia="微软雅黑" w:cs="微软雅黑"/>
          <w:spacing w:val="4"/>
          <w:sz w:val="24"/>
          <w:szCs w:val="24"/>
          <w:lang w:eastAsia="zh-CN"/>
        </w:rPr>
        <w:t>美元/桶。布油6月合约跌0.</w:t>
      </w:r>
      <w:r>
        <w:rPr>
          <w:rFonts w:hint="eastAsia" w:ascii="微软雅黑" w:hAnsi="微软雅黑" w:eastAsia="微软雅黑" w:cs="微软雅黑"/>
          <w:spacing w:val="4"/>
          <w:sz w:val="24"/>
          <w:szCs w:val="24"/>
          <w:lang w:val="en-US" w:eastAsia="zh-CN"/>
        </w:rPr>
        <w:t>16</w:t>
      </w:r>
      <w:r>
        <w:rPr>
          <w:rFonts w:hint="eastAsia" w:ascii="微软雅黑" w:hAnsi="微软雅黑" w:eastAsia="微软雅黑" w:cs="微软雅黑"/>
          <w:spacing w:val="4"/>
          <w:sz w:val="24"/>
          <w:szCs w:val="24"/>
          <w:lang w:eastAsia="zh-CN"/>
        </w:rPr>
        <w:t>%，报</w:t>
      </w:r>
      <w:r>
        <w:rPr>
          <w:rFonts w:hint="eastAsia" w:ascii="微软雅黑" w:hAnsi="微软雅黑" w:eastAsia="微软雅黑" w:cs="微软雅黑"/>
          <w:spacing w:val="4"/>
          <w:sz w:val="24"/>
          <w:szCs w:val="24"/>
          <w:lang w:val="en-US" w:eastAsia="zh-CN"/>
        </w:rPr>
        <w:t>89.96</w:t>
      </w:r>
      <w:r>
        <w:rPr>
          <w:rFonts w:hint="eastAsia" w:ascii="微软雅黑" w:hAnsi="微软雅黑" w:eastAsia="微软雅黑" w:cs="微软雅黑"/>
          <w:spacing w:val="4"/>
          <w:sz w:val="24"/>
          <w:szCs w:val="24"/>
          <w:lang w:eastAsia="zh-CN"/>
        </w:rPr>
        <w:t>美元/桶。国际贵金属期货</w:t>
      </w:r>
      <w:r>
        <w:rPr>
          <w:rFonts w:hint="eastAsia" w:ascii="微软雅黑" w:hAnsi="微软雅黑" w:eastAsia="微软雅黑" w:cs="微软雅黑"/>
          <w:spacing w:val="4"/>
          <w:sz w:val="24"/>
          <w:szCs w:val="24"/>
          <w:lang w:val="en-US" w:eastAsia="zh-CN"/>
        </w:rPr>
        <w:t>收盘涨跌不一</w:t>
      </w:r>
      <w:r>
        <w:rPr>
          <w:rFonts w:hint="eastAsia" w:ascii="微软雅黑" w:hAnsi="微软雅黑" w:eastAsia="微软雅黑" w:cs="微软雅黑"/>
          <w:spacing w:val="4"/>
          <w:sz w:val="24"/>
          <w:szCs w:val="24"/>
          <w:lang w:eastAsia="zh-CN"/>
        </w:rPr>
        <w:t>，COMEX黄金期货涨</w:t>
      </w:r>
      <w:r>
        <w:rPr>
          <w:rFonts w:hint="eastAsia" w:ascii="微软雅黑" w:hAnsi="微软雅黑" w:eastAsia="微软雅黑" w:cs="微软雅黑"/>
          <w:spacing w:val="4"/>
          <w:sz w:val="24"/>
          <w:szCs w:val="24"/>
          <w:lang w:val="en-US" w:eastAsia="zh-CN"/>
        </w:rPr>
        <w:t>0.69</w:t>
      </w:r>
      <w:r>
        <w:rPr>
          <w:rFonts w:hint="eastAsia" w:ascii="微软雅黑" w:hAnsi="微软雅黑" w:eastAsia="微软雅黑" w:cs="微软雅黑"/>
          <w:spacing w:val="4"/>
          <w:sz w:val="24"/>
          <w:szCs w:val="24"/>
          <w:lang w:eastAsia="zh-CN"/>
        </w:rPr>
        <w:t>%报2399.</w:t>
      </w:r>
      <w:r>
        <w:rPr>
          <w:rFonts w:hint="eastAsia" w:ascii="微软雅黑" w:hAnsi="微软雅黑" w:eastAsia="微软雅黑" w:cs="微软雅黑"/>
          <w:spacing w:val="4"/>
          <w:sz w:val="24"/>
          <w:szCs w:val="24"/>
          <w:lang w:val="en-US" w:eastAsia="zh-CN"/>
        </w:rPr>
        <w:t>5</w:t>
      </w:r>
      <w:r>
        <w:rPr>
          <w:rFonts w:hint="eastAsia" w:ascii="微软雅黑" w:hAnsi="微软雅黑" w:eastAsia="微软雅黑" w:cs="微软雅黑"/>
          <w:spacing w:val="4"/>
          <w:sz w:val="24"/>
          <w:szCs w:val="24"/>
          <w:lang w:eastAsia="zh-CN"/>
        </w:rPr>
        <w:t>美元/盎司，COMEX白银期货</w:t>
      </w:r>
      <w:r>
        <w:rPr>
          <w:rFonts w:hint="eastAsia" w:ascii="微软雅黑" w:hAnsi="微软雅黑" w:eastAsia="微软雅黑" w:cs="微软雅黑"/>
          <w:spacing w:val="4"/>
          <w:sz w:val="24"/>
          <w:szCs w:val="24"/>
          <w:lang w:val="en-US" w:eastAsia="zh-CN"/>
        </w:rPr>
        <w:t>跌1.85</w:t>
      </w:r>
      <w:r>
        <w:rPr>
          <w:rFonts w:hint="eastAsia" w:ascii="微软雅黑" w:hAnsi="微软雅黑" w:eastAsia="微软雅黑" w:cs="微软雅黑"/>
          <w:spacing w:val="4"/>
          <w:sz w:val="24"/>
          <w:szCs w:val="24"/>
          <w:lang w:eastAsia="zh-CN"/>
        </w:rPr>
        <w:t>%报28.</w:t>
      </w:r>
      <w:r>
        <w:rPr>
          <w:rFonts w:hint="eastAsia" w:ascii="微软雅黑" w:hAnsi="微软雅黑" w:eastAsia="微软雅黑" w:cs="微软雅黑"/>
          <w:spacing w:val="4"/>
          <w:sz w:val="24"/>
          <w:szCs w:val="24"/>
          <w:lang w:val="en-US" w:eastAsia="zh-CN"/>
        </w:rPr>
        <w:t>185</w:t>
      </w:r>
      <w:r>
        <w:rPr>
          <w:rFonts w:hint="eastAsia" w:ascii="微软雅黑" w:hAnsi="微软雅黑" w:eastAsia="微软雅黑" w:cs="微软雅黑"/>
          <w:spacing w:val="4"/>
          <w:sz w:val="24"/>
          <w:szCs w:val="24"/>
          <w:lang w:eastAsia="zh-CN"/>
        </w:rPr>
        <w:t>美元/盎司。LME期铜跌1.06%报9474.5美元/吨。ICE 5月原糖</w:t>
      </w:r>
      <w:r>
        <w:rPr>
          <w:rFonts w:hint="eastAsia" w:ascii="微软雅黑" w:hAnsi="微软雅黑" w:eastAsia="微软雅黑" w:cs="微软雅黑"/>
          <w:spacing w:val="4"/>
          <w:sz w:val="24"/>
          <w:szCs w:val="24"/>
          <w:lang w:val="en-US" w:eastAsia="zh-CN"/>
        </w:rPr>
        <w:t>期货合约</w:t>
      </w:r>
      <w:r>
        <w:rPr>
          <w:rFonts w:hint="eastAsia" w:ascii="微软雅黑" w:hAnsi="微软雅黑" w:eastAsia="微软雅黑" w:cs="微软雅黑"/>
          <w:spacing w:val="4"/>
          <w:sz w:val="24"/>
          <w:szCs w:val="24"/>
          <w:lang w:eastAsia="zh-CN"/>
        </w:rPr>
        <w:t>收</w:t>
      </w:r>
      <w:r>
        <w:rPr>
          <w:rFonts w:hint="eastAsia" w:ascii="微软雅黑" w:hAnsi="微软雅黑" w:eastAsia="微软雅黑" w:cs="微软雅黑"/>
          <w:spacing w:val="4"/>
          <w:sz w:val="24"/>
          <w:szCs w:val="24"/>
          <w:lang w:val="en-US" w:eastAsia="zh-CN"/>
        </w:rPr>
        <w:t>跌1.71%</w:t>
      </w:r>
      <w:r>
        <w:rPr>
          <w:rFonts w:hint="eastAsia" w:ascii="微软雅黑" w:hAnsi="微软雅黑" w:eastAsia="微软雅黑" w:cs="微软雅黑"/>
          <w:spacing w:val="4"/>
          <w:sz w:val="24"/>
          <w:szCs w:val="24"/>
          <w:lang w:eastAsia="zh-CN"/>
        </w:rPr>
        <w:t>，结算价报</w:t>
      </w:r>
      <w:r>
        <w:rPr>
          <w:rFonts w:hint="eastAsia" w:ascii="微软雅黑" w:hAnsi="微软雅黑" w:eastAsia="微软雅黑" w:cs="微软雅黑"/>
          <w:spacing w:val="4"/>
          <w:sz w:val="24"/>
          <w:szCs w:val="24"/>
          <w:lang w:val="en-US" w:eastAsia="zh-CN"/>
        </w:rPr>
        <w:t>19.53</w:t>
      </w:r>
      <w:r>
        <w:rPr>
          <w:rFonts w:hint="eastAsia" w:ascii="微软雅黑" w:hAnsi="微软雅黑" w:eastAsia="微软雅黑" w:cs="微软雅黑"/>
          <w:spacing w:val="4"/>
          <w:sz w:val="24"/>
          <w:szCs w:val="24"/>
          <w:lang w:eastAsia="zh-CN"/>
        </w:rPr>
        <w:t>美分/磅。ICE 5月期棉</w:t>
      </w:r>
      <w:r>
        <w:rPr>
          <w:rFonts w:hint="eastAsia" w:ascii="微软雅黑" w:hAnsi="微软雅黑" w:eastAsia="微软雅黑" w:cs="微软雅黑"/>
          <w:spacing w:val="4"/>
          <w:sz w:val="24"/>
          <w:szCs w:val="24"/>
          <w:lang w:val="en-US" w:eastAsia="zh-CN"/>
        </w:rPr>
        <w:t>期货合约</w:t>
      </w:r>
      <w:r>
        <w:rPr>
          <w:rFonts w:hint="eastAsia" w:ascii="微软雅黑" w:hAnsi="微软雅黑" w:eastAsia="微软雅黑" w:cs="微软雅黑"/>
          <w:spacing w:val="12"/>
          <w:sz w:val="24"/>
          <w:szCs w:val="24"/>
        </w:rPr>
        <w:t>收</w:t>
      </w:r>
      <w:r>
        <w:rPr>
          <w:rFonts w:hint="eastAsia" w:ascii="微软雅黑" w:hAnsi="微软雅黑" w:eastAsia="微软雅黑" w:cs="微软雅黑"/>
          <w:spacing w:val="12"/>
          <w:sz w:val="24"/>
          <w:szCs w:val="24"/>
          <w:lang w:val="en-US" w:eastAsia="zh-CN"/>
        </w:rPr>
        <w:t>跌2.64</w:t>
      </w:r>
      <w:r>
        <w:rPr>
          <w:rFonts w:hint="eastAsia" w:ascii="微软雅黑" w:hAnsi="微软雅黑" w:eastAsia="微软雅黑" w:cs="微软雅黑"/>
          <w:spacing w:val="12"/>
          <w:sz w:val="24"/>
          <w:szCs w:val="24"/>
        </w:rPr>
        <w:t>%</w:t>
      </w:r>
      <w:r>
        <w:rPr>
          <w:rFonts w:hint="eastAsia" w:ascii="微软雅黑" w:hAnsi="微软雅黑" w:eastAsia="微软雅黑" w:cs="微软雅黑"/>
          <w:spacing w:val="4"/>
          <w:sz w:val="24"/>
          <w:szCs w:val="24"/>
          <w:lang w:eastAsia="zh-CN"/>
        </w:rPr>
        <w:t>，结算价报</w:t>
      </w:r>
      <w:r>
        <w:rPr>
          <w:rFonts w:hint="eastAsia" w:ascii="微软雅黑" w:hAnsi="微软雅黑" w:eastAsia="微软雅黑" w:cs="微软雅黑"/>
          <w:spacing w:val="4"/>
          <w:sz w:val="24"/>
          <w:szCs w:val="24"/>
          <w:lang w:val="en-US" w:eastAsia="zh-CN"/>
        </w:rPr>
        <w:t>83.09美</w:t>
      </w:r>
      <w:r>
        <w:rPr>
          <w:rFonts w:hint="eastAsia" w:ascii="微软雅黑" w:hAnsi="微软雅黑" w:eastAsia="微软雅黑" w:cs="微软雅黑"/>
          <w:spacing w:val="4"/>
          <w:sz w:val="24"/>
          <w:szCs w:val="24"/>
          <w:lang w:eastAsia="zh-CN"/>
        </w:rPr>
        <w:t>分/磅。</w:t>
      </w:r>
    </w:p>
    <w:p>
      <w:pPr>
        <w:spacing w:before="235" w:line="176" w:lineRule="auto"/>
        <w:jc w:val="both"/>
        <w:rPr>
          <w:rFonts w:hint="default" w:ascii="微软雅黑" w:hAnsi="微软雅黑" w:eastAsia="微软雅黑" w:cs="微软雅黑"/>
          <w:spacing w:val="7"/>
          <w:sz w:val="21"/>
          <w:szCs w:val="21"/>
          <w:lang w:val="en-US" w:eastAsia="zh-CN"/>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t>
      </w:r>
    </w:p>
    <w:p>
      <w:pPr>
        <w:spacing w:before="235" w:line="176" w:lineRule="auto"/>
        <w:jc w:val="both"/>
        <w:rPr>
          <w:rFonts w:hint="eastAsia"/>
          <w:lang w:eastAsia="zh-CN"/>
        </w:rPr>
      </w:pPr>
      <w:r>
        <w:drawing>
          <wp:inline distT="0" distB="0" distL="114300" distR="114300">
            <wp:extent cx="5922645" cy="2990850"/>
            <wp:effectExtent l="0" t="0" r="1905"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2"/>
                    <a:srcRect l="1193" t="12447" r="7059" b="3549"/>
                    <a:stretch>
                      <a:fillRect/>
                    </a:stretch>
                  </pic:blipFill>
                  <pic:spPr>
                    <a:xfrm>
                      <a:off x="0" y="0"/>
                      <a:ext cx="5922645" cy="2990850"/>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公开资料整理、瑞达国际</w:t>
      </w:r>
    </w:p>
    <w:p>
      <w:pPr>
        <w:pStyle w:val="2"/>
        <w:spacing w:line="282" w:lineRule="auto"/>
      </w:pPr>
    </w:p>
    <w:p>
      <w:pPr>
        <w:pStyle w:val="2"/>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w:t>
      </w:r>
      <w:r>
        <w:rPr>
          <w:rFonts w:hint="eastAsia" w:ascii="微软雅黑" w:hAnsi="微软雅黑" w:eastAsia="微软雅黑" w:cs="微软雅黑"/>
          <w:spacing w:val="4"/>
          <w:sz w:val="24"/>
          <w:szCs w:val="24"/>
          <w:lang w:val="en-US" w:eastAsia="zh-CN"/>
        </w:rPr>
        <w:t>据塔斯社最新报道，俄罗斯财政部考虑取消黄金出口关税。这一措施与俄罗斯自6月1日开始到2024年末，将上调对黄金征收的矿业开采税（MET）有关。</w:t>
      </w:r>
      <w:r>
        <w:rPr>
          <w:rFonts w:hint="eastAsia" w:ascii="微软雅黑" w:hAnsi="微软雅黑" w:eastAsia="微软雅黑" w:cs="微软雅黑"/>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w:t>
      </w:r>
      <w:r>
        <w:rPr>
          <w:rFonts w:hint="eastAsia" w:ascii="微软雅黑" w:hAnsi="微软雅黑" w:eastAsia="微软雅黑" w:cs="微软雅黑"/>
          <w:spacing w:val="4"/>
          <w:sz w:val="24"/>
          <w:szCs w:val="24"/>
          <w:lang w:val="en-US" w:eastAsia="zh-CN"/>
        </w:rPr>
        <w:t>上期所公告，自2024年4月17日收盘结算时起，铜、铝期货合约的涨跌停板幅度调整为7%，套保交易保证金比例调整为8%，投机交易保证金比例调整为9%。黄金、白银期货合约的涨跌停板幅度调整为8%，套保交易保证金比例调整为9%，投机交易保证金比例调整为10%。</w:t>
      </w:r>
      <w:r>
        <w:rPr>
          <w:rFonts w:hint="eastAsia" w:ascii="微软雅黑" w:hAnsi="微软雅黑" w:eastAsia="微软雅黑" w:cs="微软雅黑"/>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b/>
          <w:bCs/>
          <w:color w:val="036EB8"/>
          <w:spacing w:val="15"/>
          <w:sz w:val="28"/>
          <w:szCs w:val="28"/>
          <w:lang w:val="en-US" w:eastAsia="zh-CN"/>
        </w:rPr>
      </w:pPr>
      <w:r>
        <w:rPr>
          <w:rFonts w:hint="eastAsia" w:ascii="微软雅黑" w:hAnsi="微软雅黑" w:eastAsia="微软雅黑" w:cs="微软雅黑"/>
          <w:spacing w:val="4"/>
          <w:sz w:val="24"/>
          <w:szCs w:val="24"/>
          <w:lang w:eastAsia="zh-CN"/>
        </w:rPr>
        <w:t>【国际货币基金组织（IMF）预计，2024-2025年，全球经济均将继续以3.2%的增速增长，全球总体通胀和核心通胀将稳步下降。】</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w:t>
      </w:r>
      <w:r>
        <w:rPr>
          <w:rFonts w:hint="eastAsia" w:ascii="微软雅黑" w:hAnsi="微软雅黑" w:eastAsia="微软雅黑" w:cs="微软雅黑"/>
          <w:spacing w:val="4"/>
          <w:sz w:val="24"/>
          <w:szCs w:val="24"/>
          <w:lang w:val="en-US" w:eastAsia="zh-CN"/>
        </w:rPr>
        <w:t>美联储主席鲍威尔表示，美国经济表现强劲，降通胀缺乏新进展，重申美联储不见证据不降息。</w:t>
      </w:r>
      <w:r>
        <w:rPr>
          <w:rFonts w:hint="eastAsia" w:ascii="微软雅黑" w:hAnsi="微软雅黑" w:eastAsia="微软雅黑" w:cs="微软雅黑"/>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【美国3月新屋开工年化总数132.1万户，预期148.3万户，前值152.1万户；环比下降14.7%，预期降2.6%，前值升10.7%。】</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【美国3月营建许可年化总数145.8万户，预期151.5万户，前值从151.8万户修正为152.4万户；环比下降4.3%，预期降0.9%，前值从升1.9%修正为升2.4%。】</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【美国3月工业产出环比上升0.4%，预期升0.4%，前值升0.1%；产能利用率78.4%，预期78.5%，前值78.3%。3月制造业产出环比上升0.5%，预期升0.3%，前值升0.8%；产能利用率77.4%，前值77.0%。】</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【欧洲央行行长拉加德表示，除非有重大意外，否则欧洲央行将很快降息，不会预先承诺特定的利率路径。】</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【欧盟领导人将重启消除欧盟资本市场之间国家壁垒计划，目前正竞相筹集数千亿欧元，为迅速扩大欧洲大陆防务能力和绿色转型提供资金。】</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【欧元区2月季调后贸易帐顺差179亿欧元，预期顺差218亿欧元，前值顺差281亿欧元；未季调贸易帐顺差236亿欧元，前值顺差114亿欧元。】</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【欧元区4月ZEW经济景气指数43.9，前值33.5；经济现况指数-48.8，前值-54.8。德国4月ZEW经济景气指数42.9，预期36.0，前值31.7；经济现况指数-79.2，预期-76.0，前值-80.5。】</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default"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eastAsia="zh-CN"/>
        </w:rPr>
        <w:t>【英国至2月三个月ILO失业率4.2%，预期4%，前值3.9%；3月失业率4.04%，前值4.00%；失业金申请人数增加1.09万人，前值增1.68万人。】</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【英国央行行长贝利</w:t>
      </w:r>
      <w:r>
        <w:rPr>
          <w:rFonts w:hint="eastAsia" w:ascii="微软雅黑" w:hAnsi="微软雅黑" w:eastAsia="微软雅黑" w:cs="微软雅黑"/>
          <w:spacing w:val="4"/>
          <w:sz w:val="24"/>
          <w:szCs w:val="24"/>
          <w:lang w:val="en-US" w:eastAsia="zh-CN"/>
        </w:rPr>
        <w:t>表示</w:t>
      </w:r>
      <w:r>
        <w:rPr>
          <w:rFonts w:hint="eastAsia" w:ascii="微软雅黑" w:hAnsi="微软雅黑" w:eastAsia="微软雅黑" w:cs="微软雅黑"/>
          <w:spacing w:val="4"/>
          <w:sz w:val="24"/>
          <w:szCs w:val="24"/>
          <w:lang w:eastAsia="zh-CN"/>
        </w:rPr>
        <w:t>，美国需求主导的通胀压力比英国更大，英国可能会先于美国降低利率。】</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巴西中央银行发布报告，将该国2024年国内生产总值（GDP）增长预期由1.90%上调至1.95%，这是巴西央行连续第9次上调该国经济增长预期。同时，将2024年预期通胀率由3.76%下调至3.71%；将2025年预期通胀率由3.53%上调至3.56%。】</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w:t>
      </w:r>
      <w:r>
        <w:rPr>
          <w:rFonts w:hint="eastAsia" w:ascii="微软雅黑" w:hAnsi="微软雅黑" w:eastAsia="微软雅黑" w:cs="微软雅黑"/>
          <w:spacing w:val="4"/>
          <w:sz w:val="24"/>
          <w:szCs w:val="24"/>
          <w:lang w:val="en-US" w:eastAsia="zh-CN"/>
        </w:rPr>
        <w:t>SCFI指数连续两周上涨，多家航运公司宣布上调运费及附加费，远东地区至南美航线运价走势最强劲。</w:t>
      </w:r>
      <w:r>
        <w:rPr>
          <w:rFonts w:hint="eastAsia" w:ascii="微软雅黑" w:hAnsi="微软雅黑" w:eastAsia="微软雅黑" w:cs="微软雅黑"/>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jc w:val="both"/>
        <w:textAlignment w:val="baseline"/>
        <w:rPr>
          <w:rFonts w:hint="eastAsia" w:ascii="微软雅黑" w:hAnsi="微软雅黑" w:eastAsia="微软雅黑" w:cs="微软雅黑"/>
          <w:spacing w:val="4"/>
          <w:sz w:val="24"/>
          <w:szCs w:val="24"/>
          <w:lang w:eastAsia="zh-CN"/>
        </w:rPr>
      </w:pP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jc w:val="both"/>
        <w:textAlignment w:val="baseline"/>
        <w:rPr>
          <w:rFonts w:hint="eastAsia" w:ascii="微软雅黑" w:hAnsi="微软雅黑" w:eastAsia="微软雅黑" w:cs="微软雅黑"/>
          <w:spacing w:val="4"/>
          <w:sz w:val="24"/>
          <w:szCs w:val="24"/>
          <w:lang w:eastAsia="zh-CN"/>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2"/>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1"/>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1"/>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1"/>
              <w:spacing w:before="228"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17</w:t>
            </w:r>
          </w:p>
        </w:tc>
        <w:tc>
          <w:tcPr>
            <w:tcW w:w="1143" w:type="dxa"/>
            <w:vAlign w:val="top"/>
          </w:tcPr>
          <w:p>
            <w:pPr>
              <w:pStyle w:val="11"/>
              <w:spacing w:before="243" w:line="172" w:lineRule="auto"/>
              <w:ind w:left="94" w:leftChars="0"/>
              <w:jc w:val="left"/>
              <w:rPr>
                <w:rFonts w:hint="default"/>
                <w:sz w:val="19"/>
                <w:szCs w:val="19"/>
                <w:lang w:val="en-US"/>
              </w:rPr>
            </w:pPr>
            <w:r>
              <w:rPr>
                <w:rFonts w:hint="eastAsia"/>
                <w:b/>
                <w:bCs/>
                <w:spacing w:val="6"/>
                <w:sz w:val="19"/>
                <w:szCs w:val="19"/>
                <w:lang w:val="en-US" w:eastAsia="zh-CN"/>
              </w:rPr>
              <w:t>07：50</w:t>
            </w:r>
          </w:p>
        </w:tc>
        <w:tc>
          <w:tcPr>
            <w:tcW w:w="6679" w:type="dxa"/>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日本3月进</w:t>
            </w:r>
            <w:r>
              <w:rPr>
                <w:rFonts w:hint="eastAsia"/>
                <w:sz w:val="19"/>
                <w:szCs w:val="19"/>
                <w:lang w:val="en-US" w:eastAsia="zh-CN"/>
              </w:rPr>
              <w:t>出</w:t>
            </w:r>
            <w:r>
              <w:rPr>
                <w:rFonts w:hint="default" w:eastAsia="微软雅黑"/>
                <w:sz w:val="19"/>
                <w:szCs w:val="19"/>
                <w:lang w:val="en-US" w:eastAsia="zh-CN"/>
              </w:rPr>
              <w:t>口</w:t>
            </w:r>
            <w:r>
              <w:rPr>
                <w:rFonts w:hint="eastAsia"/>
                <w:sz w:val="19"/>
                <w:szCs w:val="19"/>
                <w:lang w:val="en-US" w:eastAsia="zh-CN"/>
              </w:rPr>
              <w:t>、3月季调后商品贸易帐</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1"/>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17</w:t>
            </w:r>
          </w:p>
        </w:tc>
        <w:tc>
          <w:tcPr>
            <w:tcW w:w="1143" w:type="dxa"/>
            <w:shd w:val="clear" w:color="auto" w:fill="D3EAFF"/>
            <w:vAlign w:val="top"/>
          </w:tcPr>
          <w:p>
            <w:pPr>
              <w:pStyle w:val="11"/>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en-US" w:bidi="ar-SA"/>
              </w:rPr>
            </w:pPr>
            <w:r>
              <w:rPr>
                <w:rFonts w:hint="eastAsia"/>
                <w:b/>
                <w:bCs/>
                <w:spacing w:val="5"/>
                <w:sz w:val="19"/>
                <w:szCs w:val="19"/>
                <w:lang w:val="en-US" w:eastAsia="zh-CN"/>
              </w:rPr>
              <w:t>14：00</w:t>
            </w:r>
          </w:p>
        </w:tc>
        <w:tc>
          <w:tcPr>
            <w:tcW w:w="6679" w:type="dxa"/>
            <w:shd w:val="clear" w:color="auto" w:fill="D3EAFF"/>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英国3月核心零售物价指数</w:t>
            </w:r>
            <w:r>
              <w:rPr>
                <w:rFonts w:hint="eastAsia"/>
                <w:sz w:val="19"/>
                <w:szCs w:val="19"/>
                <w:lang w:val="en-US" w:eastAsia="zh-CN"/>
              </w:rPr>
              <w:t>、3月CPI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1"/>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17</w:t>
            </w:r>
          </w:p>
        </w:tc>
        <w:tc>
          <w:tcPr>
            <w:tcW w:w="1143" w:type="dxa"/>
            <w:vAlign w:val="top"/>
          </w:tcPr>
          <w:p>
            <w:pPr>
              <w:pStyle w:val="11"/>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17：00</w:t>
            </w:r>
          </w:p>
        </w:tc>
        <w:tc>
          <w:tcPr>
            <w:tcW w:w="6679" w:type="dxa"/>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欧元区3月核心调和CPI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1"/>
              <w:spacing w:before="230"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17</w:t>
            </w:r>
          </w:p>
        </w:tc>
        <w:tc>
          <w:tcPr>
            <w:tcW w:w="1143" w:type="dxa"/>
            <w:shd w:val="clear" w:color="auto" w:fill="D3EAFF"/>
            <w:vAlign w:val="top"/>
          </w:tcPr>
          <w:p>
            <w:pPr>
              <w:pStyle w:val="11"/>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22：30</w:t>
            </w:r>
          </w:p>
        </w:tc>
        <w:tc>
          <w:tcPr>
            <w:tcW w:w="6679" w:type="dxa"/>
            <w:shd w:val="clear" w:color="auto" w:fill="D3EAFF"/>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美国4月12日当周EIA精炼油库存变动</w:t>
            </w:r>
          </w:p>
        </w:tc>
      </w:tr>
    </w:tbl>
    <w:p>
      <w:pPr>
        <w:spacing w:before="120" w:line="190" w:lineRule="auto"/>
        <w:rPr>
          <w:rFonts w:ascii="微软雅黑" w:hAnsi="微软雅黑" w:eastAsia="微软雅黑" w:cs="微软雅黑"/>
          <w:color w:val="036EB8"/>
          <w:position w:val="-4"/>
          <w:sz w:val="28"/>
          <w:szCs w:val="28"/>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周三，美元指数涨0.15%报106.37，非美货币普遍下跌，欧元兑美元跌0.06%报1.0619，英镑兑美元跌0.15%报1.2425，澳元兑美元跌0.62%报0.6402，美元兑日元涨0.29%报154.72。昨日美联储主席鲍威尔于公开演讲中表示，最近的通胀数据表明央行可能需要更长的时间才能获得降息所需的信心。如果价格压力持续存在，只要有需要，美联储可以保持利率稳定。整体发言基调偏鹰，市场或提高整体利率预期。非美国家方面，英国央行行长贝利暗示，因两个经济体的通胀动态正在分化，英国可能会先于美国降低利率。而欧洲央行行长拉加德表示，除非有重大意外，否则欧洲央行将很快降息。非美央行于年内早于美联储降息预期或持续加重，整体或使预期利差走阔。往后看，短期内在数据仍旧显示美国经济韧性尚存的情况下，美国利率预期水平或维持于高位，叠加美国与非美国家利差预期走阔，美元指数或得到一定提振。</w:t>
      </w:r>
    </w:p>
    <w:p>
      <w:pPr>
        <w:spacing w:before="235" w:line="176" w:lineRule="auto"/>
        <w:jc w:val="both"/>
        <w:rPr>
          <w:rFonts w:hint="default" w:ascii="微软雅黑" w:hAnsi="微软雅黑" w:eastAsia="微软雅黑" w:cs="微软雅黑"/>
          <w:spacing w:val="12"/>
          <w:sz w:val="24"/>
          <w:szCs w:val="24"/>
          <w:lang w:val="en-US" w:eastAsia="zh-CN"/>
        </w:rPr>
      </w:pPr>
      <w:r>
        <w:rPr>
          <w:rFonts w:ascii="微软雅黑" w:hAnsi="微软雅黑" w:eastAsia="微软雅黑" w:cs="微软雅黑"/>
          <w:spacing w:val="7"/>
          <w:sz w:val="21"/>
          <w:szCs w:val="21"/>
        </w:rPr>
        <w:t>图表</w:t>
      </w:r>
      <w:r>
        <w:rPr>
          <w:rFonts w:hint="eastAsia" w:ascii="微软雅黑" w:hAnsi="微软雅黑" w:eastAsia="微软雅黑" w:cs="微软雅黑"/>
          <w:spacing w:val="7"/>
          <w:sz w:val="21"/>
          <w:szCs w:val="21"/>
          <w:lang w:val="en-US" w:eastAsia="zh-CN"/>
        </w:rPr>
        <w:t>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美元指数走势图</w:t>
      </w:r>
    </w:p>
    <w:p>
      <w:pPr>
        <w:spacing w:before="103" w:line="256" w:lineRule="auto"/>
        <w:ind w:right="743"/>
        <w:jc w:val="both"/>
      </w:pPr>
      <w:r>
        <w:drawing>
          <wp:inline distT="0" distB="0" distL="114300" distR="114300">
            <wp:extent cx="6109970" cy="1734185"/>
            <wp:effectExtent l="0" t="0" r="5080" b="184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3"/>
                    <a:stretch>
                      <a:fillRect/>
                    </a:stretch>
                  </pic:blipFill>
                  <pic:spPr>
                    <a:xfrm>
                      <a:off x="0" y="0"/>
                      <a:ext cx="6109970" cy="1734185"/>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rPr>
        <w:t>截至4月17日，标普500指数收跌0.21%至5051.41点；迷你标普500主力合约收跌0.13%至5094.5点。美股周二收盘涨跌不一，道指结束六连跌。美债收益率继续攀升，10年期美债收益率逼近4.7%。美联储主席鲍威尔暗示顽固通胀可能令央行在更长时间内维持高利率政策。美联储副主席杰斐逊表示，维持利率不变有助于降低通胀水平。策略上，短线观望为主。</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120" w:line="190" w:lineRule="auto"/>
        <w:jc w:val="both"/>
        <w:rPr>
          <w:rFonts w:ascii="新宋体" w:hAnsi="新宋体" w:eastAsia="新宋体"/>
          <w:b/>
        </w:rPr>
      </w:pPr>
      <w:r>
        <w:drawing>
          <wp:inline distT="0" distB="0" distL="0" distR="0">
            <wp:extent cx="6111875" cy="2012950"/>
            <wp:effectExtent l="0" t="0" r="3175"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4"/>
                    <a:stretch>
                      <a:fillRect/>
                    </a:stretch>
                  </pic:blipFill>
                  <pic:spPr>
                    <a:xfrm>
                      <a:off x="0" y="0"/>
                      <a:ext cx="6111875" cy="2012950"/>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235" w:line="176"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截至4月16日，富时中国A50指数收跌0.41%至12163.52点；新交所富时A50期指主力合约收跌0.29%至12187点。一季度经济数据出炉，总体表现超过预期，但固投端结构性矛盾仍存，内需修复仍需时间。考虑到当前基本面偏弱，外围不确定性因素增加，4月政治局会议召开前市场较难有大利好支持，不排除进一步整理。策略上，短线观望为主。</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富时中国A50走势图</w:t>
      </w:r>
    </w:p>
    <w:p>
      <w:pPr>
        <w:spacing w:before="103" w:line="256" w:lineRule="auto"/>
        <w:ind w:right="743"/>
        <w:jc w:val="both"/>
        <w:rPr>
          <w:rFonts w:ascii="新宋体" w:hAnsi="新宋体" w:eastAsia="新宋体"/>
        </w:rPr>
      </w:pPr>
      <w:r>
        <w:drawing>
          <wp:inline distT="0" distB="0" distL="0" distR="0">
            <wp:extent cx="6078220" cy="2013585"/>
            <wp:effectExtent l="0" t="0" r="1778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5"/>
                    <a:stretch>
                      <a:fillRect/>
                    </a:stretch>
                  </pic:blipFill>
                  <pic:spPr>
                    <a:xfrm>
                      <a:off x="0" y="0"/>
                      <a:ext cx="6078220" cy="2013585"/>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before="103" w:line="256" w:lineRule="auto"/>
        <w:ind w:right="743" w:firstLine="528" w:firstLineChars="200"/>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隔夜COMEX铜震荡偏弱，其中2405合约报收4.297美元/磅，涨跌幅-1.87%。国际方面，美联储主席鲍威尔：最近的数据显示今年通胀进展不足，对通胀信心的恢复可能需要更长时间。鲍威尔发言后，美元指数继续走强，最终收涨报106.37，美债收益率延续涨势。国内方面，国家统计局：一季度国内生产总值同比增长5.3%；社会消费品零售总额同比增长4.7%；房地产开发投资同比下降9.5%；工业增加值同比增长6.1%；居民人均可支配收入为11539元，同比增6.2%；城镇调查失业率平均值为5.2%。库存方面，截至4月16日，LME铜库存为123875吨，环比+400吨；COMEX铜库存28170短吨，环比-537短吨；SHFE每日仓单234303吨，环比+4286吨。操作上，建议COMEX铜2405合约轻仓震荡偏多交易，注意交易节奏及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铜日线走势图</w:t>
      </w:r>
    </w:p>
    <w:p>
      <w:pPr>
        <w:spacing w:before="103" w:line="256" w:lineRule="auto"/>
        <w:ind w:right="743"/>
        <w:jc w:val="both"/>
      </w:pPr>
      <w:r>
        <w:drawing>
          <wp:inline distT="0" distB="0" distL="0" distR="0">
            <wp:extent cx="6130925" cy="2308225"/>
            <wp:effectExtent l="0" t="0" r="3175" b="158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stretch>
                      <a:fillRect/>
                    </a:stretch>
                  </pic:blipFill>
                  <pic:spPr>
                    <a:xfrm>
                      <a:off x="0" y="0"/>
                      <a:ext cx="6130925" cy="2308225"/>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资料来源：同花顺、瑞达国际</w:t>
      </w:r>
    </w:p>
    <w:p>
      <w:pPr>
        <w:spacing w:before="103" w:line="256" w:lineRule="auto"/>
        <w:ind w:right="743"/>
        <w:jc w:val="both"/>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消息面：昨日美联储主席鲍威尔于公开演讲中表示，最近的通胀数据表明央行可能需要更长的时间才能获得降息所需的信心。如果价格压力持续存在，只要有需要，美联储可以保持利率稳定。整体发言基调偏鹰，市场或提高整体利率预期。除此之外，非美国家央行于近期纷纷表示将提早降息，后继美国与非美国家利差预期或持续走阔。</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外盘持仓方面：截至4月16日，SPDR Gold Trust黄金ETF持仓量为830.18吨，较上一交易日增加1.73吨。</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往后看，短期内在数据仍旧显示美国经济韧性尚存的情况下，美国利率预期水平或维持于高位，叠加美国与非美国家利差预期走阔，美元指数及美债收益率或得到一定提振，冲高后短期内受美债收益率走高影响或相对承压。操作上建议，日内轻仓做空，请投资者注意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r>
        <w:rPr>
          <w:rFonts w:hint="eastAsia" w:ascii="微软雅黑" w:hAnsi="微软雅黑" w:eastAsia="微软雅黑" w:cs="微软雅黑"/>
          <w:spacing w:val="7"/>
          <w:sz w:val="21"/>
          <w:szCs w:val="21"/>
          <w:lang w:val="en-US" w:eastAsia="zh-CN"/>
        </w:rPr>
        <w:t xml:space="preserve">  </w:t>
      </w:r>
    </w:p>
    <w:p>
      <w:pPr>
        <w:spacing w:before="103" w:line="256" w:lineRule="auto"/>
        <w:ind w:right="743"/>
        <w:jc w:val="both"/>
      </w:pPr>
      <w:r>
        <w:drawing>
          <wp:inline distT="0" distB="0" distL="114300" distR="114300">
            <wp:extent cx="6108700" cy="1899920"/>
            <wp:effectExtent l="0" t="0" r="6350" b="508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7"/>
                    <a:stretch>
                      <a:fillRect/>
                    </a:stretch>
                  </pic:blipFill>
                  <pic:spPr>
                    <a:xfrm>
                      <a:off x="0" y="0"/>
                      <a:ext cx="6108700" cy="189992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left="528" w:right="743" w:hanging="528" w:hangingChars="200"/>
        <w:jc w:val="both"/>
        <w:rPr>
          <w:rFonts w:hint="eastAsia" w:ascii="微软雅黑" w:hAnsi="微软雅黑" w:eastAsia="微软雅黑" w:cs="微软雅黑"/>
          <w:b/>
          <w:bCs/>
          <w:spacing w:val="12"/>
          <w:sz w:val="24"/>
          <w:szCs w:val="24"/>
          <w:lang w:val="en-US" w:eastAsia="zh-CN"/>
        </w:rPr>
      </w:pPr>
    </w:p>
    <w:p>
      <w:pPr>
        <w:spacing w:before="103" w:line="256" w:lineRule="auto"/>
        <w:ind w:left="528" w:right="743" w:hanging="528" w:hangingChars="200"/>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原油</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国际原油市场小幅回落，布伦特原油6月期货合约结算价报90.02美元/桶，跌幅0.1%；美国WTI原油5月期货合约结算价报85.36元/桶，跌幅0.1%。美国零售数据表现强劲，市场削弱美联储降息预期，美元指数处于五个月高点。欧佩克联盟产油国将自愿减产措施延长到二季度，沙特将自愿减产100万桶/日，俄罗斯将在二季度自愿削减供应47.1万桶/日；国际能源署下调全球原油需求增幅预估；中东地缘局势持续紧张，以色列已决定对伊朗袭击作出反击但时机未定，美国将对伊朗实施新制裁，市场权衡地缘局势与美联储降息推迟影响，短线原油期价呈现强势震荡。短线上海原油期价呈现高位震荡走势，建议短线交易为主，支撑位：84；压力位：86.5。</w:t>
      </w:r>
    </w:p>
    <w:p>
      <w:pPr>
        <w:spacing w:before="103" w:line="256" w:lineRule="auto"/>
        <w:ind w:right="743"/>
        <w:jc w:val="both"/>
        <w:rPr>
          <w:rFonts w:hint="default" w:ascii="微软雅黑" w:hAnsi="微软雅黑" w:eastAsia="微软雅黑" w:cs="微软雅黑"/>
          <w:spacing w:val="12"/>
          <w:sz w:val="24"/>
          <w:szCs w:val="24"/>
          <w:lang w:val="en-US"/>
        </w:rPr>
      </w:pPr>
      <w:r>
        <w:rPr>
          <w:rFonts w:hint="eastAsia" w:ascii="微软雅黑" w:hAnsi="微软雅黑" w:eastAsia="微软雅黑" w:cs="微软雅黑"/>
          <w:spacing w:val="7"/>
          <w:sz w:val="21"/>
          <w:szCs w:val="21"/>
          <w:lang w:val="en-US" w:eastAsia="zh-CN"/>
        </w:rPr>
        <w:t>图7：原油（WTI）走势图</w:t>
      </w:r>
    </w:p>
    <w:p>
      <w:pPr>
        <w:spacing w:before="103" w:line="256" w:lineRule="auto"/>
        <w:ind w:right="743"/>
        <w:jc w:val="both"/>
        <w:rPr>
          <w:rFonts w:hint="eastAsia" w:ascii="微软雅黑" w:hAnsi="微软雅黑" w:eastAsia="微软雅黑" w:cs="微软雅黑"/>
          <w:spacing w:val="12"/>
          <w:sz w:val="24"/>
          <w:szCs w:val="24"/>
        </w:rPr>
      </w:pPr>
      <w:r>
        <w:drawing>
          <wp:inline distT="0" distB="0" distL="0" distR="0">
            <wp:extent cx="6169025" cy="2291715"/>
            <wp:effectExtent l="0" t="0" r="3175" b="133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8"/>
                    <a:stretch>
                      <a:fillRect/>
                    </a:stretch>
                  </pic:blipFill>
                  <pic:spPr>
                    <a:xfrm>
                      <a:off x="0" y="0"/>
                      <a:ext cx="6169025" cy="2291715"/>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default"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ICE</w:t>
      </w:r>
      <w:bookmarkStart w:id="0" w:name="OLE_LINK4"/>
      <w:bookmarkStart w:id="1" w:name="OLE_LINK3"/>
      <w:r>
        <w:rPr>
          <w:rFonts w:hint="eastAsia" w:ascii="微软雅黑" w:hAnsi="微软雅黑" w:eastAsia="微软雅黑" w:cs="微软雅黑"/>
          <w:b/>
          <w:bCs/>
          <w:spacing w:val="12"/>
          <w:sz w:val="24"/>
          <w:szCs w:val="24"/>
          <w:lang w:val="en-US" w:eastAsia="zh-CN"/>
        </w:rPr>
        <w:t>棉花</w:t>
      </w:r>
    </w:p>
    <w:bookmarkEnd w:id="0"/>
    <w:bookmarkEnd w:id="1"/>
    <w:p>
      <w:pPr>
        <w:spacing w:before="103" w:line="256" w:lineRule="auto"/>
        <w:ind w:right="743" w:firstLine="528" w:firstLineChars="200"/>
        <w:jc w:val="both"/>
        <w:rPr>
          <w:rFonts w:hint="eastAsia" w:ascii="微软雅黑" w:hAnsi="微软雅黑" w:eastAsia="微软雅黑" w:cs="微软雅黑"/>
          <w:spacing w:val="12"/>
          <w:sz w:val="24"/>
          <w:szCs w:val="24"/>
          <w:lang w:val="zh-CN" w:eastAsia="zh-CN"/>
        </w:rPr>
      </w:pPr>
      <w:r>
        <w:rPr>
          <w:rFonts w:hint="eastAsia" w:ascii="微软雅黑" w:hAnsi="微软雅黑" w:eastAsia="微软雅黑" w:cs="微软雅黑"/>
          <w:spacing w:val="12"/>
          <w:sz w:val="24"/>
          <w:szCs w:val="24"/>
          <w:lang w:val="zh-CN" w:eastAsia="zh-CN"/>
        </w:rPr>
        <w:t>洲际交易所(ICE)棉花期货周二跌逾2%，受累于多头平仓，且美元走强及周边市场低迷人气也给市场带来拖累，交投最活跃的ICE 7月期棉收跌2.25美分或2.64%，结算价报83.09美分/磅，据美国农业部(USDA)报告显示，3月29日-4月4日一周美国2023/24年度陆地棉净签18484吨（含签约29574吨，取消前期签约11090吨），较前一周减少4%，较近四周平均减少10%。装运陆地棉62165吨，较前一周减少25%，较近四周平均减少23%。美棉签约及装运数据环比均双双下降，数据利空美棉市场。</w:t>
      </w:r>
    </w:p>
    <w:p>
      <w:pPr>
        <w:spacing w:before="103" w:line="256" w:lineRule="auto"/>
        <w:ind w:right="743" w:firstLine="528" w:firstLineChars="200"/>
        <w:jc w:val="both"/>
        <w:rPr>
          <w:rFonts w:hint="eastAsia" w:ascii="微软雅黑" w:hAnsi="微软雅黑" w:eastAsia="微软雅黑" w:cs="微软雅黑"/>
          <w:spacing w:val="12"/>
          <w:sz w:val="24"/>
          <w:szCs w:val="24"/>
          <w:lang w:val="zh-CN" w:eastAsia="zh-CN"/>
        </w:rPr>
      </w:pPr>
      <w:r>
        <w:rPr>
          <w:rFonts w:hint="eastAsia" w:ascii="微软雅黑" w:hAnsi="微软雅黑" w:eastAsia="微软雅黑" w:cs="微软雅黑"/>
          <w:spacing w:val="12"/>
          <w:sz w:val="24"/>
          <w:szCs w:val="24"/>
          <w:lang w:val="zh-CN" w:eastAsia="zh-CN"/>
        </w:rPr>
        <w:t>美棉主力价格关注上方压力87.0美分/磅，下方支撑77.0美分/磅。建议7月 ICE 期棉短期暂且观望为宜。</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8：ICE棉花</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7"/>
          <w:sz w:val="21"/>
          <w:szCs w:val="21"/>
          <w:lang w:val="zh-CN" w:eastAsia="zh-CN"/>
        </w:rPr>
      </w:pPr>
      <w:r>
        <w:rPr>
          <w:rFonts w:hint="eastAsia"/>
          <w:lang w:val="en-US" w:eastAsia="zh-CN"/>
        </w:rPr>
        <w:drawing>
          <wp:inline distT="0" distB="0" distL="114300" distR="114300">
            <wp:extent cx="6130925" cy="2340610"/>
            <wp:effectExtent l="0" t="0" r="3175" b="2540"/>
            <wp:docPr id="26" name="图片 3" descr="QQ截图2024041708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QQ截图20240417081404"/>
                    <pic:cNvPicPr>
                      <a:picLocks noChangeAspect="1"/>
                    </pic:cNvPicPr>
                  </pic:nvPicPr>
                  <pic:blipFill>
                    <a:blip r:embed="rId19"/>
                    <a:stretch>
                      <a:fillRect/>
                    </a:stretch>
                  </pic:blipFill>
                  <pic:spPr>
                    <a:xfrm>
                      <a:off x="0" y="0"/>
                      <a:ext cx="6130925" cy="234061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洲际期货交易所（ICE）原糖期货周二收低，因主产国供应强于预期拖累。交投最活跃的ICE 7月原糖期货合约收盘收跌0.34美分或1.71%，结算价每磅19.53美分。北半球印度、泰国产量减幅不及预期，当前印度糖产量已达3020.2万吨，同比小幅增加。印度糖出口限制政策或有所松动。市场迎来巴西新榨季，出口仍表现强劲，利空原糖市场。巴西航运机构Williams发布的数据显示，截至4月10日当周巴西港口等待装运食糖的船只数量为72艘，此前一周为50艘。港口等待装运的食糖数量为265.1万吨，此前一周为180.68万吨。当周等待装运出口的食糖船只数量大幅增加，运输进度开始放缓。</w:t>
      </w:r>
    </w:p>
    <w:p>
      <w:pPr>
        <w:spacing w:before="103" w:line="256" w:lineRule="auto"/>
        <w:ind w:left="3" w:right="743" w:firstLine="535"/>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美糖主力价格关注上方阻力20.5美分/磅，下方支撑18.5美分/磅。操作上，建议7月ICE原糖短期暂且观望。</w:t>
      </w:r>
    </w:p>
    <w:p>
      <w:pPr>
        <w:spacing w:before="103" w:line="256" w:lineRule="auto"/>
        <w:ind w:right="743"/>
        <w:jc w:val="both"/>
        <w:rPr>
          <w:rFonts w:hint="eastAsia" w:ascii="微软雅黑" w:hAnsi="微软雅黑" w:eastAsia="微软雅黑" w:cs="微软雅黑"/>
          <w:spacing w:val="7"/>
          <w:sz w:val="21"/>
          <w:szCs w:val="21"/>
          <w:lang w:val="zh-CN" w:eastAsia="zh-CN"/>
        </w:rPr>
      </w:pPr>
    </w:p>
    <w:p>
      <w:pPr>
        <w:spacing w:before="103" w:line="256" w:lineRule="auto"/>
        <w:ind w:right="743"/>
        <w:jc w:val="both"/>
        <w:rPr>
          <w:rFonts w:ascii="微软雅黑" w:hAnsi="微软雅黑" w:eastAsia="微软雅黑" w:cs="微软雅黑"/>
          <w:color w:val="CE393F"/>
          <w:spacing w:val="8"/>
          <w:position w:val="2"/>
          <w:sz w:val="40"/>
          <w:szCs w:val="40"/>
        </w:rPr>
      </w:pPr>
      <w:bookmarkStart w:id="2" w:name="_GoBack"/>
      <w:bookmarkEnd w:id="2"/>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9：ICE原糖</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lang w:val="en-US" w:eastAsia="zh-CN"/>
        </w:rPr>
        <w:drawing>
          <wp:inline distT="0" distB="0" distL="114300" distR="114300">
            <wp:extent cx="6118860" cy="2367280"/>
            <wp:effectExtent l="0" t="0" r="15240" b="13970"/>
            <wp:docPr id="25" name="图片 2" descr="QQ截图2024041708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QQ截图20240417081214"/>
                    <pic:cNvPicPr>
                      <a:picLocks noChangeAspect="1"/>
                    </pic:cNvPicPr>
                  </pic:nvPicPr>
                  <pic:blipFill>
                    <a:blip r:embed="rId20"/>
                    <a:stretch>
                      <a:fillRect/>
                    </a:stretch>
                  </pic:blipFill>
                  <pic:spPr>
                    <a:xfrm>
                      <a:off x="0" y="0"/>
                      <a:ext cx="6118860" cy="236728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72" w:line="417" w:lineRule="exact"/>
        <w:rPr>
          <w:rFonts w:hint="eastAsia" w:ascii="微软雅黑" w:hAnsi="微软雅黑" w:eastAsia="微软雅黑" w:cs="微软雅黑"/>
          <w:color w:val="036EB8"/>
          <w:position w:val="-4"/>
          <w:sz w:val="28"/>
          <w:szCs w:val="28"/>
          <w:lang w:eastAsia="zh-CN"/>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8"/>
          <w:sz w:val="18"/>
          <w:szCs w:val="18"/>
        </w:rPr>
        <w:t>则。</w:t>
      </w:r>
    </w:p>
    <w:p>
      <w:pPr>
        <w:spacing w:before="34" w:line="189" w:lineRule="auto"/>
        <w:ind w:left="337" w:right="707" w:firstLine="381"/>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2"/>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2"/>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0C024B"/>
    <w:rsid w:val="001431C1"/>
    <w:rsid w:val="00181D4B"/>
    <w:rsid w:val="00593490"/>
    <w:rsid w:val="005F4A09"/>
    <w:rsid w:val="008D4A14"/>
    <w:rsid w:val="00920750"/>
    <w:rsid w:val="00A42231"/>
    <w:rsid w:val="00C177F8"/>
    <w:rsid w:val="00CA7EEA"/>
    <w:rsid w:val="00CE6532"/>
    <w:rsid w:val="00D348C5"/>
    <w:rsid w:val="00DC19CB"/>
    <w:rsid w:val="00E16FE2"/>
    <w:rsid w:val="00E442E6"/>
    <w:rsid w:val="011E3D92"/>
    <w:rsid w:val="013C05EC"/>
    <w:rsid w:val="0140116F"/>
    <w:rsid w:val="014337F8"/>
    <w:rsid w:val="014541E2"/>
    <w:rsid w:val="01486DF0"/>
    <w:rsid w:val="01761E20"/>
    <w:rsid w:val="017B7436"/>
    <w:rsid w:val="018F67B1"/>
    <w:rsid w:val="019734A3"/>
    <w:rsid w:val="019E3125"/>
    <w:rsid w:val="01B6046E"/>
    <w:rsid w:val="01C257A0"/>
    <w:rsid w:val="01D31020"/>
    <w:rsid w:val="01FA65AD"/>
    <w:rsid w:val="021052EA"/>
    <w:rsid w:val="02151639"/>
    <w:rsid w:val="021D5BFB"/>
    <w:rsid w:val="02296E92"/>
    <w:rsid w:val="024953BD"/>
    <w:rsid w:val="02590402"/>
    <w:rsid w:val="028D7421"/>
    <w:rsid w:val="02A97FD3"/>
    <w:rsid w:val="02B7624C"/>
    <w:rsid w:val="02BC7D06"/>
    <w:rsid w:val="02BE582C"/>
    <w:rsid w:val="02CD47AD"/>
    <w:rsid w:val="02DC4B76"/>
    <w:rsid w:val="030659D3"/>
    <w:rsid w:val="032338E1"/>
    <w:rsid w:val="033C0E47"/>
    <w:rsid w:val="0350044F"/>
    <w:rsid w:val="03661A20"/>
    <w:rsid w:val="03705048"/>
    <w:rsid w:val="03767EB5"/>
    <w:rsid w:val="037D56E7"/>
    <w:rsid w:val="03824AAC"/>
    <w:rsid w:val="038E44A6"/>
    <w:rsid w:val="03AA4003"/>
    <w:rsid w:val="03B31109"/>
    <w:rsid w:val="03C54999"/>
    <w:rsid w:val="03CF5817"/>
    <w:rsid w:val="03D44348"/>
    <w:rsid w:val="03D64DF8"/>
    <w:rsid w:val="03E33071"/>
    <w:rsid w:val="03F31506"/>
    <w:rsid w:val="03FE7EAB"/>
    <w:rsid w:val="0402799B"/>
    <w:rsid w:val="04040FB1"/>
    <w:rsid w:val="04253689"/>
    <w:rsid w:val="04405814"/>
    <w:rsid w:val="044F0706"/>
    <w:rsid w:val="045A6DD9"/>
    <w:rsid w:val="04620439"/>
    <w:rsid w:val="04695C6C"/>
    <w:rsid w:val="04725735"/>
    <w:rsid w:val="04787C5D"/>
    <w:rsid w:val="0495080F"/>
    <w:rsid w:val="049D5915"/>
    <w:rsid w:val="04CD0E7B"/>
    <w:rsid w:val="04CD5176"/>
    <w:rsid w:val="04E43544"/>
    <w:rsid w:val="04E55250"/>
    <w:rsid w:val="04FB69FF"/>
    <w:rsid w:val="050647B6"/>
    <w:rsid w:val="05173E06"/>
    <w:rsid w:val="051A6F66"/>
    <w:rsid w:val="053D4696"/>
    <w:rsid w:val="054933A7"/>
    <w:rsid w:val="055F4D69"/>
    <w:rsid w:val="056D52E8"/>
    <w:rsid w:val="058F34B0"/>
    <w:rsid w:val="059D2DAA"/>
    <w:rsid w:val="05AC4062"/>
    <w:rsid w:val="05C869C2"/>
    <w:rsid w:val="061708BA"/>
    <w:rsid w:val="06205AC4"/>
    <w:rsid w:val="06874187"/>
    <w:rsid w:val="06920D0C"/>
    <w:rsid w:val="06AC1E40"/>
    <w:rsid w:val="06D40C03"/>
    <w:rsid w:val="06D860E7"/>
    <w:rsid w:val="06E91363"/>
    <w:rsid w:val="06F9676B"/>
    <w:rsid w:val="072919FB"/>
    <w:rsid w:val="07375BAD"/>
    <w:rsid w:val="073949DD"/>
    <w:rsid w:val="073D6F5B"/>
    <w:rsid w:val="07634D60"/>
    <w:rsid w:val="07652B87"/>
    <w:rsid w:val="077A4193"/>
    <w:rsid w:val="077D0034"/>
    <w:rsid w:val="07950B26"/>
    <w:rsid w:val="07972AF0"/>
    <w:rsid w:val="07A07BF6"/>
    <w:rsid w:val="07D9719C"/>
    <w:rsid w:val="07DD49A7"/>
    <w:rsid w:val="07EB25E1"/>
    <w:rsid w:val="07F5280A"/>
    <w:rsid w:val="07F67816"/>
    <w:rsid w:val="080F6B2A"/>
    <w:rsid w:val="0828199A"/>
    <w:rsid w:val="082F186D"/>
    <w:rsid w:val="0853247A"/>
    <w:rsid w:val="085B34CE"/>
    <w:rsid w:val="089E2E0C"/>
    <w:rsid w:val="08A234FA"/>
    <w:rsid w:val="08AF5C17"/>
    <w:rsid w:val="08B5322E"/>
    <w:rsid w:val="08B6462D"/>
    <w:rsid w:val="08BD121B"/>
    <w:rsid w:val="08DD2784"/>
    <w:rsid w:val="08E949DF"/>
    <w:rsid w:val="08F817D8"/>
    <w:rsid w:val="09063A89"/>
    <w:rsid w:val="090E293E"/>
    <w:rsid w:val="09174F67"/>
    <w:rsid w:val="09252A9B"/>
    <w:rsid w:val="093E76C7"/>
    <w:rsid w:val="09401DAC"/>
    <w:rsid w:val="09491BC8"/>
    <w:rsid w:val="09840E52"/>
    <w:rsid w:val="098E4672"/>
    <w:rsid w:val="09903C9B"/>
    <w:rsid w:val="099A2423"/>
    <w:rsid w:val="099E0166"/>
    <w:rsid w:val="09AC6674"/>
    <w:rsid w:val="09B039F5"/>
    <w:rsid w:val="09B110B8"/>
    <w:rsid w:val="09D26E62"/>
    <w:rsid w:val="09DA6CC4"/>
    <w:rsid w:val="09F02DF6"/>
    <w:rsid w:val="09F31EAA"/>
    <w:rsid w:val="0A037FC9"/>
    <w:rsid w:val="0A140428"/>
    <w:rsid w:val="0A1470E4"/>
    <w:rsid w:val="0A2A37A7"/>
    <w:rsid w:val="0A2C17A5"/>
    <w:rsid w:val="0A3E54A5"/>
    <w:rsid w:val="0A434869"/>
    <w:rsid w:val="0A4C6D5E"/>
    <w:rsid w:val="0A533A62"/>
    <w:rsid w:val="0A544CC8"/>
    <w:rsid w:val="0A5F5B47"/>
    <w:rsid w:val="0A7D5FCD"/>
    <w:rsid w:val="0A823CEB"/>
    <w:rsid w:val="0A8F399C"/>
    <w:rsid w:val="0A943317"/>
    <w:rsid w:val="0A9A6B7F"/>
    <w:rsid w:val="0A9B3267"/>
    <w:rsid w:val="0AA74DF8"/>
    <w:rsid w:val="0AA82AC5"/>
    <w:rsid w:val="0ABF0394"/>
    <w:rsid w:val="0AC0235E"/>
    <w:rsid w:val="0AC75B18"/>
    <w:rsid w:val="0AF44EDF"/>
    <w:rsid w:val="0AFB3396"/>
    <w:rsid w:val="0AFD2C6A"/>
    <w:rsid w:val="0B02681E"/>
    <w:rsid w:val="0B0B2B07"/>
    <w:rsid w:val="0B0C10FF"/>
    <w:rsid w:val="0B116814"/>
    <w:rsid w:val="0B156206"/>
    <w:rsid w:val="0B2822B8"/>
    <w:rsid w:val="0B310B66"/>
    <w:rsid w:val="0B3F14D4"/>
    <w:rsid w:val="0B3F6A8F"/>
    <w:rsid w:val="0B6149B5"/>
    <w:rsid w:val="0B696551"/>
    <w:rsid w:val="0B775713"/>
    <w:rsid w:val="0B7C44D7"/>
    <w:rsid w:val="0B837613"/>
    <w:rsid w:val="0BA87886"/>
    <w:rsid w:val="0BB06CD5"/>
    <w:rsid w:val="0C023101"/>
    <w:rsid w:val="0C1E10EA"/>
    <w:rsid w:val="0C430B50"/>
    <w:rsid w:val="0C6311F3"/>
    <w:rsid w:val="0C7358DA"/>
    <w:rsid w:val="0C7426EC"/>
    <w:rsid w:val="0C874AB1"/>
    <w:rsid w:val="0C8A677F"/>
    <w:rsid w:val="0CA53877"/>
    <w:rsid w:val="0CE00A95"/>
    <w:rsid w:val="0CE7389C"/>
    <w:rsid w:val="0D272220"/>
    <w:rsid w:val="0D3A56A0"/>
    <w:rsid w:val="0D423C21"/>
    <w:rsid w:val="0D6945E7"/>
    <w:rsid w:val="0D6E7E4F"/>
    <w:rsid w:val="0D766D04"/>
    <w:rsid w:val="0D815DD4"/>
    <w:rsid w:val="0D8E04F1"/>
    <w:rsid w:val="0DEB161A"/>
    <w:rsid w:val="0DEF3128"/>
    <w:rsid w:val="0DF7787E"/>
    <w:rsid w:val="0E211365"/>
    <w:rsid w:val="0E2B5D40"/>
    <w:rsid w:val="0E304A35"/>
    <w:rsid w:val="0E3A5F83"/>
    <w:rsid w:val="0E4F7C80"/>
    <w:rsid w:val="0E5E1F69"/>
    <w:rsid w:val="0E680D42"/>
    <w:rsid w:val="0E6A2D0C"/>
    <w:rsid w:val="0E6D45AA"/>
    <w:rsid w:val="0E74072A"/>
    <w:rsid w:val="0E7D63D0"/>
    <w:rsid w:val="0E8A6F0A"/>
    <w:rsid w:val="0E9D4E90"/>
    <w:rsid w:val="0EAB39B1"/>
    <w:rsid w:val="0EB818FA"/>
    <w:rsid w:val="0EC40C69"/>
    <w:rsid w:val="0ECA5559"/>
    <w:rsid w:val="0EF357FE"/>
    <w:rsid w:val="0F0E09E8"/>
    <w:rsid w:val="0F1B4006"/>
    <w:rsid w:val="0F425337"/>
    <w:rsid w:val="0F53554E"/>
    <w:rsid w:val="0F83743D"/>
    <w:rsid w:val="0F8B4EFC"/>
    <w:rsid w:val="0FA25CB6"/>
    <w:rsid w:val="0FB51D65"/>
    <w:rsid w:val="0FB7564B"/>
    <w:rsid w:val="0FCF7FFC"/>
    <w:rsid w:val="0FD85A54"/>
    <w:rsid w:val="0FDC5544"/>
    <w:rsid w:val="0FE10DAC"/>
    <w:rsid w:val="0FFA2AB6"/>
    <w:rsid w:val="10090303"/>
    <w:rsid w:val="100D7DF3"/>
    <w:rsid w:val="101E5B5C"/>
    <w:rsid w:val="10240C99"/>
    <w:rsid w:val="103B02B6"/>
    <w:rsid w:val="104135F9"/>
    <w:rsid w:val="105A46BB"/>
    <w:rsid w:val="10613C9B"/>
    <w:rsid w:val="10A51DDA"/>
    <w:rsid w:val="10A67900"/>
    <w:rsid w:val="10F1501F"/>
    <w:rsid w:val="11005262"/>
    <w:rsid w:val="1126167A"/>
    <w:rsid w:val="112C1D96"/>
    <w:rsid w:val="112D2A00"/>
    <w:rsid w:val="115B7EC7"/>
    <w:rsid w:val="115D0CDB"/>
    <w:rsid w:val="115F642C"/>
    <w:rsid w:val="118367EC"/>
    <w:rsid w:val="119A2EC2"/>
    <w:rsid w:val="11DF575B"/>
    <w:rsid w:val="12064AFA"/>
    <w:rsid w:val="12241424"/>
    <w:rsid w:val="123A47A4"/>
    <w:rsid w:val="12837EF9"/>
    <w:rsid w:val="129245E0"/>
    <w:rsid w:val="12AB56A1"/>
    <w:rsid w:val="12B72AC8"/>
    <w:rsid w:val="12C14EC5"/>
    <w:rsid w:val="12C53BAB"/>
    <w:rsid w:val="12C56763"/>
    <w:rsid w:val="12D6271E"/>
    <w:rsid w:val="12DD56D0"/>
    <w:rsid w:val="12E453E1"/>
    <w:rsid w:val="130A686C"/>
    <w:rsid w:val="13392CAD"/>
    <w:rsid w:val="13581385"/>
    <w:rsid w:val="1360023A"/>
    <w:rsid w:val="136F66CF"/>
    <w:rsid w:val="137D0DEC"/>
    <w:rsid w:val="13914897"/>
    <w:rsid w:val="13AC16D1"/>
    <w:rsid w:val="13E83022"/>
    <w:rsid w:val="14027543"/>
    <w:rsid w:val="14055F2A"/>
    <w:rsid w:val="14073B5C"/>
    <w:rsid w:val="142D2812"/>
    <w:rsid w:val="143376FC"/>
    <w:rsid w:val="14394D22"/>
    <w:rsid w:val="144E4536"/>
    <w:rsid w:val="14587163"/>
    <w:rsid w:val="145B4DEA"/>
    <w:rsid w:val="146B1AFA"/>
    <w:rsid w:val="146B50E8"/>
    <w:rsid w:val="14795475"/>
    <w:rsid w:val="148B7538"/>
    <w:rsid w:val="14914C87"/>
    <w:rsid w:val="14AD6D4E"/>
    <w:rsid w:val="14B24AC5"/>
    <w:rsid w:val="14D35F6D"/>
    <w:rsid w:val="14E03753"/>
    <w:rsid w:val="14EF7AC7"/>
    <w:rsid w:val="15035321"/>
    <w:rsid w:val="15227E9D"/>
    <w:rsid w:val="153567EB"/>
    <w:rsid w:val="15357EA3"/>
    <w:rsid w:val="153F7762"/>
    <w:rsid w:val="1546345F"/>
    <w:rsid w:val="154D0C92"/>
    <w:rsid w:val="15595889"/>
    <w:rsid w:val="157A3DE6"/>
    <w:rsid w:val="15A20FDE"/>
    <w:rsid w:val="15AD4515"/>
    <w:rsid w:val="15BD1974"/>
    <w:rsid w:val="15BF56EC"/>
    <w:rsid w:val="15C23767"/>
    <w:rsid w:val="15FA0A52"/>
    <w:rsid w:val="160F471D"/>
    <w:rsid w:val="16184DFC"/>
    <w:rsid w:val="162163A6"/>
    <w:rsid w:val="162F6237"/>
    <w:rsid w:val="163007A4"/>
    <w:rsid w:val="16323E9D"/>
    <w:rsid w:val="16526560"/>
    <w:rsid w:val="16532BAF"/>
    <w:rsid w:val="16573B76"/>
    <w:rsid w:val="16640041"/>
    <w:rsid w:val="167A1613"/>
    <w:rsid w:val="167F4E7B"/>
    <w:rsid w:val="1697252A"/>
    <w:rsid w:val="169A1CB5"/>
    <w:rsid w:val="169F376F"/>
    <w:rsid w:val="16A86180"/>
    <w:rsid w:val="16AB5CAD"/>
    <w:rsid w:val="16AD19E8"/>
    <w:rsid w:val="16B17A67"/>
    <w:rsid w:val="16C117E9"/>
    <w:rsid w:val="16C136E5"/>
    <w:rsid w:val="16C3745D"/>
    <w:rsid w:val="16CE195E"/>
    <w:rsid w:val="16E84EEA"/>
    <w:rsid w:val="16ED5F07"/>
    <w:rsid w:val="16FE3FF2"/>
    <w:rsid w:val="17231CAA"/>
    <w:rsid w:val="17343EB7"/>
    <w:rsid w:val="174F2A9F"/>
    <w:rsid w:val="1750680B"/>
    <w:rsid w:val="17602EFE"/>
    <w:rsid w:val="176B1094"/>
    <w:rsid w:val="177A3F89"/>
    <w:rsid w:val="17994C66"/>
    <w:rsid w:val="179E5F3A"/>
    <w:rsid w:val="17A50911"/>
    <w:rsid w:val="17A62F40"/>
    <w:rsid w:val="17BC3F9E"/>
    <w:rsid w:val="17C36FE9"/>
    <w:rsid w:val="17EF6030"/>
    <w:rsid w:val="180A2E6A"/>
    <w:rsid w:val="181A30AD"/>
    <w:rsid w:val="183124A5"/>
    <w:rsid w:val="1835627A"/>
    <w:rsid w:val="18376899"/>
    <w:rsid w:val="183C317B"/>
    <w:rsid w:val="183E57A4"/>
    <w:rsid w:val="187A665E"/>
    <w:rsid w:val="188F46B1"/>
    <w:rsid w:val="188F6EFF"/>
    <w:rsid w:val="18A14670"/>
    <w:rsid w:val="18AB1F57"/>
    <w:rsid w:val="18BF5A03"/>
    <w:rsid w:val="18DA6CE0"/>
    <w:rsid w:val="190E2D54"/>
    <w:rsid w:val="19263CD4"/>
    <w:rsid w:val="19393A07"/>
    <w:rsid w:val="193957B5"/>
    <w:rsid w:val="19397563"/>
    <w:rsid w:val="193B694A"/>
    <w:rsid w:val="197E141A"/>
    <w:rsid w:val="19891B44"/>
    <w:rsid w:val="19E37FA1"/>
    <w:rsid w:val="19EF40C6"/>
    <w:rsid w:val="19F33BB6"/>
    <w:rsid w:val="1A004525"/>
    <w:rsid w:val="1A1A3838"/>
    <w:rsid w:val="1A2A15A2"/>
    <w:rsid w:val="1A3760C8"/>
    <w:rsid w:val="1A586B42"/>
    <w:rsid w:val="1A6D1DE9"/>
    <w:rsid w:val="1A6F016E"/>
    <w:rsid w:val="1A7F5449"/>
    <w:rsid w:val="1A926B26"/>
    <w:rsid w:val="1AAB623F"/>
    <w:rsid w:val="1AB33345"/>
    <w:rsid w:val="1ADA4D76"/>
    <w:rsid w:val="1AE300CE"/>
    <w:rsid w:val="1AEE342A"/>
    <w:rsid w:val="1AFE6CB6"/>
    <w:rsid w:val="1B0462E3"/>
    <w:rsid w:val="1B0B3181"/>
    <w:rsid w:val="1B143435"/>
    <w:rsid w:val="1B2E0C1E"/>
    <w:rsid w:val="1B430B6D"/>
    <w:rsid w:val="1B593EEC"/>
    <w:rsid w:val="1B5E1503"/>
    <w:rsid w:val="1B6F441F"/>
    <w:rsid w:val="1B6F54BE"/>
    <w:rsid w:val="1B8A054A"/>
    <w:rsid w:val="1BCC2910"/>
    <w:rsid w:val="1BE952E4"/>
    <w:rsid w:val="1BEA2D97"/>
    <w:rsid w:val="1BEC2FB3"/>
    <w:rsid w:val="1C220782"/>
    <w:rsid w:val="1C295FB5"/>
    <w:rsid w:val="1C2A3ADB"/>
    <w:rsid w:val="1C2C7853"/>
    <w:rsid w:val="1C2F2E9F"/>
    <w:rsid w:val="1C3C502D"/>
    <w:rsid w:val="1C550B58"/>
    <w:rsid w:val="1C56667E"/>
    <w:rsid w:val="1C5C2AF3"/>
    <w:rsid w:val="1C6F246D"/>
    <w:rsid w:val="1C705992"/>
    <w:rsid w:val="1C730FDE"/>
    <w:rsid w:val="1C760CAC"/>
    <w:rsid w:val="1C840E30"/>
    <w:rsid w:val="1C847E13"/>
    <w:rsid w:val="1C876837"/>
    <w:rsid w:val="1C8E7BC6"/>
    <w:rsid w:val="1C9871D4"/>
    <w:rsid w:val="1C9961A4"/>
    <w:rsid w:val="1C9B0EC5"/>
    <w:rsid w:val="1CA32066"/>
    <w:rsid w:val="1CB42B02"/>
    <w:rsid w:val="1CB6536F"/>
    <w:rsid w:val="1CB6711D"/>
    <w:rsid w:val="1CC63804"/>
    <w:rsid w:val="1CDB7F58"/>
    <w:rsid w:val="1CE56411"/>
    <w:rsid w:val="1D063C00"/>
    <w:rsid w:val="1D077978"/>
    <w:rsid w:val="1D1522F2"/>
    <w:rsid w:val="1D23360C"/>
    <w:rsid w:val="1D317F46"/>
    <w:rsid w:val="1D5038FF"/>
    <w:rsid w:val="1D8A2164"/>
    <w:rsid w:val="1D94745E"/>
    <w:rsid w:val="1D9E0B53"/>
    <w:rsid w:val="1DA8010B"/>
    <w:rsid w:val="1DB70C3A"/>
    <w:rsid w:val="1DD62C34"/>
    <w:rsid w:val="1DE026A3"/>
    <w:rsid w:val="1E140822"/>
    <w:rsid w:val="1E983160"/>
    <w:rsid w:val="1E9F255E"/>
    <w:rsid w:val="1EAB5CA8"/>
    <w:rsid w:val="1ECE074D"/>
    <w:rsid w:val="1EDA46D4"/>
    <w:rsid w:val="1F047D4E"/>
    <w:rsid w:val="1F066139"/>
    <w:rsid w:val="1F26058A"/>
    <w:rsid w:val="1F2E743E"/>
    <w:rsid w:val="1F43738D"/>
    <w:rsid w:val="1F570A81"/>
    <w:rsid w:val="1F61233D"/>
    <w:rsid w:val="1F69491A"/>
    <w:rsid w:val="1FA34B99"/>
    <w:rsid w:val="1FA70967"/>
    <w:rsid w:val="1FAA1158"/>
    <w:rsid w:val="1FBB3CE7"/>
    <w:rsid w:val="1FCF6E73"/>
    <w:rsid w:val="1FD47FE6"/>
    <w:rsid w:val="1FD955FC"/>
    <w:rsid w:val="1FE0471A"/>
    <w:rsid w:val="1FE346CD"/>
    <w:rsid w:val="1FE453E9"/>
    <w:rsid w:val="1FE50445"/>
    <w:rsid w:val="1FFE5062"/>
    <w:rsid w:val="200B4005"/>
    <w:rsid w:val="201C373B"/>
    <w:rsid w:val="202111B2"/>
    <w:rsid w:val="203B1E13"/>
    <w:rsid w:val="2040567B"/>
    <w:rsid w:val="20970344"/>
    <w:rsid w:val="209C5541"/>
    <w:rsid w:val="20B61DE1"/>
    <w:rsid w:val="20B87907"/>
    <w:rsid w:val="20C067BC"/>
    <w:rsid w:val="20D73FFA"/>
    <w:rsid w:val="20DA5ACF"/>
    <w:rsid w:val="20FB47E7"/>
    <w:rsid w:val="210A2CE1"/>
    <w:rsid w:val="210F504D"/>
    <w:rsid w:val="21194443"/>
    <w:rsid w:val="211B39F2"/>
    <w:rsid w:val="213571AA"/>
    <w:rsid w:val="213836B0"/>
    <w:rsid w:val="213B4094"/>
    <w:rsid w:val="214E7D12"/>
    <w:rsid w:val="21690C01"/>
    <w:rsid w:val="21871C2A"/>
    <w:rsid w:val="21893052"/>
    <w:rsid w:val="21934DFE"/>
    <w:rsid w:val="219E4C0D"/>
    <w:rsid w:val="21BF4CC5"/>
    <w:rsid w:val="21DF2D22"/>
    <w:rsid w:val="21E0502A"/>
    <w:rsid w:val="21E0526C"/>
    <w:rsid w:val="21EE1107"/>
    <w:rsid w:val="22016465"/>
    <w:rsid w:val="22237002"/>
    <w:rsid w:val="222D1C2F"/>
    <w:rsid w:val="22317902"/>
    <w:rsid w:val="22397841"/>
    <w:rsid w:val="224156DA"/>
    <w:rsid w:val="22456F79"/>
    <w:rsid w:val="224C47AB"/>
    <w:rsid w:val="224C6559"/>
    <w:rsid w:val="225243A2"/>
    <w:rsid w:val="22695B2D"/>
    <w:rsid w:val="226D64CF"/>
    <w:rsid w:val="227B0BEC"/>
    <w:rsid w:val="22937CE6"/>
    <w:rsid w:val="22B81E40"/>
    <w:rsid w:val="22CF093F"/>
    <w:rsid w:val="22CF2CE6"/>
    <w:rsid w:val="22D57132"/>
    <w:rsid w:val="22D64BAD"/>
    <w:rsid w:val="22F20137"/>
    <w:rsid w:val="2309444A"/>
    <w:rsid w:val="23476D20"/>
    <w:rsid w:val="23503E27"/>
    <w:rsid w:val="23517B9F"/>
    <w:rsid w:val="235F71C6"/>
    <w:rsid w:val="23713D9D"/>
    <w:rsid w:val="237750EB"/>
    <w:rsid w:val="237815D0"/>
    <w:rsid w:val="238179BB"/>
    <w:rsid w:val="23BA5744"/>
    <w:rsid w:val="23F01166"/>
    <w:rsid w:val="23F24EDE"/>
    <w:rsid w:val="23F82635"/>
    <w:rsid w:val="240B5FA0"/>
    <w:rsid w:val="241F37F9"/>
    <w:rsid w:val="245222E6"/>
    <w:rsid w:val="24613C0B"/>
    <w:rsid w:val="24651B54"/>
    <w:rsid w:val="246F453D"/>
    <w:rsid w:val="24711BFF"/>
    <w:rsid w:val="2490190B"/>
    <w:rsid w:val="24904744"/>
    <w:rsid w:val="2497134E"/>
    <w:rsid w:val="24B86FB5"/>
    <w:rsid w:val="24BB79C6"/>
    <w:rsid w:val="24E0742D"/>
    <w:rsid w:val="24F212CA"/>
    <w:rsid w:val="25096983"/>
    <w:rsid w:val="250C0222"/>
    <w:rsid w:val="251315B0"/>
    <w:rsid w:val="25205A7B"/>
    <w:rsid w:val="25283888"/>
    <w:rsid w:val="25323DC4"/>
    <w:rsid w:val="25324D05"/>
    <w:rsid w:val="253B28B5"/>
    <w:rsid w:val="25472113"/>
    <w:rsid w:val="254C6870"/>
    <w:rsid w:val="257D4C7B"/>
    <w:rsid w:val="25853B30"/>
    <w:rsid w:val="25873D4C"/>
    <w:rsid w:val="25A3141D"/>
    <w:rsid w:val="25B71060"/>
    <w:rsid w:val="25BF3AFF"/>
    <w:rsid w:val="25D8182D"/>
    <w:rsid w:val="25E42F4C"/>
    <w:rsid w:val="261D32FC"/>
    <w:rsid w:val="262275D1"/>
    <w:rsid w:val="265754CC"/>
    <w:rsid w:val="26583EBF"/>
    <w:rsid w:val="26591245"/>
    <w:rsid w:val="266A530B"/>
    <w:rsid w:val="2685488E"/>
    <w:rsid w:val="268F2EB8"/>
    <w:rsid w:val="268F3365"/>
    <w:rsid w:val="269C3827"/>
    <w:rsid w:val="269E134D"/>
    <w:rsid w:val="269E30FB"/>
    <w:rsid w:val="26AC3A6A"/>
    <w:rsid w:val="26C708A4"/>
    <w:rsid w:val="26C94690"/>
    <w:rsid w:val="26E2748C"/>
    <w:rsid w:val="26EA6341"/>
    <w:rsid w:val="27104DCE"/>
    <w:rsid w:val="27196C26"/>
    <w:rsid w:val="272827F6"/>
    <w:rsid w:val="274912B9"/>
    <w:rsid w:val="27541A0C"/>
    <w:rsid w:val="27547C5E"/>
    <w:rsid w:val="275639D6"/>
    <w:rsid w:val="276C31F9"/>
    <w:rsid w:val="276F4A98"/>
    <w:rsid w:val="279A1B15"/>
    <w:rsid w:val="27B84C56"/>
    <w:rsid w:val="27BA1634"/>
    <w:rsid w:val="27D03788"/>
    <w:rsid w:val="28497097"/>
    <w:rsid w:val="28575C58"/>
    <w:rsid w:val="287265EE"/>
    <w:rsid w:val="2875030A"/>
    <w:rsid w:val="28C8445F"/>
    <w:rsid w:val="28D01566"/>
    <w:rsid w:val="28D450EA"/>
    <w:rsid w:val="28D5055F"/>
    <w:rsid w:val="28FC39E6"/>
    <w:rsid w:val="291C5438"/>
    <w:rsid w:val="29314DC9"/>
    <w:rsid w:val="297457A6"/>
    <w:rsid w:val="29895F83"/>
    <w:rsid w:val="29982084"/>
    <w:rsid w:val="2A157B78"/>
    <w:rsid w:val="2A1831C5"/>
    <w:rsid w:val="2A344869"/>
    <w:rsid w:val="2A3B5C65"/>
    <w:rsid w:val="2A471949"/>
    <w:rsid w:val="2A581813"/>
    <w:rsid w:val="2A64640A"/>
    <w:rsid w:val="2A7D74CC"/>
    <w:rsid w:val="2A930039"/>
    <w:rsid w:val="2AA841F2"/>
    <w:rsid w:val="2AD64354"/>
    <w:rsid w:val="2AE337D3"/>
    <w:rsid w:val="2AF43C32"/>
    <w:rsid w:val="2B0A5203"/>
    <w:rsid w:val="2B2E2991"/>
    <w:rsid w:val="2B515F65"/>
    <w:rsid w:val="2B603075"/>
    <w:rsid w:val="2B681190"/>
    <w:rsid w:val="2BA967CA"/>
    <w:rsid w:val="2BBF5FEE"/>
    <w:rsid w:val="2BC8116D"/>
    <w:rsid w:val="2BCA04EF"/>
    <w:rsid w:val="2BCE6231"/>
    <w:rsid w:val="2BDD0222"/>
    <w:rsid w:val="2BFD08C4"/>
    <w:rsid w:val="2C0E487F"/>
    <w:rsid w:val="2C0F5A5F"/>
    <w:rsid w:val="2C5030EA"/>
    <w:rsid w:val="2C725028"/>
    <w:rsid w:val="2C7C5C8D"/>
    <w:rsid w:val="2C934D84"/>
    <w:rsid w:val="2CB216AE"/>
    <w:rsid w:val="2CB843AF"/>
    <w:rsid w:val="2CC413E2"/>
    <w:rsid w:val="2CC47634"/>
    <w:rsid w:val="2CCF6074"/>
    <w:rsid w:val="2CD47877"/>
    <w:rsid w:val="2CE028C6"/>
    <w:rsid w:val="2CEB2E12"/>
    <w:rsid w:val="2D012F66"/>
    <w:rsid w:val="2D057F88"/>
    <w:rsid w:val="2D2D342B"/>
    <w:rsid w:val="2D771923"/>
    <w:rsid w:val="2D776454"/>
    <w:rsid w:val="2D7B5F44"/>
    <w:rsid w:val="2D875411"/>
    <w:rsid w:val="2D990AC0"/>
    <w:rsid w:val="2DA709E8"/>
    <w:rsid w:val="2DA84860"/>
    <w:rsid w:val="2DAF3E40"/>
    <w:rsid w:val="2DC51834"/>
    <w:rsid w:val="2DDD09AD"/>
    <w:rsid w:val="2DDD44E2"/>
    <w:rsid w:val="2DE81100"/>
    <w:rsid w:val="2DEC299E"/>
    <w:rsid w:val="2DFB5908"/>
    <w:rsid w:val="2E0065CE"/>
    <w:rsid w:val="2E0C1292"/>
    <w:rsid w:val="2E312AA7"/>
    <w:rsid w:val="2E426A62"/>
    <w:rsid w:val="2E4B1DBB"/>
    <w:rsid w:val="2E556795"/>
    <w:rsid w:val="2E7330DD"/>
    <w:rsid w:val="2E746294"/>
    <w:rsid w:val="2EA80FBB"/>
    <w:rsid w:val="2EBF315F"/>
    <w:rsid w:val="2EC07B78"/>
    <w:rsid w:val="2EC90F31"/>
    <w:rsid w:val="2EC93975"/>
    <w:rsid w:val="2ED0406E"/>
    <w:rsid w:val="2EF22236"/>
    <w:rsid w:val="2EF91480"/>
    <w:rsid w:val="2F176A2A"/>
    <w:rsid w:val="2F1F6DA3"/>
    <w:rsid w:val="2F261EE0"/>
    <w:rsid w:val="2F391C13"/>
    <w:rsid w:val="2F3D7961"/>
    <w:rsid w:val="2F45680A"/>
    <w:rsid w:val="2F4D3910"/>
    <w:rsid w:val="2F567050"/>
    <w:rsid w:val="2F666780"/>
    <w:rsid w:val="2F7075FF"/>
    <w:rsid w:val="2F8C1E45"/>
    <w:rsid w:val="2FA63021"/>
    <w:rsid w:val="2FAA2B11"/>
    <w:rsid w:val="2FD347CB"/>
    <w:rsid w:val="2FD7142C"/>
    <w:rsid w:val="2FF41FDE"/>
    <w:rsid w:val="2FFB511A"/>
    <w:rsid w:val="300F0BC6"/>
    <w:rsid w:val="30136908"/>
    <w:rsid w:val="30151978"/>
    <w:rsid w:val="30155912"/>
    <w:rsid w:val="30240B15"/>
    <w:rsid w:val="306B6B6C"/>
    <w:rsid w:val="3070283C"/>
    <w:rsid w:val="307D6477"/>
    <w:rsid w:val="307F5D4C"/>
    <w:rsid w:val="309A4933"/>
    <w:rsid w:val="30A12166"/>
    <w:rsid w:val="30C9346B"/>
    <w:rsid w:val="30F32296"/>
    <w:rsid w:val="30F84CE1"/>
    <w:rsid w:val="30FD0529"/>
    <w:rsid w:val="30FF50DE"/>
    <w:rsid w:val="31091AB9"/>
    <w:rsid w:val="3115220C"/>
    <w:rsid w:val="31197F4E"/>
    <w:rsid w:val="311D7312"/>
    <w:rsid w:val="313E79B5"/>
    <w:rsid w:val="314174A5"/>
    <w:rsid w:val="314D409C"/>
    <w:rsid w:val="3163417D"/>
    <w:rsid w:val="318A49A8"/>
    <w:rsid w:val="31C33917"/>
    <w:rsid w:val="31C51E84"/>
    <w:rsid w:val="31D644AB"/>
    <w:rsid w:val="31E242A6"/>
    <w:rsid w:val="31FB326A"/>
    <w:rsid w:val="3216448E"/>
    <w:rsid w:val="322A618B"/>
    <w:rsid w:val="322C0915"/>
    <w:rsid w:val="323E5B9E"/>
    <w:rsid w:val="324E00CB"/>
    <w:rsid w:val="32554509"/>
    <w:rsid w:val="326951F3"/>
    <w:rsid w:val="32A24300"/>
    <w:rsid w:val="32A35833"/>
    <w:rsid w:val="32A61AD2"/>
    <w:rsid w:val="32AE46C6"/>
    <w:rsid w:val="32CC0FF0"/>
    <w:rsid w:val="32CD7638"/>
    <w:rsid w:val="32D3678F"/>
    <w:rsid w:val="32DD144F"/>
    <w:rsid w:val="32DF6F75"/>
    <w:rsid w:val="32E40B1B"/>
    <w:rsid w:val="32E92FB9"/>
    <w:rsid w:val="32FC18D5"/>
    <w:rsid w:val="33150101"/>
    <w:rsid w:val="331704BD"/>
    <w:rsid w:val="334E2397"/>
    <w:rsid w:val="33526CEF"/>
    <w:rsid w:val="33631954"/>
    <w:rsid w:val="338418CB"/>
    <w:rsid w:val="33AD30C5"/>
    <w:rsid w:val="33BC1065"/>
    <w:rsid w:val="33C64D45"/>
    <w:rsid w:val="33EC0EFE"/>
    <w:rsid w:val="33F64119"/>
    <w:rsid w:val="33F8661C"/>
    <w:rsid w:val="34003BD4"/>
    <w:rsid w:val="340604EA"/>
    <w:rsid w:val="341F3A1B"/>
    <w:rsid w:val="342015F4"/>
    <w:rsid w:val="3454129D"/>
    <w:rsid w:val="345968B4"/>
    <w:rsid w:val="348025C6"/>
    <w:rsid w:val="3492069F"/>
    <w:rsid w:val="34945433"/>
    <w:rsid w:val="349F4C0E"/>
    <w:rsid w:val="34A2025B"/>
    <w:rsid w:val="34C53F49"/>
    <w:rsid w:val="34E940DB"/>
    <w:rsid w:val="34F36F75"/>
    <w:rsid w:val="350D601C"/>
    <w:rsid w:val="35204032"/>
    <w:rsid w:val="35233101"/>
    <w:rsid w:val="352A25E8"/>
    <w:rsid w:val="35497CBA"/>
    <w:rsid w:val="354B627A"/>
    <w:rsid w:val="356814A4"/>
    <w:rsid w:val="356909C2"/>
    <w:rsid w:val="35773071"/>
    <w:rsid w:val="357C0AAC"/>
    <w:rsid w:val="357C6CFE"/>
    <w:rsid w:val="35885E60"/>
    <w:rsid w:val="358E3D56"/>
    <w:rsid w:val="35926DCC"/>
    <w:rsid w:val="35AB313F"/>
    <w:rsid w:val="35E93C67"/>
    <w:rsid w:val="35EA1EB9"/>
    <w:rsid w:val="36015455"/>
    <w:rsid w:val="360311CD"/>
    <w:rsid w:val="3628478F"/>
    <w:rsid w:val="36435665"/>
    <w:rsid w:val="3647730B"/>
    <w:rsid w:val="367C49A1"/>
    <w:rsid w:val="369C0E0A"/>
    <w:rsid w:val="36B576F9"/>
    <w:rsid w:val="36C26992"/>
    <w:rsid w:val="36D52B69"/>
    <w:rsid w:val="36D55C7A"/>
    <w:rsid w:val="36E6103A"/>
    <w:rsid w:val="36EF34FF"/>
    <w:rsid w:val="3710594F"/>
    <w:rsid w:val="37364480"/>
    <w:rsid w:val="374B6987"/>
    <w:rsid w:val="37545800"/>
    <w:rsid w:val="375D66BB"/>
    <w:rsid w:val="376B702A"/>
    <w:rsid w:val="379A346B"/>
    <w:rsid w:val="37C26C87"/>
    <w:rsid w:val="37E1553E"/>
    <w:rsid w:val="38007D90"/>
    <w:rsid w:val="3801529B"/>
    <w:rsid w:val="380F3E59"/>
    <w:rsid w:val="381474C6"/>
    <w:rsid w:val="38183E1B"/>
    <w:rsid w:val="38295077"/>
    <w:rsid w:val="382B6D50"/>
    <w:rsid w:val="382F0057"/>
    <w:rsid w:val="383C5781"/>
    <w:rsid w:val="384D08D4"/>
    <w:rsid w:val="38613F89"/>
    <w:rsid w:val="388D1222"/>
    <w:rsid w:val="3895243A"/>
    <w:rsid w:val="38A10829"/>
    <w:rsid w:val="38B00000"/>
    <w:rsid w:val="38BB18EB"/>
    <w:rsid w:val="38C2047C"/>
    <w:rsid w:val="38D37AC3"/>
    <w:rsid w:val="38E30E42"/>
    <w:rsid w:val="38F66DC7"/>
    <w:rsid w:val="391060DB"/>
    <w:rsid w:val="39287D16"/>
    <w:rsid w:val="392C04C3"/>
    <w:rsid w:val="39377035"/>
    <w:rsid w:val="39706B79"/>
    <w:rsid w:val="39904B26"/>
    <w:rsid w:val="39A409AB"/>
    <w:rsid w:val="39AB195F"/>
    <w:rsid w:val="39D35282"/>
    <w:rsid w:val="3A1439A9"/>
    <w:rsid w:val="3A357A7E"/>
    <w:rsid w:val="3A5E4C24"/>
    <w:rsid w:val="3A6B10EF"/>
    <w:rsid w:val="3A775214"/>
    <w:rsid w:val="3A8F494D"/>
    <w:rsid w:val="3AAA7E69"/>
    <w:rsid w:val="3ABE56C2"/>
    <w:rsid w:val="3ACA050B"/>
    <w:rsid w:val="3ACF5B21"/>
    <w:rsid w:val="3AD06868"/>
    <w:rsid w:val="3AD82705"/>
    <w:rsid w:val="3AEB650A"/>
    <w:rsid w:val="3AF5356F"/>
    <w:rsid w:val="3AF61300"/>
    <w:rsid w:val="3AF9494C"/>
    <w:rsid w:val="3B22691D"/>
    <w:rsid w:val="3B3460C0"/>
    <w:rsid w:val="3B3779FE"/>
    <w:rsid w:val="3B6076B2"/>
    <w:rsid w:val="3B691AD2"/>
    <w:rsid w:val="3B6A75F8"/>
    <w:rsid w:val="3B755158"/>
    <w:rsid w:val="3B7A3CDF"/>
    <w:rsid w:val="3B837F8F"/>
    <w:rsid w:val="3B842468"/>
    <w:rsid w:val="3B862684"/>
    <w:rsid w:val="3B885799"/>
    <w:rsid w:val="3B892174"/>
    <w:rsid w:val="3BA90120"/>
    <w:rsid w:val="3BD31B4C"/>
    <w:rsid w:val="3BD56240"/>
    <w:rsid w:val="3BE23632"/>
    <w:rsid w:val="3BEB0739"/>
    <w:rsid w:val="3BF5780A"/>
    <w:rsid w:val="3BFF2436"/>
    <w:rsid w:val="3C045336"/>
    <w:rsid w:val="3C241E9D"/>
    <w:rsid w:val="3C485465"/>
    <w:rsid w:val="3C4E5B21"/>
    <w:rsid w:val="3C540EF7"/>
    <w:rsid w:val="3C5462DE"/>
    <w:rsid w:val="3C7060DA"/>
    <w:rsid w:val="3C8B7826"/>
    <w:rsid w:val="3C917BA0"/>
    <w:rsid w:val="3CB46D7D"/>
    <w:rsid w:val="3CBA010B"/>
    <w:rsid w:val="3CC01BC6"/>
    <w:rsid w:val="3CC11038"/>
    <w:rsid w:val="3CE31550"/>
    <w:rsid w:val="3CE32F55"/>
    <w:rsid w:val="3D001FC2"/>
    <w:rsid w:val="3D255ECD"/>
    <w:rsid w:val="3D2F0AF9"/>
    <w:rsid w:val="3D346474"/>
    <w:rsid w:val="3D3B2FFA"/>
    <w:rsid w:val="3D566086"/>
    <w:rsid w:val="3D695EAF"/>
    <w:rsid w:val="3D7824A0"/>
    <w:rsid w:val="3D785FFC"/>
    <w:rsid w:val="3D8F7BCA"/>
    <w:rsid w:val="3D932E36"/>
    <w:rsid w:val="3DA60DBB"/>
    <w:rsid w:val="3DAD20DD"/>
    <w:rsid w:val="3DB72FC9"/>
    <w:rsid w:val="3DB8289D"/>
    <w:rsid w:val="3DB86D41"/>
    <w:rsid w:val="3DC54FBA"/>
    <w:rsid w:val="3DD142BB"/>
    <w:rsid w:val="3DEB0EC4"/>
    <w:rsid w:val="3DF02037"/>
    <w:rsid w:val="3DF17B5D"/>
    <w:rsid w:val="3DF638A0"/>
    <w:rsid w:val="3DFC418E"/>
    <w:rsid w:val="3DFD6502"/>
    <w:rsid w:val="3E0C1200"/>
    <w:rsid w:val="3E167563"/>
    <w:rsid w:val="3E2D5039"/>
    <w:rsid w:val="3E446852"/>
    <w:rsid w:val="3E4F69BB"/>
    <w:rsid w:val="3E5A656F"/>
    <w:rsid w:val="3E5C76CC"/>
    <w:rsid w:val="3E647289"/>
    <w:rsid w:val="3E7964D0"/>
    <w:rsid w:val="3E7D36F7"/>
    <w:rsid w:val="3E810EE1"/>
    <w:rsid w:val="3E891DA4"/>
    <w:rsid w:val="3E933797"/>
    <w:rsid w:val="3E976956"/>
    <w:rsid w:val="3EA52668"/>
    <w:rsid w:val="3EBD0EE2"/>
    <w:rsid w:val="3EFE0783"/>
    <w:rsid w:val="3EFE4C27"/>
    <w:rsid w:val="3F125C8C"/>
    <w:rsid w:val="3F141D55"/>
    <w:rsid w:val="3F1735F3"/>
    <w:rsid w:val="3F183D8F"/>
    <w:rsid w:val="3F222FE0"/>
    <w:rsid w:val="3F312907"/>
    <w:rsid w:val="3F3441A5"/>
    <w:rsid w:val="3F3D5750"/>
    <w:rsid w:val="3F4B6BF0"/>
    <w:rsid w:val="3F682C26"/>
    <w:rsid w:val="3F6D16D7"/>
    <w:rsid w:val="3F747261"/>
    <w:rsid w:val="3F8769CB"/>
    <w:rsid w:val="3F8F3AD1"/>
    <w:rsid w:val="3F8F7490"/>
    <w:rsid w:val="3F94000D"/>
    <w:rsid w:val="3FA330D9"/>
    <w:rsid w:val="3FAF7CCF"/>
    <w:rsid w:val="3FC27A03"/>
    <w:rsid w:val="3FC96FE3"/>
    <w:rsid w:val="3FE32A90"/>
    <w:rsid w:val="3FE43E1D"/>
    <w:rsid w:val="3FE47979"/>
    <w:rsid w:val="3FE8319B"/>
    <w:rsid w:val="3FFA719D"/>
    <w:rsid w:val="4004305D"/>
    <w:rsid w:val="400870B8"/>
    <w:rsid w:val="40155D85"/>
    <w:rsid w:val="401D10DD"/>
    <w:rsid w:val="40442B0E"/>
    <w:rsid w:val="406D3E12"/>
    <w:rsid w:val="40890521"/>
    <w:rsid w:val="40C003E6"/>
    <w:rsid w:val="40CE2673"/>
    <w:rsid w:val="40DA6FCE"/>
    <w:rsid w:val="40EE65D6"/>
    <w:rsid w:val="40EF750C"/>
    <w:rsid w:val="40FB7670"/>
    <w:rsid w:val="410F2FC5"/>
    <w:rsid w:val="410F45E7"/>
    <w:rsid w:val="4134048C"/>
    <w:rsid w:val="4158794C"/>
    <w:rsid w:val="416F7716"/>
    <w:rsid w:val="419B49AF"/>
    <w:rsid w:val="41A73354"/>
    <w:rsid w:val="41C23CEA"/>
    <w:rsid w:val="41C31810"/>
    <w:rsid w:val="41C757A4"/>
    <w:rsid w:val="41CE376B"/>
    <w:rsid w:val="41D41C6F"/>
    <w:rsid w:val="41DD1214"/>
    <w:rsid w:val="41F84884"/>
    <w:rsid w:val="42074D81"/>
    <w:rsid w:val="42162288"/>
    <w:rsid w:val="42277FF1"/>
    <w:rsid w:val="422C3859"/>
    <w:rsid w:val="424C7A58"/>
    <w:rsid w:val="42755843"/>
    <w:rsid w:val="428B1AA5"/>
    <w:rsid w:val="429531AD"/>
    <w:rsid w:val="429D02B3"/>
    <w:rsid w:val="429F1251"/>
    <w:rsid w:val="42F223AD"/>
    <w:rsid w:val="42F36125"/>
    <w:rsid w:val="42F62490"/>
    <w:rsid w:val="43000978"/>
    <w:rsid w:val="43004B7A"/>
    <w:rsid w:val="43094BE2"/>
    <w:rsid w:val="430F539D"/>
    <w:rsid w:val="43212C92"/>
    <w:rsid w:val="432D7889"/>
    <w:rsid w:val="432F3601"/>
    <w:rsid w:val="43374264"/>
    <w:rsid w:val="433E2020"/>
    <w:rsid w:val="43501FEC"/>
    <w:rsid w:val="43574906"/>
    <w:rsid w:val="435E5C94"/>
    <w:rsid w:val="435E718F"/>
    <w:rsid w:val="43972F54"/>
    <w:rsid w:val="43994193"/>
    <w:rsid w:val="439F6C52"/>
    <w:rsid w:val="43BC14A4"/>
    <w:rsid w:val="43CC0E50"/>
    <w:rsid w:val="43D16466"/>
    <w:rsid w:val="43F108B7"/>
    <w:rsid w:val="44112D07"/>
    <w:rsid w:val="441445A5"/>
    <w:rsid w:val="4416031D"/>
    <w:rsid w:val="44222F08"/>
    <w:rsid w:val="442514B7"/>
    <w:rsid w:val="443A0129"/>
    <w:rsid w:val="445B21D4"/>
    <w:rsid w:val="447E126A"/>
    <w:rsid w:val="448C3CC5"/>
    <w:rsid w:val="448C6831"/>
    <w:rsid w:val="449F47B6"/>
    <w:rsid w:val="44A0729C"/>
    <w:rsid w:val="44B24732"/>
    <w:rsid w:val="44BA4149"/>
    <w:rsid w:val="44BE2E8F"/>
    <w:rsid w:val="44CD4E80"/>
    <w:rsid w:val="44E81CBA"/>
    <w:rsid w:val="44ED3CA5"/>
    <w:rsid w:val="450308A1"/>
    <w:rsid w:val="45131232"/>
    <w:rsid w:val="452F12F5"/>
    <w:rsid w:val="453549B1"/>
    <w:rsid w:val="453B44DF"/>
    <w:rsid w:val="45401AF6"/>
    <w:rsid w:val="4541044F"/>
    <w:rsid w:val="455C6204"/>
    <w:rsid w:val="457804D5"/>
    <w:rsid w:val="45B7168C"/>
    <w:rsid w:val="45DA5C68"/>
    <w:rsid w:val="45EC3A2B"/>
    <w:rsid w:val="45EC7588"/>
    <w:rsid w:val="45F20916"/>
    <w:rsid w:val="45FD1795"/>
    <w:rsid w:val="46026DAB"/>
    <w:rsid w:val="460839C1"/>
    <w:rsid w:val="46222FA9"/>
    <w:rsid w:val="463236F2"/>
    <w:rsid w:val="463D7DE3"/>
    <w:rsid w:val="464473C4"/>
    <w:rsid w:val="464B69A4"/>
    <w:rsid w:val="465A6BE7"/>
    <w:rsid w:val="465E764C"/>
    <w:rsid w:val="4694464B"/>
    <w:rsid w:val="46954ED9"/>
    <w:rsid w:val="46A61E2C"/>
    <w:rsid w:val="46AC6D17"/>
    <w:rsid w:val="46B32138"/>
    <w:rsid w:val="46EB5A91"/>
    <w:rsid w:val="46F22218"/>
    <w:rsid w:val="46F72688"/>
    <w:rsid w:val="46FA3F26"/>
    <w:rsid w:val="46FB5788"/>
    <w:rsid w:val="471A0124"/>
    <w:rsid w:val="47412EAE"/>
    <w:rsid w:val="474358CD"/>
    <w:rsid w:val="47487D3C"/>
    <w:rsid w:val="474A6C5C"/>
    <w:rsid w:val="475A2C17"/>
    <w:rsid w:val="47A02FEE"/>
    <w:rsid w:val="47A80F1E"/>
    <w:rsid w:val="47A83982"/>
    <w:rsid w:val="47AB6999"/>
    <w:rsid w:val="47C66AE7"/>
    <w:rsid w:val="47D26C51"/>
    <w:rsid w:val="47DE55F6"/>
    <w:rsid w:val="47E04ECA"/>
    <w:rsid w:val="47E524E0"/>
    <w:rsid w:val="47EB3E1C"/>
    <w:rsid w:val="47F60E93"/>
    <w:rsid w:val="48027536"/>
    <w:rsid w:val="481E3AAF"/>
    <w:rsid w:val="48205C0E"/>
    <w:rsid w:val="483B47F6"/>
    <w:rsid w:val="483D056E"/>
    <w:rsid w:val="483D1893"/>
    <w:rsid w:val="484A61BF"/>
    <w:rsid w:val="485422E0"/>
    <w:rsid w:val="48547666"/>
    <w:rsid w:val="486C49B0"/>
    <w:rsid w:val="486F10A5"/>
    <w:rsid w:val="487565D5"/>
    <w:rsid w:val="48C26CC5"/>
    <w:rsid w:val="48C42A3E"/>
    <w:rsid w:val="48D03190"/>
    <w:rsid w:val="48D16F09"/>
    <w:rsid w:val="48E82D4D"/>
    <w:rsid w:val="48EF6B60"/>
    <w:rsid w:val="48FD385A"/>
    <w:rsid w:val="49107A31"/>
    <w:rsid w:val="4921579A"/>
    <w:rsid w:val="493354CD"/>
    <w:rsid w:val="49341FF9"/>
    <w:rsid w:val="493556E9"/>
    <w:rsid w:val="49382AE4"/>
    <w:rsid w:val="493B1243"/>
    <w:rsid w:val="4941264A"/>
    <w:rsid w:val="49725FF6"/>
    <w:rsid w:val="49A32653"/>
    <w:rsid w:val="49A5461D"/>
    <w:rsid w:val="49B120BE"/>
    <w:rsid w:val="49D71785"/>
    <w:rsid w:val="49DD71DE"/>
    <w:rsid w:val="49F04DE4"/>
    <w:rsid w:val="49F17862"/>
    <w:rsid w:val="49F64E79"/>
    <w:rsid w:val="4A0B01F8"/>
    <w:rsid w:val="4A175E73"/>
    <w:rsid w:val="4A1C545E"/>
    <w:rsid w:val="4A216F8B"/>
    <w:rsid w:val="4A2512BA"/>
    <w:rsid w:val="4A2A4B22"/>
    <w:rsid w:val="4A532C46"/>
    <w:rsid w:val="4A560560"/>
    <w:rsid w:val="4A954A5F"/>
    <w:rsid w:val="4AAA7A11"/>
    <w:rsid w:val="4ADF3B5F"/>
    <w:rsid w:val="4ADF52C2"/>
    <w:rsid w:val="4AFB026D"/>
    <w:rsid w:val="4B1355B6"/>
    <w:rsid w:val="4B2253A3"/>
    <w:rsid w:val="4B275B29"/>
    <w:rsid w:val="4B2E23F0"/>
    <w:rsid w:val="4B482FE8"/>
    <w:rsid w:val="4B687A43"/>
    <w:rsid w:val="4B7676A2"/>
    <w:rsid w:val="4B7E2B72"/>
    <w:rsid w:val="4B8244EA"/>
    <w:rsid w:val="4B861CB1"/>
    <w:rsid w:val="4B897627"/>
    <w:rsid w:val="4BA1327D"/>
    <w:rsid w:val="4BBF1D08"/>
    <w:rsid w:val="4BDE5BC4"/>
    <w:rsid w:val="4BE64A79"/>
    <w:rsid w:val="4BF076A6"/>
    <w:rsid w:val="4C225B2C"/>
    <w:rsid w:val="4C464A47"/>
    <w:rsid w:val="4C4C1669"/>
    <w:rsid w:val="4C567E51"/>
    <w:rsid w:val="4C600CB1"/>
    <w:rsid w:val="4C667968"/>
    <w:rsid w:val="4C8C4B93"/>
    <w:rsid w:val="4C9E7102"/>
    <w:rsid w:val="4CA010CC"/>
    <w:rsid w:val="4CE64A52"/>
    <w:rsid w:val="4CEC6287"/>
    <w:rsid w:val="4D241CFD"/>
    <w:rsid w:val="4D317F76"/>
    <w:rsid w:val="4D5325E2"/>
    <w:rsid w:val="4D6E6AAF"/>
    <w:rsid w:val="4D7C761C"/>
    <w:rsid w:val="4D891B60"/>
    <w:rsid w:val="4D9401D6"/>
    <w:rsid w:val="4DA33696"/>
    <w:rsid w:val="4DAE16EB"/>
    <w:rsid w:val="4DC5444C"/>
    <w:rsid w:val="4DD454D1"/>
    <w:rsid w:val="4DD73A22"/>
    <w:rsid w:val="4DD76D6F"/>
    <w:rsid w:val="4DDD3C5A"/>
    <w:rsid w:val="4DF0398D"/>
    <w:rsid w:val="4DF60C80"/>
    <w:rsid w:val="4DFE3442"/>
    <w:rsid w:val="4E125FF9"/>
    <w:rsid w:val="4E185B3D"/>
    <w:rsid w:val="4E323FA5"/>
    <w:rsid w:val="4E50224A"/>
    <w:rsid w:val="4E755A1A"/>
    <w:rsid w:val="4E775E5C"/>
    <w:rsid w:val="4E824F2D"/>
    <w:rsid w:val="4E9D50CF"/>
    <w:rsid w:val="4EA053B3"/>
    <w:rsid w:val="4EAB2916"/>
    <w:rsid w:val="4EC05A55"/>
    <w:rsid w:val="4EC372F3"/>
    <w:rsid w:val="4ED908C5"/>
    <w:rsid w:val="4F053A58"/>
    <w:rsid w:val="4F1D4C56"/>
    <w:rsid w:val="4F231B40"/>
    <w:rsid w:val="4F2628C7"/>
    <w:rsid w:val="4F2F6737"/>
    <w:rsid w:val="4F471CD3"/>
    <w:rsid w:val="4F5246ED"/>
    <w:rsid w:val="4F590025"/>
    <w:rsid w:val="4F7725B8"/>
    <w:rsid w:val="4F8922EB"/>
    <w:rsid w:val="4F960564"/>
    <w:rsid w:val="4F980780"/>
    <w:rsid w:val="4F9D5D96"/>
    <w:rsid w:val="4FC652ED"/>
    <w:rsid w:val="4FCD6C7A"/>
    <w:rsid w:val="4FFC486B"/>
    <w:rsid w:val="4FFF2A2C"/>
    <w:rsid w:val="500951DA"/>
    <w:rsid w:val="50200DCA"/>
    <w:rsid w:val="503264DF"/>
    <w:rsid w:val="506D5769"/>
    <w:rsid w:val="50897A4F"/>
    <w:rsid w:val="50924895"/>
    <w:rsid w:val="50C01D3C"/>
    <w:rsid w:val="50D6330E"/>
    <w:rsid w:val="50DB14A2"/>
    <w:rsid w:val="50F73284"/>
    <w:rsid w:val="51087240"/>
    <w:rsid w:val="510C08F5"/>
    <w:rsid w:val="511E69A0"/>
    <w:rsid w:val="512236AA"/>
    <w:rsid w:val="512E185C"/>
    <w:rsid w:val="512F2A1E"/>
    <w:rsid w:val="51375377"/>
    <w:rsid w:val="51475FBA"/>
    <w:rsid w:val="51552C9C"/>
    <w:rsid w:val="5179348D"/>
    <w:rsid w:val="517A638F"/>
    <w:rsid w:val="51AC22C1"/>
    <w:rsid w:val="51AF590D"/>
    <w:rsid w:val="51D04201"/>
    <w:rsid w:val="52025B23"/>
    <w:rsid w:val="520B6FE7"/>
    <w:rsid w:val="5224663F"/>
    <w:rsid w:val="523A5B1F"/>
    <w:rsid w:val="52552958"/>
    <w:rsid w:val="52687391"/>
    <w:rsid w:val="52792ECE"/>
    <w:rsid w:val="527E5B61"/>
    <w:rsid w:val="528A2602"/>
    <w:rsid w:val="52976ACD"/>
    <w:rsid w:val="52EB11E0"/>
    <w:rsid w:val="53086608"/>
    <w:rsid w:val="53526EAE"/>
    <w:rsid w:val="53536310"/>
    <w:rsid w:val="536912CC"/>
    <w:rsid w:val="536C09D1"/>
    <w:rsid w:val="536F5815"/>
    <w:rsid w:val="53871B01"/>
    <w:rsid w:val="53963CFA"/>
    <w:rsid w:val="53B228D0"/>
    <w:rsid w:val="53E1679D"/>
    <w:rsid w:val="540C0A08"/>
    <w:rsid w:val="54382383"/>
    <w:rsid w:val="543B5442"/>
    <w:rsid w:val="544D1B39"/>
    <w:rsid w:val="544F3B03"/>
    <w:rsid w:val="54684BC5"/>
    <w:rsid w:val="54751090"/>
    <w:rsid w:val="547A0454"/>
    <w:rsid w:val="54A93FE9"/>
    <w:rsid w:val="54B716A8"/>
    <w:rsid w:val="54BB7713"/>
    <w:rsid w:val="54DC69F7"/>
    <w:rsid w:val="54E12D87"/>
    <w:rsid w:val="54EB4C35"/>
    <w:rsid w:val="54F03763"/>
    <w:rsid w:val="55055F70"/>
    <w:rsid w:val="55124B31"/>
    <w:rsid w:val="551E34D6"/>
    <w:rsid w:val="552D4350"/>
    <w:rsid w:val="555B2034"/>
    <w:rsid w:val="555D3FFE"/>
    <w:rsid w:val="556829A3"/>
    <w:rsid w:val="557A3281"/>
    <w:rsid w:val="55B139E6"/>
    <w:rsid w:val="55CE0A58"/>
    <w:rsid w:val="55CE6156"/>
    <w:rsid w:val="55D50038"/>
    <w:rsid w:val="55E32A1C"/>
    <w:rsid w:val="561603B2"/>
    <w:rsid w:val="561641AD"/>
    <w:rsid w:val="561F5757"/>
    <w:rsid w:val="56290384"/>
    <w:rsid w:val="563F1955"/>
    <w:rsid w:val="56464A92"/>
    <w:rsid w:val="564B20A8"/>
    <w:rsid w:val="565753CA"/>
    <w:rsid w:val="567C24C2"/>
    <w:rsid w:val="56AB0D99"/>
    <w:rsid w:val="56B0015D"/>
    <w:rsid w:val="56B57E6A"/>
    <w:rsid w:val="56C360E3"/>
    <w:rsid w:val="56C85EF8"/>
    <w:rsid w:val="56CD6F61"/>
    <w:rsid w:val="56D96AA1"/>
    <w:rsid w:val="56E60023"/>
    <w:rsid w:val="570341F8"/>
    <w:rsid w:val="5705494D"/>
    <w:rsid w:val="570861EB"/>
    <w:rsid w:val="571D6A2B"/>
    <w:rsid w:val="57201A20"/>
    <w:rsid w:val="572D5C52"/>
    <w:rsid w:val="57345792"/>
    <w:rsid w:val="57346FE0"/>
    <w:rsid w:val="575B27BF"/>
    <w:rsid w:val="576F40E4"/>
    <w:rsid w:val="57835872"/>
    <w:rsid w:val="578C4726"/>
    <w:rsid w:val="57AC45D0"/>
    <w:rsid w:val="57AE1241"/>
    <w:rsid w:val="57B273E9"/>
    <w:rsid w:val="57B67C8D"/>
    <w:rsid w:val="57BA2943"/>
    <w:rsid w:val="57C00874"/>
    <w:rsid w:val="57D40540"/>
    <w:rsid w:val="57E04A72"/>
    <w:rsid w:val="57E5236D"/>
    <w:rsid w:val="57EE718F"/>
    <w:rsid w:val="57EF4CB5"/>
    <w:rsid w:val="58346B6C"/>
    <w:rsid w:val="58372C70"/>
    <w:rsid w:val="583E1656"/>
    <w:rsid w:val="589D1393"/>
    <w:rsid w:val="58B55EFF"/>
    <w:rsid w:val="58C3061C"/>
    <w:rsid w:val="58E70221"/>
    <w:rsid w:val="58F22CAF"/>
    <w:rsid w:val="5908019E"/>
    <w:rsid w:val="591B7FEB"/>
    <w:rsid w:val="59314975"/>
    <w:rsid w:val="59550740"/>
    <w:rsid w:val="5966544B"/>
    <w:rsid w:val="597436C4"/>
    <w:rsid w:val="59814033"/>
    <w:rsid w:val="59C10AB4"/>
    <w:rsid w:val="59D56296"/>
    <w:rsid w:val="59D95C1D"/>
    <w:rsid w:val="59DE3233"/>
    <w:rsid w:val="59DE62A0"/>
    <w:rsid w:val="59EA1BD8"/>
    <w:rsid w:val="59EF5441"/>
    <w:rsid w:val="5A026F22"/>
    <w:rsid w:val="5A162DC3"/>
    <w:rsid w:val="5A1D1FAE"/>
    <w:rsid w:val="5A2F2F5F"/>
    <w:rsid w:val="5A57029D"/>
    <w:rsid w:val="5AA004E9"/>
    <w:rsid w:val="5AA955EF"/>
    <w:rsid w:val="5AE568F8"/>
    <w:rsid w:val="5AE605F2"/>
    <w:rsid w:val="5AE64A95"/>
    <w:rsid w:val="5AEB5C08"/>
    <w:rsid w:val="5AEE74A6"/>
    <w:rsid w:val="5AF251E8"/>
    <w:rsid w:val="5AF54CD9"/>
    <w:rsid w:val="5AFD593B"/>
    <w:rsid w:val="5B0171D9"/>
    <w:rsid w:val="5B225A37"/>
    <w:rsid w:val="5B4F0440"/>
    <w:rsid w:val="5B5E287E"/>
    <w:rsid w:val="5B6A1223"/>
    <w:rsid w:val="5B7E6A7C"/>
    <w:rsid w:val="5B8A42EF"/>
    <w:rsid w:val="5B9A7FFC"/>
    <w:rsid w:val="5BA76E58"/>
    <w:rsid w:val="5BB03038"/>
    <w:rsid w:val="5BBC1352"/>
    <w:rsid w:val="5BFB631F"/>
    <w:rsid w:val="5BFE2260"/>
    <w:rsid w:val="5C003935"/>
    <w:rsid w:val="5C0351D3"/>
    <w:rsid w:val="5C11169E"/>
    <w:rsid w:val="5C3E4412"/>
    <w:rsid w:val="5C3F3891"/>
    <w:rsid w:val="5C484871"/>
    <w:rsid w:val="5C4A2E02"/>
    <w:rsid w:val="5C602626"/>
    <w:rsid w:val="5C60665C"/>
    <w:rsid w:val="5C7659A5"/>
    <w:rsid w:val="5C81323B"/>
    <w:rsid w:val="5C875E04"/>
    <w:rsid w:val="5C8D658A"/>
    <w:rsid w:val="5C967DF5"/>
    <w:rsid w:val="5CA83399"/>
    <w:rsid w:val="5CAF3A11"/>
    <w:rsid w:val="5CBF734C"/>
    <w:rsid w:val="5CC33E1F"/>
    <w:rsid w:val="5CDD5A24"/>
    <w:rsid w:val="5CFF1E3E"/>
    <w:rsid w:val="5D1134E3"/>
    <w:rsid w:val="5D3B5199"/>
    <w:rsid w:val="5D6B3030"/>
    <w:rsid w:val="5D6F2B20"/>
    <w:rsid w:val="5D72616D"/>
    <w:rsid w:val="5D7A3273"/>
    <w:rsid w:val="5D9C0A90"/>
    <w:rsid w:val="5DA4235E"/>
    <w:rsid w:val="5DAA334D"/>
    <w:rsid w:val="5DB06C95"/>
    <w:rsid w:val="5DBA2E8C"/>
    <w:rsid w:val="5DBC06E1"/>
    <w:rsid w:val="5DDC5CDC"/>
    <w:rsid w:val="5DDF5B1F"/>
    <w:rsid w:val="5DE352BC"/>
    <w:rsid w:val="5DFC53C5"/>
    <w:rsid w:val="5E1957DF"/>
    <w:rsid w:val="5E196EBA"/>
    <w:rsid w:val="5E253BAB"/>
    <w:rsid w:val="5E4D4235"/>
    <w:rsid w:val="5E504395"/>
    <w:rsid w:val="5E5B4E53"/>
    <w:rsid w:val="5E602469"/>
    <w:rsid w:val="5E677C9B"/>
    <w:rsid w:val="5E6F283B"/>
    <w:rsid w:val="5EA22A81"/>
    <w:rsid w:val="5ED21F55"/>
    <w:rsid w:val="5ED22BFF"/>
    <w:rsid w:val="5EDA6D5D"/>
    <w:rsid w:val="5EE035AA"/>
    <w:rsid w:val="5EE412EC"/>
    <w:rsid w:val="5EF57055"/>
    <w:rsid w:val="5F0D76A3"/>
    <w:rsid w:val="5F117C07"/>
    <w:rsid w:val="5F230066"/>
    <w:rsid w:val="5F2931A3"/>
    <w:rsid w:val="5F334021"/>
    <w:rsid w:val="5F3538F6"/>
    <w:rsid w:val="5F381638"/>
    <w:rsid w:val="5F385194"/>
    <w:rsid w:val="5F3F6522"/>
    <w:rsid w:val="5F4104EC"/>
    <w:rsid w:val="5F4639E0"/>
    <w:rsid w:val="5F5B7C49"/>
    <w:rsid w:val="5F686E8E"/>
    <w:rsid w:val="5F73441E"/>
    <w:rsid w:val="5F8D1984"/>
    <w:rsid w:val="5FAB0CC9"/>
    <w:rsid w:val="5FAD7930"/>
    <w:rsid w:val="5FC829BC"/>
    <w:rsid w:val="5FCF3D4A"/>
    <w:rsid w:val="5FEA2B00"/>
    <w:rsid w:val="5FF22E45"/>
    <w:rsid w:val="60172FFB"/>
    <w:rsid w:val="602D6CC3"/>
    <w:rsid w:val="6042451C"/>
    <w:rsid w:val="607641C6"/>
    <w:rsid w:val="60883EF9"/>
    <w:rsid w:val="608A3882"/>
    <w:rsid w:val="608B2C81"/>
    <w:rsid w:val="608F34D9"/>
    <w:rsid w:val="609805E0"/>
    <w:rsid w:val="60AA0313"/>
    <w:rsid w:val="60AF3879"/>
    <w:rsid w:val="60C56EFB"/>
    <w:rsid w:val="60EF149E"/>
    <w:rsid w:val="613C0A62"/>
    <w:rsid w:val="615200E1"/>
    <w:rsid w:val="61693230"/>
    <w:rsid w:val="61972B6A"/>
    <w:rsid w:val="61B52ACC"/>
    <w:rsid w:val="61B84E22"/>
    <w:rsid w:val="61D45514"/>
    <w:rsid w:val="61F30033"/>
    <w:rsid w:val="61FD5295"/>
    <w:rsid w:val="624502F4"/>
    <w:rsid w:val="62791D4B"/>
    <w:rsid w:val="628D3A49"/>
    <w:rsid w:val="62CD2127"/>
    <w:rsid w:val="62CF5E0F"/>
    <w:rsid w:val="62E83E16"/>
    <w:rsid w:val="62E95123"/>
    <w:rsid w:val="62E96ED1"/>
    <w:rsid w:val="62F35FA1"/>
    <w:rsid w:val="630261E5"/>
    <w:rsid w:val="63067FD3"/>
    <w:rsid w:val="631F28F3"/>
    <w:rsid w:val="632443AD"/>
    <w:rsid w:val="633839B4"/>
    <w:rsid w:val="6354674F"/>
    <w:rsid w:val="636E387A"/>
    <w:rsid w:val="636E5E0F"/>
    <w:rsid w:val="637349EC"/>
    <w:rsid w:val="6390559E"/>
    <w:rsid w:val="639C3F43"/>
    <w:rsid w:val="63A45A71"/>
    <w:rsid w:val="63A66B70"/>
    <w:rsid w:val="63C35974"/>
    <w:rsid w:val="63DF2082"/>
    <w:rsid w:val="63ED0C43"/>
    <w:rsid w:val="63ED479F"/>
    <w:rsid w:val="63F10999"/>
    <w:rsid w:val="63FD075A"/>
    <w:rsid w:val="641F4B74"/>
    <w:rsid w:val="643367BB"/>
    <w:rsid w:val="64460353"/>
    <w:rsid w:val="645206D0"/>
    <w:rsid w:val="645E6CBF"/>
    <w:rsid w:val="646B1B68"/>
    <w:rsid w:val="64AA08E2"/>
    <w:rsid w:val="65002A2C"/>
    <w:rsid w:val="6502427A"/>
    <w:rsid w:val="6509385A"/>
    <w:rsid w:val="653D1756"/>
    <w:rsid w:val="653E102A"/>
    <w:rsid w:val="65442AE4"/>
    <w:rsid w:val="654B78CA"/>
    <w:rsid w:val="65577BA6"/>
    <w:rsid w:val="65624D19"/>
    <w:rsid w:val="656C55D4"/>
    <w:rsid w:val="657607C4"/>
    <w:rsid w:val="65AD4482"/>
    <w:rsid w:val="65B25CA0"/>
    <w:rsid w:val="65C07C91"/>
    <w:rsid w:val="65D8322D"/>
    <w:rsid w:val="65DC4ACB"/>
    <w:rsid w:val="66013B8E"/>
    <w:rsid w:val="660202AA"/>
    <w:rsid w:val="66326DE1"/>
    <w:rsid w:val="663D12E2"/>
    <w:rsid w:val="66504D19"/>
    <w:rsid w:val="665243A2"/>
    <w:rsid w:val="66552ACF"/>
    <w:rsid w:val="665533E3"/>
    <w:rsid w:val="665B6338"/>
    <w:rsid w:val="665E1984"/>
    <w:rsid w:val="66660838"/>
    <w:rsid w:val="667411A7"/>
    <w:rsid w:val="66742F55"/>
    <w:rsid w:val="6680605A"/>
    <w:rsid w:val="66837ED2"/>
    <w:rsid w:val="668C58AE"/>
    <w:rsid w:val="66A7157D"/>
    <w:rsid w:val="66B5531C"/>
    <w:rsid w:val="66BC37E2"/>
    <w:rsid w:val="66DB2FD4"/>
    <w:rsid w:val="66F44096"/>
    <w:rsid w:val="670562A3"/>
    <w:rsid w:val="670B7AEA"/>
    <w:rsid w:val="671E1113"/>
    <w:rsid w:val="672A3F5C"/>
    <w:rsid w:val="6756421A"/>
    <w:rsid w:val="67630CEF"/>
    <w:rsid w:val="67780EDA"/>
    <w:rsid w:val="67825B46"/>
    <w:rsid w:val="678A67A9"/>
    <w:rsid w:val="679C7611"/>
    <w:rsid w:val="67A4786A"/>
    <w:rsid w:val="67A81366"/>
    <w:rsid w:val="67B9759D"/>
    <w:rsid w:val="67D11A4E"/>
    <w:rsid w:val="67D143D7"/>
    <w:rsid w:val="67D46CDE"/>
    <w:rsid w:val="67D87514"/>
    <w:rsid w:val="67FA392E"/>
    <w:rsid w:val="6819475B"/>
    <w:rsid w:val="681A3DE2"/>
    <w:rsid w:val="683F7593"/>
    <w:rsid w:val="685F3791"/>
    <w:rsid w:val="68637725"/>
    <w:rsid w:val="688A7DAC"/>
    <w:rsid w:val="68A5389A"/>
    <w:rsid w:val="68AF1D6D"/>
    <w:rsid w:val="68B161D3"/>
    <w:rsid w:val="68CF43EA"/>
    <w:rsid w:val="68D93544"/>
    <w:rsid w:val="68DC63DC"/>
    <w:rsid w:val="68E1070E"/>
    <w:rsid w:val="68F62120"/>
    <w:rsid w:val="690B56C7"/>
    <w:rsid w:val="690C3CE7"/>
    <w:rsid w:val="691B3B5C"/>
    <w:rsid w:val="69416EAD"/>
    <w:rsid w:val="694C3FC0"/>
    <w:rsid w:val="69765D89"/>
    <w:rsid w:val="697D4F6A"/>
    <w:rsid w:val="698C6808"/>
    <w:rsid w:val="699163F6"/>
    <w:rsid w:val="699F653B"/>
    <w:rsid w:val="69CD7914"/>
    <w:rsid w:val="69D47128"/>
    <w:rsid w:val="69DA5DFE"/>
    <w:rsid w:val="69EC374B"/>
    <w:rsid w:val="69F25583"/>
    <w:rsid w:val="69F66377"/>
    <w:rsid w:val="6A2627B9"/>
    <w:rsid w:val="6A462E5B"/>
    <w:rsid w:val="6A49294B"/>
    <w:rsid w:val="6A503CD9"/>
    <w:rsid w:val="6A692CB7"/>
    <w:rsid w:val="6A696B49"/>
    <w:rsid w:val="6A8952C2"/>
    <w:rsid w:val="6AB57FE0"/>
    <w:rsid w:val="6AC344AB"/>
    <w:rsid w:val="6AC65D4A"/>
    <w:rsid w:val="6AD46A66"/>
    <w:rsid w:val="6AED37F2"/>
    <w:rsid w:val="6AEF7DCE"/>
    <w:rsid w:val="6B3A1E2C"/>
    <w:rsid w:val="6B3C7DBA"/>
    <w:rsid w:val="6B621F16"/>
    <w:rsid w:val="6B6F4633"/>
    <w:rsid w:val="6B7B2FD8"/>
    <w:rsid w:val="6B7D161D"/>
    <w:rsid w:val="6B9023FF"/>
    <w:rsid w:val="6B9F5BAD"/>
    <w:rsid w:val="6BA442DD"/>
    <w:rsid w:val="6BA46BE1"/>
    <w:rsid w:val="6BA936A1"/>
    <w:rsid w:val="6BC04E8F"/>
    <w:rsid w:val="6BC06C3D"/>
    <w:rsid w:val="6BC404DB"/>
    <w:rsid w:val="6BC95AF1"/>
    <w:rsid w:val="6BCA6224"/>
    <w:rsid w:val="6BD41C61"/>
    <w:rsid w:val="6BE91CF0"/>
    <w:rsid w:val="6BF32B6E"/>
    <w:rsid w:val="6C0A614D"/>
    <w:rsid w:val="6C1D4188"/>
    <w:rsid w:val="6C303DC2"/>
    <w:rsid w:val="6C3952AC"/>
    <w:rsid w:val="6C5D448C"/>
    <w:rsid w:val="6C692E30"/>
    <w:rsid w:val="6C8C114B"/>
    <w:rsid w:val="6CA672D2"/>
    <w:rsid w:val="6CF21078"/>
    <w:rsid w:val="6CF9407C"/>
    <w:rsid w:val="6D002DFC"/>
    <w:rsid w:val="6D194017"/>
    <w:rsid w:val="6D1B05CF"/>
    <w:rsid w:val="6D2A6A64"/>
    <w:rsid w:val="6D571889"/>
    <w:rsid w:val="6D837F22"/>
    <w:rsid w:val="6D8E5551"/>
    <w:rsid w:val="6DBD6517"/>
    <w:rsid w:val="6DC76061"/>
    <w:rsid w:val="6DD10C8D"/>
    <w:rsid w:val="6DEF55B7"/>
    <w:rsid w:val="6DFA6436"/>
    <w:rsid w:val="6E22773B"/>
    <w:rsid w:val="6E5D0773"/>
    <w:rsid w:val="6E602011"/>
    <w:rsid w:val="6E711527"/>
    <w:rsid w:val="6E751F61"/>
    <w:rsid w:val="6E761835"/>
    <w:rsid w:val="6E79211E"/>
    <w:rsid w:val="6E8126B3"/>
    <w:rsid w:val="6E82467D"/>
    <w:rsid w:val="6E8439ED"/>
    <w:rsid w:val="6E9323E7"/>
    <w:rsid w:val="6E9C573F"/>
    <w:rsid w:val="6EA6211A"/>
    <w:rsid w:val="6EC23191"/>
    <w:rsid w:val="6EC93EB4"/>
    <w:rsid w:val="6EEC3440"/>
    <w:rsid w:val="6F255735"/>
    <w:rsid w:val="6F3C65DA"/>
    <w:rsid w:val="6F5837CB"/>
    <w:rsid w:val="6F6D5423"/>
    <w:rsid w:val="6F7C0E3D"/>
    <w:rsid w:val="6F7F4023"/>
    <w:rsid w:val="6F82185F"/>
    <w:rsid w:val="6F886353"/>
    <w:rsid w:val="6F887838"/>
    <w:rsid w:val="6F8E41A4"/>
    <w:rsid w:val="6FA32AFD"/>
    <w:rsid w:val="6FB7179E"/>
    <w:rsid w:val="6FB940CF"/>
    <w:rsid w:val="6FDD600F"/>
    <w:rsid w:val="6FE4739E"/>
    <w:rsid w:val="6FE86762"/>
    <w:rsid w:val="6FEC0000"/>
    <w:rsid w:val="6FEE70E9"/>
    <w:rsid w:val="70096E04"/>
    <w:rsid w:val="700C2451"/>
    <w:rsid w:val="703235D5"/>
    <w:rsid w:val="70380103"/>
    <w:rsid w:val="703A3D0A"/>
    <w:rsid w:val="704E2AC7"/>
    <w:rsid w:val="70705949"/>
    <w:rsid w:val="70744007"/>
    <w:rsid w:val="709C5DB4"/>
    <w:rsid w:val="70B236B4"/>
    <w:rsid w:val="70BF6642"/>
    <w:rsid w:val="70F53102"/>
    <w:rsid w:val="70FF075C"/>
    <w:rsid w:val="710650F2"/>
    <w:rsid w:val="71066EA0"/>
    <w:rsid w:val="71237A52"/>
    <w:rsid w:val="71431EA2"/>
    <w:rsid w:val="71525070"/>
    <w:rsid w:val="715C2F64"/>
    <w:rsid w:val="7162598C"/>
    <w:rsid w:val="71804EA4"/>
    <w:rsid w:val="71983729"/>
    <w:rsid w:val="71F66F14"/>
    <w:rsid w:val="722F68CA"/>
    <w:rsid w:val="723143F0"/>
    <w:rsid w:val="724D08F0"/>
    <w:rsid w:val="72534367"/>
    <w:rsid w:val="725D51E5"/>
    <w:rsid w:val="72807126"/>
    <w:rsid w:val="728E1843"/>
    <w:rsid w:val="729C5939"/>
    <w:rsid w:val="72A4584D"/>
    <w:rsid w:val="72A5093A"/>
    <w:rsid w:val="72BF2E76"/>
    <w:rsid w:val="72D51220"/>
    <w:rsid w:val="72E75D66"/>
    <w:rsid w:val="72ED47BB"/>
    <w:rsid w:val="731E3A64"/>
    <w:rsid w:val="73497518"/>
    <w:rsid w:val="734E4B2E"/>
    <w:rsid w:val="73634A7D"/>
    <w:rsid w:val="73682094"/>
    <w:rsid w:val="73740A39"/>
    <w:rsid w:val="737C169B"/>
    <w:rsid w:val="73814F04"/>
    <w:rsid w:val="73922C6D"/>
    <w:rsid w:val="73944C37"/>
    <w:rsid w:val="739C3AEB"/>
    <w:rsid w:val="73BA5622"/>
    <w:rsid w:val="73C343E4"/>
    <w:rsid w:val="73E56BC8"/>
    <w:rsid w:val="73E831D5"/>
    <w:rsid w:val="73F25E01"/>
    <w:rsid w:val="73F506D6"/>
    <w:rsid w:val="73FC0A2E"/>
    <w:rsid w:val="740B2A1F"/>
    <w:rsid w:val="74117C8D"/>
    <w:rsid w:val="74220923"/>
    <w:rsid w:val="744A79EB"/>
    <w:rsid w:val="745708AE"/>
    <w:rsid w:val="74806F69"/>
    <w:rsid w:val="74852401"/>
    <w:rsid w:val="749F1AE5"/>
    <w:rsid w:val="74AE1D28"/>
    <w:rsid w:val="74B471B3"/>
    <w:rsid w:val="74E03EAC"/>
    <w:rsid w:val="75022074"/>
    <w:rsid w:val="751B27D2"/>
    <w:rsid w:val="75221B04"/>
    <w:rsid w:val="75717E89"/>
    <w:rsid w:val="757A6A57"/>
    <w:rsid w:val="758331B5"/>
    <w:rsid w:val="75AB270C"/>
    <w:rsid w:val="75F419BD"/>
    <w:rsid w:val="761C4031"/>
    <w:rsid w:val="762A27DA"/>
    <w:rsid w:val="763E0E8A"/>
    <w:rsid w:val="76430936"/>
    <w:rsid w:val="76524935"/>
    <w:rsid w:val="765336FE"/>
    <w:rsid w:val="76740D50"/>
    <w:rsid w:val="76764AC8"/>
    <w:rsid w:val="76816FC9"/>
    <w:rsid w:val="76832D41"/>
    <w:rsid w:val="76A50965"/>
    <w:rsid w:val="76A6461F"/>
    <w:rsid w:val="76B80C3C"/>
    <w:rsid w:val="76C53359"/>
    <w:rsid w:val="76DE441B"/>
    <w:rsid w:val="76F679B7"/>
    <w:rsid w:val="77356731"/>
    <w:rsid w:val="773D1603"/>
    <w:rsid w:val="77400C32"/>
    <w:rsid w:val="774A6156"/>
    <w:rsid w:val="777803CC"/>
    <w:rsid w:val="77C11D73"/>
    <w:rsid w:val="77D71596"/>
    <w:rsid w:val="77EB35FA"/>
    <w:rsid w:val="780D320A"/>
    <w:rsid w:val="783F6BF7"/>
    <w:rsid w:val="78434E7D"/>
    <w:rsid w:val="786A41B8"/>
    <w:rsid w:val="7871660D"/>
    <w:rsid w:val="78987C84"/>
    <w:rsid w:val="789E20B4"/>
    <w:rsid w:val="78C4148F"/>
    <w:rsid w:val="78E21FA1"/>
    <w:rsid w:val="78EE4DE9"/>
    <w:rsid w:val="790901FF"/>
    <w:rsid w:val="7924080B"/>
    <w:rsid w:val="79254583"/>
    <w:rsid w:val="792D540E"/>
    <w:rsid w:val="794F07DE"/>
    <w:rsid w:val="797F5A41"/>
    <w:rsid w:val="798B088A"/>
    <w:rsid w:val="798F3644"/>
    <w:rsid w:val="79933102"/>
    <w:rsid w:val="799A287B"/>
    <w:rsid w:val="79C142AC"/>
    <w:rsid w:val="79D10450"/>
    <w:rsid w:val="79DC2E94"/>
    <w:rsid w:val="79E9124E"/>
    <w:rsid w:val="7A245426"/>
    <w:rsid w:val="7A286917"/>
    <w:rsid w:val="7A290118"/>
    <w:rsid w:val="7A5C2227"/>
    <w:rsid w:val="7A601D17"/>
    <w:rsid w:val="7A6376BF"/>
    <w:rsid w:val="7A97688D"/>
    <w:rsid w:val="7A9814B1"/>
    <w:rsid w:val="7AA65250"/>
    <w:rsid w:val="7AB43E11"/>
    <w:rsid w:val="7AD06D06"/>
    <w:rsid w:val="7AF256B6"/>
    <w:rsid w:val="7AF449C4"/>
    <w:rsid w:val="7B051225"/>
    <w:rsid w:val="7B0846E3"/>
    <w:rsid w:val="7B486307"/>
    <w:rsid w:val="7B4C229B"/>
    <w:rsid w:val="7B4C5DF7"/>
    <w:rsid w:val="7B7F7F7B"/>
    <w:rsid w:val="7B914268"/>
    <w:rsid w:val="7B965AB3"/>
    <w:rsid w:val="7BBC1AD5"/>
    <w:rsid w:val="7BC2255D"/>
    <w:rsid w:val="7BEF7850"/>
    <w:rsid w:val="7C036DFE"/>
    <w:rsid w:val="7C280612"/>
    <w:rsid w:val="7C3074C7"/>
    <w:rsid w:val="7C444D20"/>
    <w:rsid w:val="7C5C650E"/>
    <w:rsid w:val="7C7C0DEA"/>
    <w:rsid w:val="7CB00608"/>
    <w:rsid w:val="7CD442F6"/>
    <w:rsid w:val="7CF14EA8"/>
    <w:rsid w:val="7CF718EF"/>
    <w:rsid w:val="7D07647A"/>
    <w:rsid w:val="7D31799A"/>
    <w:rsid w:val="7D3935CB"/>
    <w:rsid w:val="7D5316BF"/>
    <w:rsid w:val="7D5E593D"/>
    <w:rsid w:val="7D6513F2"/>
    <w:rsid w:val="7D72364A"/>
    <w:rsid w:val="7D731D61"/>
    <w:rsid w:val="7D7B0C16"/>
    <w:rsid w:val="7D7D6095"/>
    <w:rsid w:val="7D8E0CD4"/>
    <w:rsid w:val="7D9A4AFF"/>
    <w:rsid w:val="7DAC5273"/>
    <w:rsid w:val="7DAD28DC"/>
    <w:rsid w:val="7DB14637"/>
    <w:rsid w:val="7DBF464A"/>
    <w:rsid w:val="7DC15CCA"/>
    <w:rsid w:val="7DF84014"/>
    <w:rsid w:val="7DFA4423"/>
    <w:rsid w:val="7E0105AB"/>
    <w:rsid w:val="7E0503B7"/>
    <w:rsid w:val="7E074257"/>
    <w:rsid w:val="7E0E55E6"/>
    <w:rsid w:val="7E384472"/>
    <w:rsid w:val="7E795155"/>
    <w:rsid w:val="7E841FE0"/>
    <w:rsid w:val="7E843AFA"/>
    <w:rsid w:val="7E885398"/>
    <w:rsid w:val="7E9F4667"/>
    <w:rsid w:val="7EAD3051"/>
    <w:rsid w:val="7EB20667"/>
    <w:rsid w:val="7EE55250"/>
    <w:rsid w:val="7EF94618"/>
    <w:rsid w:val="7F054C3B"/>
    <w:rsid w:val="7F076A8B"/>
    <w:rsid w:val="7F1430D0"/>
    <w:rsid w:val="7F211349"/>
    <w:rsid w:val="7F2B19DA"/>
    <w:rsid w:val="7F2C21C7"/>
    <w:rsid w:val="7F3217A8"/>
    <w:rsid w:val="7F405C73"/>
    <w:rsid w:val="7F460DAF"/>
    <w:rsid w:val="7F4736ED"/>
    <w:rsid w:val="7F4946CE"/>
    <w:rsid w:val="7F5D6825"/>
    <w:rsid w:val="7F631B2A"/>
    <w:rsid w:val="7F65392B"/>
    <w:rsid w:val="7F743B6E"/>
    <w:rsid w:val="7F98785D"/>
    <w:rsid w:val="7FA501CC"/>
    <w:rsid w:val="7FAE52D2"/>
    <w:rsid w:val="7FBB354B"/>
    <w:rsid w:val="7FC66C16"/>
    <w:rsid w:val="7FC9626B"/>
    <w:rsid w:val="7FD0349B"/>
    <w:rsid w:val="7FE505C8"/>
    <w:rsid w:val="7FEC7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autoRedefine/>
    <w:qFormat/>
    <w:uiPriority w:val="0"/>
    <w:rPr>
      <w:b/>
    </w:rPr>
  </w:style>
  <w:style w:type="character" w:styleId="10">
    <w:name w:val="Hyperlink"/>
    <w:basedOn w:val="8"/>
    <w:autoRedefine/>
    <w:qFormat/>
    <w:uiPriority w:val="0"/>
    <w:rPr>
      <w:color w:val="0000FF"/>
      <w:u w:val="single"/>
    </w:rPr>
  </w:style>
  <w:style w:type="paragraph" w:customStyle="1" w:styleId="11">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2">
    <w:name w:val="Table Normal"/>
    <w:autoRedefine/>
    <w:semiHidden/>
    <w:unhideWhenUsed/>
    <w:qFormat/>
    <w:uiPriority w:val="0"/>
    <w:tblPr>
      <w:tblCellMar>
        <w:top w:w="0" w:type="dxa"/>
        <w:left w:w="0" w:type="dxa"/>
        <w:bottom w:w="0" w:type="dxa"/>
        <w:right w:w="0" w:type="dxa"/>
      </w:tblCellMar>
    </w:tblPr>
  </w:style>
  <w:style w:type="paragraph" w:customStyle="1" w:styleId="13">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3507</Words>
  <Characters>4281</Characters>
  <Lines>0</Lines>
  <Paragraphs>0</Paragraphs>
  <TotalTime>0</TotalTime>
  <ScaleCrop>false</ScaleCrop>
  <LinksUpToDate>false</LinksUpToDate>
  <CharactersWithSpaces>4340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2024-04-17T01:17:00Z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D23AE21371AD4B2A936F48373C5D0EDD_13</vt:lpwstr>
  </property>
</Properties>
</file>