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56" w:lineRule="auto"/>
      </w:pPr>
      <w: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x&#10;SUMJ2AAAAAsBAAAPAAAAAAAAAAEAIAAAACIAAABkcnMvZG93bnJldi54bWxQSwECFAAUAAAACACH&#10;TuJAg4TsGrIBAABeAwAADgAAAAAAAAABACAAAAAn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line="240" w:lineRule="auto"/>
        <w:ind w:firstLine="1421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1421"/>
        <w:rPr>
          <w:rFonts w:ascii="微软雅黑" w:hAnsi="微软雅黑" w:eastAsia="微软雅黑" w:cs="微软雅黑"/>
          <w:sz w:val="96"/>
          <w:szCs w:val="96"/>
        </w:rPr>
      </w:pPr>
      <w:r>
        <w:rPr>
          <w:rFonts w:ascii="微软雅黑" w:hAnsi="微软雅黑" w:eastAsia="微软雅黑" w:cs="微软雅黑"/>
          <w:b/>
          <w:bCs/>
          <w:color w:val="FFFFFF"/>
          <w:spacing w:val="6"/>
          <w:sz w:val="96"/>
          <w:szCs w:val="96"/>
        </w:rPr>
        <w:t>周度市场报告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206" w:line="204" w:lineRule="auto"/>
        <w:ind w:left="7323"/>
        <w:rPr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color w:val="005D97"/>
          <w:spacing w:val="-22"/>
          <w:sz w:val="48"/>
          <w:szCs w:val="48"/>
        </w:rPr>
        <w:t>2024年</w:t>
      </w:r>
      <w:r>
        <w:rPr>
          <w:rFonts w:hint="eastAsia" w:ascii="微软雅黑" w:hAnsi="微软雅黑" w:eastAsia="微软雅黑" w:cs="微软雅黑"/>
          <w:b/>
          <w:bCs/>
          <w:color w:val="005D97"/>
          <w:spacing w:val="-22"/>
          <w:sz w:val="48"/>
          <w:szCs w:val="48"/>
          <w:lang w:val="en-US" w:eastAsia="zh-CN"/>
        </w:rPr>
        <w:t>4</w:t>
      </w:r>
      <w:r>
        <w:rPr>
          <w:rFonts w:ascii="微软雅黑" w:hAnsi="微软雅黑" w:eastAsia="微软雅黑" w:cs="微软雅黑"/>
          <w:b/>
          <w:bCs/>
          <w:color w:val="005D97"/>
          <w:spacing w:val="-22"/>
          <w:sz w:val="48"/>
          <w:szCs w:val="48"/>
        </w:rPr>
        <w:t>月</w:t>
      </w:r>
      <w:r>
        <w:rPr>
          <w:rFonts w:hint="eastAsia" w:ascii="微软雅黑" w:hAnsi="微软雅黑" w:eastAsia="微软雅黑" w:cs="微软雅黑"/>
          <w:b/>
          <w:bCs/>
          <w:color w:val="005D97"/>
          <w:spacing w:val="-22"/>
          <w:sz w:val="48"/>
          <w:szCs w:val="48"/>
          <w:lang w:val="en-US" w:eastAsia="zh-CN"/>
        </w:rPr>
        <w:t>22</w:t>
      </w:r>
      <w:r>
        <w:rPr>
          <w:rFonts w:ascii="微软雅黑" w:hAnsi="微软雅黑" w:eastAsia="微软雅黑" w:cs="微软雅黑"/>
          <w:b/>
          <w:bCs/>
          <w:color w:val="005D97"/>
          <w:spacing w:val="-22"/>
          <w:sz w:val="48"/>
          <w:szCs w:val="48"/>
        </w:rPr>
        <w:t>日</w:t>
      </w:r>
      <w:r>
        <w:rPr>
          <w:rFonts w:ascii="微软雅黑" w:hAnsi="微软雅黑" w:eastAsia="微软雅黑" w:cs="微软雅黑"/>
          <w:b/>
          <w:bCs/>
          <w:color w:val="005D97"/>
          <w:spacing w:val="38"/>
          <w:sz w:val="48"/>
          <w:szCs w:val="48"/>
        </w:rPr>
        <w:t xml:space="preserve"> </w:t>
      </w:r>
      <w:r>
        <w:rPr>
          <w:position w:val="-3"/>
          <w:sz w:val="48"/>
          <w:szCs w:val="48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4" w:lineRule="auto"/>
        <w:rPr>
          <w:sz w:val="48"/>
          <w:szCs w:val="48"/>
        </w:rPr>
        <w:sectPr>
          <w:headerReference r:id="rId5" w:type="default"/>
          <w:pgSz w:w="11906" w:h="16838"/>
          <w:pgMar w:top="400" w:right="0" w:bottom="0" w:left="0" w:header="0" w:footer="34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kinsoku w:val="0"/>
        <w:autoSpaceDE w:val="0"/>
        <w:autoSpaceDN w:val="0"/>
        <w:adjustRightInd w:val="0"/>
        <w:snapToGrid w:val="0"/>
        <w:spacing w:line="240" w:lineRule="auto"/>
        <w:ind w:right="420" w:rightChars="200" w:firstLine="0" w:firstLineChars="0"/>
        <w:jc w:val="left"/>
        <w:textAlignment w:val="baseline"/>
        <w:rPr>
          <w:rFonts w:hint="eastAsia" w:eastAsia="宋体"/>
          <w:lang w:eastAsia="zh-CN"/>
        </w:rPr>
      </w:pPr>
    </w:p>
    <w:p>
      <w:pPr>
        <w:pStyle w:val="2"/>
        <w:spacing w:line="253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1210" y="1501775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4.15pt;margin-top:10.1pt;height:38.45pt;width:132.85pt;z-index:251661312;v-text-anchor:middle;mso-width-relative:page;mso-height-relative:page;" fillcolor="#4F80BD" filled="t" stroked="f" coordsize="21600,21600" o:gfxdata="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wtGQz1wAAAAgBAAAP&#10;AAAAAAAAAAEAIAAAACIAAABkcnMvZG93bnJldi54bWxQSwECFAAUAAAACACHTuJA9wkLTlICAAB9&#10;BAAADgAAAAAAAAABACAAAAAmAQAAZHJzL2Uyb0RvYy54bWxQSwUGAAAAAAYABgBZAQAA6gUAAAAA&#10;" adj="18475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line="253" w:lineRule="auto"/>
      </w:pPr>
    </w:p>
    <w:p>
      <w:pPr>
        <w:spacing w:before="103" w:line="256" w:lineRule="auto"/>
        <w:ind w:right="584"/>
        <w:jc w:val="both"/>
        <w:rPr>
          <w:rFonts w:hint="eastAsia" w:ascii="思源黑体 CN Bold" w:hAnsi="思源黑体 CN Bold" w:eastAsia="思源黑体 CN Bold" w:cs="思源黑体 CN Bold"/>
          <w:color w:val="FFFFFF" w:themeColor="background1"/>
          <w:spacing w:val="4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FFFFFF" w:themeColor="background1"/>
          <w:spacing w:val="4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 xml:space="preserve"> </w:t>
      </w:r>
    </w:p>
    <w:p>
      <w:pPr>
        <w:spacing w:before="103" w:line="256" w:lineRule="auto"/>
        <w:ind w:left="287" w:right="584" w:firstLine="620"/>
        <w:jc w:val="both"/>
        <w:rPr>
          <w:rFonts w:hint="eastAsia" w:ascii="微软雅黑" w:hAnsi="微软雅黑" w:eastAsia="微软雅黑" w:cs="微软雅黑"/>
          <w:spacing w:val="3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美联储降息预期再度降低，英美对俄罗斯铝、铜、镍实施新的交易限制或造成全球金属市场动荡，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中东局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骤然升级后出现缓和，地缘政治走向或是影响本周最重要的因素。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截至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4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月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15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日，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上周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富时中国A50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涨2.47%报12209点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，标准普尔500指数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跌3.05%报4967点</w:t>
      </w:r>
      <w:r>
        <w:rPr>
          <w:rFonts w:hint="eastAsia" w:ascii="微软雅黑" w:hAnsi="微软雅黑" w:eastAsia="微软雅黑" w:cs="微软雅黑"/>
          <w:spacing w:val="5"/>
          <w:sz w:val="24"/>
          <w:szCs w:val="24"/>
          <w:lang w:val="en-US" w:eastAsia="zh-CN"/>
        </w:rPr>
        <w:t>。</w:t>
      </w:r>
      <w:r>
        <w:rPr>
          <w:rFonts w:ascii="微软雅黑" w:hAnsi="微软雅黑" w:eastAsia="微软雅黑" w:cs="微软雅黑"/>
          <w:spacing w:val="5"/>
          <w:sz w:val="24"/>
          <w:szCs w:val="24"/>
        </w:rPr>
        <w:t>美元兑离岸人民币</w:t>
      </w:r>
      <w:r>
        <w:rPr>
          <w:rFonts w:hint="eastAsia" w:ascii="微软雅黑" w:hAnsi="微软雅黑" w:eastAsia="微软雅黑" w:cs="微软雅黑"/>
          <w:spacing w:val="5"/>
          <w:sz w:val="24"/>
          <w:szCs w:val="24"/>
          <w:lang w:val="en-US" w:eastAsia="zh-CN"/>
        </w:rPr>
        <w:t>跌约0.22</w:t>
      </w:r>
      <w:r>
        <w:rPr>
          <w:rFonts w:ascii="微软雅黑" w:hAnsi="微软雅黑" w:eastAsia="微软雅黑" w:cs="微软雅黑"/>
          <w:spacing w:val="5"/>
          <w:sz w:val="24"/>
          <w:szCs w:val="24"/>
        </w:rPr>
        <w:t>%报</w:t>
      </w:r>
      <w:r>
        <w:rPr>
          <w:rFonts w:hint="eastAsia" w:ascii="微软雅黑" w:hAnsi="微软雅黑" w:eastAsia="微软雅黑" w:cs="微软雅黑"/>
          <w:spacing w:val="5"/>
          <w:sz w:val="24"/>
          <w:szCs w:val="24"/>
          <w:lang w:val="en-US" w:eastAsia="zh-CN"/>
        </w:rPr>
        <w:t>7.2509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人民币/美元，</w:t>
      </w:r>
      <w:r>
        <w:rPr>
          <w:rFonts w:ascii="微软雅黑" w:hAnsi="微软雅黑" w:eastAsia="微软雅黑" w:cs="微软雅黑"/>
          <w:sz w:val="24"/>
          <w:szCs w:val="24"/>
        </w:rPr>
        <w:t>LME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期铜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涨3.18%</w:t>
      </w:r>
      <w:r>
        <w:rPr>
          <w:rFonts w:ascii="微软雅黑" w:hAnsi="微软雅黑" w:eastAsia="微软雅黑" w:cs="微软雅黑"/>
          <w:spacing w:val="4"/>
          <w:sz w:val="24"/>
          <w:szCs w:val="24"/>
        </w:rPr>
        <w:t>报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val="en-US" w:eastAsia="zh-CN"/>
        </w:rPr>
        <w:t>9833</w:t>
      </w:r>
      <w:r>
        <w:rPr>
          <w:rFonts w:ascii="微软雅黑" w:hAnsi="微软雅黑" w:eastAsia="微软雅黑" w:cs="微软雅黑"/>
          <w:spacing w:val="2"/>
          <w:sz w:val="24"/>
          <w:szCs w:val="24"/>
        </w:rPr>
        <w:t>美元/吨，</w:t>
      </w:r>
      <w:r>
        <w:rPr>
          <w:rFonts w:ascii="微软雅黑" w:hAnsi="微软雅黑" w:eastAsia="微软雅黑" w:cs="微软雅黑"/>
          <w:sz w:val="24"/>
          <w:szCs w:val="24"/>
        </w:rPr>
        <w:t>COMEX</w:t>
      </w:r>
      <w:r>
        <w:rPr>
          <w:rFonts w:ascii="微软雅黑" w:hAnsi="微软雅黑" w:eastAsia="微软雅黑" w:cs="微软雅黑"/>
          <w:spacing w:val="2"/>
          <w:sz w:val="24"/>
          <w:szCs w:val="24"/>
        </w:rPr>
        <w:t>黄金期货涨</w:t>
      </w:r>
      <w:r>
        <w:rPr>
          <w:rFonts w:hint="eastAsia" w:ascii="微软雅黑" w:hAnsi="微软雅黑" w:eastAsia="微软雅黑" w:cs="微软雅黑"/>
          <w:spacing w:val="2"/>
          <w:sz w:val="24"/>
          <w:szCs w:val="24"/>
          <w:lang w:val="en-US" w:eastAsia="zh-CN"/>
        </w:rPr>
        <w:t>2.40</w:t>
      </w:r>
      <w:r>
        <w:rPr>
          <w:rFonts w:ascii="微软雅黑" w:hAnsi="微软雅黑" w:eastAsia="微软雅黑" w:cs="微软雅黑"/>
          <w:spacing w:val="2"/>
          <w:sz w:val="24"/>
          <w:szCs w:val="24"/>
        </w:rPr>
        <w:t>%报</w:t>
      </w:r>
      <w:r>
        <w:rPr>
          <w:rFonts w:hint="eastAsia" w:ascii="微软雅黑" w:hAnsi="微软雅黑" w:eastAsia="微软雅黑" w:cs="微软雅黑"/>
          <w:spacing w:val="2"/>
          <w:sz w:val="24"/>
          <w:szCs w:val="24"/>
          <w:lang w:val="en-US" w:eastAsia="zh-CN"/>
        </w:rPr>
        <w:t>2399.8</w:t>
      </w:r>
      <w:r>
        <w:rPr>
          <w:rFonts w:ascii="微软雅黑" w:hAnsi="微软雅黑" w:eastAsia="微软雅黑" w:cs="微软雅黑"/>
          <w:spacing w:val="2"/>
          <w:sz w:val="24"/>
          <w:szCs w:val="24"/>
        </w:rPr>
        <w:t>美元/盎司，</w:t>
      </w:r>
      <w:r>
        <w:rPr>
          <w:rFonts w:ascii="微软雅黑" w:hAnsi="微软雅黑" w:eastAsia="微软雅黑" w:cs="微软雅黑"/>
          <w:sz w:val="24"/>
          <w:szCs w:val="24"/>
        </w:rPr>
        <w:t>COMEX</w:t>
      </w:r>
      <w:r>
        <w:rPr>
          <w:rFonts w:ascii="微软雅黑" w:hAnsi="微软雅黑" w:eastAsia="微软雅黑" w:cs="微软雅黑"/>
          <w:spacing w:val="2"/>
          <w:sz w:val="24"/>
          <w:szCs w:val="24"/>
        </w:rPr>
        <w:t>白银期货</w:t>
      </w:r>
      <w:r>
        <w:rPr>
          <w:rFonts w:hint="eastAsia" w:ascii="微软雅黑" w:hAnsi="微软雅黑" w:eastAsia="微软雅黑" w:cs="微软雅黑"/>
          <w:spacing w:val="2"/>
          <w:sz w:val="24"/>
          <w:szCs w:val="24"/>
          <w:lang w:val="en-US" w:eastAsia="zh-CN"/>
        </w:rPr>
        <w:t>跌0.32</w:t>
      </w:r>
      <w:r>
        <w:rPr>
          <w:rFonts w:ascii="微软雅黑" w:hAnsi="微软雅黑" w:eastAsia="微软雅黑" w:cs="微软雅黑"/>
          <w:spacing w:val="2"/>
          <w:sz w:val="24"/>
          <w:szCs w:val="24"/>
        </w:rPr>
        <w:t>%</w:t>
      </w:r>
      <w:r>
        <w:rPr>
          <w:rFonts w:ascii="微软雅黑" w:hAnsi="微软雅黑" w:eastAsia="微软雅黑" w:cs="微软雅黑"/>
          <w:spacing w:val="12"/>
          <w:sz w:val="24"/>
          <w:szCs w:val="24"/>
        </w:rPr>
        <w:t>报</w:t>
      </w:r>
      <w:r>
        <w:rPr>
          <w:rFonts w:hint="eastAsia" w:ascii="微软雅黑" w:hAnsi="微软雅黑" w:eastAsia="微软雅黑" w:cs="微软雅黑"/>
          <w:spacing w:val="12"/>
          <w:sz w:val="24"/>
          <w:szCs w:val="24"/>
          <w:lang w:val="en-US" w:eastAsia="zh-CN"/>
        </w:rPr>
        <w:t>28.22</w:t>
      </w:r>
      <w:r>
        <w:rPr>
          <w:rFonts w:ascii="微软雅黑" w:hAnsi="微软雅黑" w:eastAsia="微软雅黑" w:cs="微软雅黑"/>
          <w:spacing w:val="12"/>
          <w:sz w:val="24"/>
          <w:szCs w:val="24"/>
        </w:rPr>
        <w:t>美元/盎司。</w:t>
      </w:r>
      <w:r>
        <w:rPr>
          <w:rFonts w:hint="eastAsia" w:ascii="微软雅黑" w:hAnsi="微软雅黑" w:eastAsia="微软雅黑" w:cs="微软雅黑"/>
          <w:spacing w:val="12"/>
          <w:sz w:val="24"/>
          <w:szCs w:val="24"/>
          <w:lang w:val="en-US" w:eastAsia="zh-CN"/>
        </w:rPr>
        <w:t>5月</w:t>
      </w:r>
      <w:r>
        <w:rPr>
          <w:rFonts w:ascii="微软雅黑" w:hAnsi="微软雅黑" w:eastAsia="微软雅黑" w:cs="微软雅黑"/>
          <w:sz w:val="24"/>
          <w:szCs w:val="24"/>
        </w:rPr>
        <w:t>ICE</w:t>
      </w:r>
      <w:r>
        <w:rPr>
          <w:rFonts w:ascii="微软雅黑" w:hAnsi="微软雅黑" w:eastAsia="微软雅黑" w:cs="微软雅黑"/>
          <w:spacing w:val="12"/>
          <w:sz w:val="24"/>
          <w:szCs w:val="24"/>
        </w:rPr>
        <w:t>原糖期货</w:t>
      </w:r>
      <w:r>
        <w:rPr>
          <w:rFonts w:hint="eastAsia" w:ascii="微软雅黑" w:hAnsi="微软雅黑" w:eastAsia="微软雅黑" w:cs="微软雅黑"/>
          <w:spacing w:val="12"/>
          <w:sz w:val="24"/>
          <w:szCs w:val="24"/>
          <w:lang w:val="en-US" w:eastAsia="zh-CN"/>
        </w:rPr>
        <w:t>周度跌幅4.3</w:t>
      </w:r>
      <w:r>
        <w:rPr>
          <w:rFonts w:ascii="微软雅黑" w:hAnsi="微软雅黑" w:eastAsia="微软雅黑" w:cs="微软雅黑"/>
          <w:spacing w:val="12"/>
          <w:sz w:val="24"/>
          <w:szCs w:val="24"/>
        </w:rPr>
        <w:t>%</w:t>
      </w:r>
      <w:r>
        <w:rPr>
          <w:rFonts w:hint="eastAsia" w:ascii="微软雅黑" w:hAnsi="微软雅黑" w:eastAsia="微软雅黑" w:cs="微软雅黑"/>
          <w:spacing w:val="12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pacing w:val="12"/>
          <w:sz w:val="24"/>
          <w:szCs w:val="24"/>
          <w:lang w:val="en-US" w:eastAsia="zh-CN"/>
        </w:rPr>
        <w:t>5月</w:t>
      </w:r>
      <w:r>
        <w:rPr>
          <w:rFonts w:ascii="微软雅黑" w:hAnsi="微软雅黑" w:eastAsia="微软雅黑" w:cs="微软雅黑"/>
          <w:sz w:val="24"/>
          <w:szCs w:val="24"/>
        </w:rPr>
        <w:t>ICE</w:t>
      </w:r>
      <w:r>
        <w:rPr>
          <w:rFonts w:ascii="微软雅黑" w:hAnsi="微软雅黑" w:eastAsia="微软雅黑" w:cs="微软雅黑"/>
          <w:spacing w:val="12"/>
          <w:sz w:val="24"/>
          <w:szCs w:val="24"/>
        </w:rPr>
        <w:t>棉跌</w:t>
      </w:r>
      <w:r>
        <w:rPr>
          <w:rFonts w:hint="eastAsia" w:ascii="微软雅黑" w:hAnsi="微软雅黑" w:eastAsia="微软雅黑" w:cs="微软雅黑"/>
          <w:spacing w:val="12"/>
          <w:sz w:val="24"/>
          <w:szCs w:val="24"/>
          <w:lang w:val="en-US" w:eastAsia="zh-CN"/>
        </w:rPr>
        <w:t>4.36</w:t>
      </w:r>
      <w:r>
        <w:rPr>
          <w:rFonts w:ascii="微软雅黑" w:hAnsi="微软雅黑" w:eastAsia="微软雅黑" w:cs="微软雅黑"/>
          <w:spacing w:val="3"/>
          <w:sz w:val="24"/>
          <w:szCs w:val="24"/>
        </w:rPr>
        <w:t>%，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MB</w:t>
      </w:r>
      <w:r>
        <w:rPr>
          <w:rFonts w:ascii="微软雅黑" w:hAnsi="微软雅黑" w:eastAsia="微软雅黑" w:cs="微软雅黑"/>
          <w:spacing w:val="3"/>
          <w:sz w:val="24"/>
          <w:szCs w:val="24"/>
        </w:rPr>
        <w:t>铁矿石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  <w:lang w:val="en-US" w:eastAsia="zh-CN"/>
        </w:rPr>
        <w:t>涨4.78%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  <w:lang w:eastAsia="zh-CN"/>
        </w:rPr>
        <w:t>。</w:t>
      </w:r>
    </w:p>
    <w:p>
      <w:pPr>
        <w:spacing w:before="235" w:line="176" w:lineRule="auto"/>
        <w:ind w:firstLine="254" w:firstLineChars="100"/>
        <w:rPr>
          <w:rFonts w:ascii="微软雅黑" w:hAnsi="微软雅黑" w:eastAsia="微软雅黑" w:cs="微软雅黑"/>
          <w:spacing w:val="7"/>
          <w:sz w:val="24"/>
          <w:szCs w:val="24"/>
        </w:rPr>
      </w:pPr>
      <w:r>
        <w:rPr>
          <w:rFonts w:ascii="微软雅黑" w:hAnsi="微软雅黑" w:eastAsia="微软雅黑" w:cs="微软雅黑"/>
          <w:spacing w:val="7"/>
          <w:sz w:val="24"/>
          <w:szCs w:val="24"/>
        </w:rPr>
        <w:t>图表1</w:t>
      </w:r>
      <w:r>
        <w:rPr>
          <w:rFonts w:hint="eastAsia" w:ascii="微软雅黑" w:hAnsi="微软雅黑" w:eastAsia="微软雅黑" w:cs="微软雅黑"/>
          <w:spacing w:val="7"/>
          <w:sz w:val="24"/>
          <w:szCs w:val="24"/>
          <w:lang w:eastAsia="zh-CN"/>
        </w:rPr>
        <w:t>：</w:t>
      </w:r>
      <w:r>
        <w:rPr>
          <w:rFonts w:ascii="微软雅黑" w:hAnsi="微软雅黑" w:eastAsia="微软雅黑" w:cs="微软雅黑"/>
          <w:spacing w:val="7"/>
          <w:sz w:val="24"/>
          <w:szCs w:val="24"/>
        </w:rPr>
        <w:t>全球商品涨跌幅</w:t>
      </w:r>
    </w:p>
    <w:p>
      <w:pPr>
        <w:spacing w:before="235" w:line="176" w:lineRule="auto"/>
        <w:ind w:firstLine="210" w:firstLineChars="100"/>
        <w:jc w:val="both"/>
        <w:rPr>
          <w:rFonts w:hint="eastAsia" w:ascii="微软雅黑" w:hAnsi="微软雅黑" w:eastAsia="微软雅黑" w:cs="微软雅黑"/>
          <w:spacing w:val="3"/>
          <w:sz w:val="24"/>
          <w:szCs w:val="24"/>
          <w:lang w:eastAsia="zh-CN"/>
        </w:rPr>
      </w:pPr>
      <w:r>
        <w:drawing>
          <wp:inline distT="0" distB="0" distL="114300" distR="114300">
            <wp:extent cx="6569075" cy="3990975"/>
            <wp:effectExtent l="0" t="0" r="317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35" w:line="176" w:lineRule="auto"/>
        <w:ind w:firstLine="194" w:firstLineChars="10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pacing w:val="7"/>
          <w:sz w:val="18"/>
          <w:szCs w:val="18"/>
          <w:lang w:val="en-US" w:eastAsia="zh-CN"/>
        </w:rPr>
        <w:t>资料来源：公开资料整理，瑞达国际</w:t>
      </w: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spacing w:before="120" w:line="190" w:lineRule="auto"/>
        <w:rPr>
          <w:rFonts w:ascii="微软雅黑" w:hAnsi="微软雅黑" w:eastAsia="微软雅黑" w:cs="微软雅黑"/>
          <w:spacing w:val="4"/>
          <w:sz w:val="24"/>
          <w:szCs w:val="24"/>
        </w:rPr>
      </w:pPr>
      <w:r>
        <w:rPr>
          <w:rFonts w:ascii="微软雅黑" w:hAnsi="微软雅黑" w:eastAsia="微软雅黑" w:cs="微软雅黑"/>
          <w:color w:val="036EB8"/>
          <w:position w:val="-4"/>
          <w:sz w:val="28"/>
          <w:szCs w:val="28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36EB8"/>
          <w:spacing w:val="10"/>
          <w:sz w:val="28"/>
          <w:szCs w:val="28"/>
        </w:rPr>
        <w:t>周度事件汇总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【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美联储金融稳定报告显示，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持续通胀被视为最重要的金融稳定风险。对冲基金杠杆自2013年以来升至最高水平。</w:t>
      </w: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【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欧洲央行行长拉加德表示，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如果通胀标准得到满足，降低当前货币政策限制水平将是适当的；欧洲央行管委会并未预先承诺某种特定的利率路径。欧洲央行管委Vujcic指出，欧洲央行可以率先采取行动，但与美联储分歧将会产生影响。</w:t>
      </w: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【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德国政府预计，2024年德国GDP将增长0.3%，此前预期增长0.2%；2024年通胀率为2.4%，此前预期2.8%。</w:t>
      </w: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【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日本3月核心CPI同比上涨2.6%，预期2.6%，前值2.8%；全国CPI同比上涨2.7%，预期2.8%，前值2.8%，环比上涨0.3%，前值持平。</w:t>
      </w: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【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英国3月季调后零售销售同比上升0.8%，预期升1.0%，前值降0.4%；环比持平，预期升0.3%，前值持平；核心零售销售同比上升0.4%，预期升0.9%，前值降0.5%；环比下降0.3%，预期升0.3%，前值升0.2%。</w:t>
      </w: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【</w:t>
      </w:r>
      <w:r>
        <w:rPr>
          <w:rFonts w:ascii="宋体" w:hAnsi="宋体" w:eastAsia="宋体" w:cs="宋体"/>
          <w:b w:val="0"/>
          <w:bCs w:val="0"/>
          <w:sz w:val="24"/>
          <w:szCs w:val="24"/>
          <w:u w:val="none"/>
        </w:rPr>
        <w:t>标普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将以色列长期发行人评级从“AA-”下调至“A+”，前景展望负面。</w:t>
      </w:r>
      <w:r>
        <w:rPr>
          <w:rFonts w:ascii="宋体" w:hAnsi="宋体" w:eastAsia="宋体" w:cs="宋体"/>
          <w:b w:val="0"/>
          <w:bCs w:val="0"/>
          <w:sz w:val="24"/>
          <w:szCs w:val="24"/>
          <w:u w:val="none"/>
        </w:rPr>
        <w:t>标普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预计，2024年以色列经济实际增长率将为0.5%。</w:t>
      </w:r>
      <w:r>
        <w:rPr>
          <w:rFonts w:hint="eastAsia" w:ascii="微软雅黑" w:hAnsi="微软雅黑" w:eastAsia="微软雅黑" w:cs="微软雅黑"/>
          <w:b w:val="0"/>
          <w:bCs w:val="0"/>
          <w:spacing w:val="4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257" w:lineRule="auto"/>
        <w:ind w:right="646" w:firstLine="496" w:firstLineChars="200"/>
        <w:jc w:val="both"/>
        <w:textAlignment w:val="baseline"/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</w:pPr>
    </w:p>
    <w:p>
      <w:pPr>
        <w:spacing w:before="120" w:line="190" w:lineRule="auto"/>
        <w:rPr>
          <w:rFonts w:hint="eastAsia" w:ascii="微软雅黑" w:hAnsi="微软雅黑" w:eastAsia="微软雅黑" w:cs="微软雅黑"/>
          <w:b/>
          <w:bCs/>
          <w:color w:val="036EB8"/>
          <w:spacing w:val="10"/>
          <w:sz w:val="28"/>
          <w:szCs w:val="28"/>
          <w:lang w:val="en-US" w:eastAsia="zh-CN"/>
        </w:rPr>
      </w:pPr>
      <w:r>
        <w:rPr>
          <w:rFonts w:ascii="微软雅黑" w:hAnsi="微软雅黑" w:eastAsia="微软雅黑" w:cs="微软雅黑"/>
          <w:color w:val="036EB8"/>
          <w:position w:val="-4"/>
          <w:sz w:val="28"/>
          <w:szCs w:val="28"/>
        </w:rPr>
        <w:drawing>
          <wp:inline distT="0" distB="0" distL="0" distR="0">
            <wp:extent cx="128905" cy="173990"/>
            <wp:effectExtent l="0" t="0" r="4445" b="16510"/>
            <wp:docPr id="4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36EB8"/>
          <w:spacing w:val="10"/>
          <w:sz w:val="28"/>
          <w:szCs w:val="28"/>
        </w:rPr>
        <w:t>周度</w:t>
      </w:r>
      <w:r>
        <w:rPr>
          <w:rFonts w:hint="eastAsia" w:ascii="微软雅黑" w:hAnsi="微软雅黑" w:eastAsia="微软雅黑" w:cs="微软雅黑"/>
          <w:b/>
          <w:bCs/>
          <w:color w:val="036EB8"/>
          <w:spacing w:val="10"/>
          <w:sz w:val="28"/>
          <w:szCs w:val="28"/>
          <w:lang w:val="en-US" w:eastAsia="zh-CN"/>
        </w:rPr>
        <w:t xml:space="preserve">品种观点 </w:t>
      </w:r>
    </w:p>
    <w:tbl>
      <w:tblPr>
        <w:tblStyle w:val="6"/>
        <w:tblW w:w="10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9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tcBorders>
              <w:top w:val="single" w:color="2169C1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729ED8"/>
            <w:vAlign w:val="center"/>
          </w:tcPr>
          <w:p>
            <w:pPr>
              <w:pStyle w:val="8"/>
              <w:widowControl w:val="0"/>
              <w:spacing w:before="221" w:line="182" w:lineRule="auto"/>
              <w:jc w:val="center"/>
              <w:rPr>
                <w:rFonts w:hint="eastAsia" w:ascii="微软雅黑" w:hAnsi="微软雅黑" w:eastAsia="微软雅黑" w:cs="微软雅黑"/>
                <w:snapToGrid w:val="0"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品种</w:t>
            </w:r>
          </w:p>
        </w:tc>
        <w:tc>
          <w:tcPr>
            <w:tcW w:w="9039" w:type="dxa"/>
            <w:tcBorders>
              <w:top w:val="single" w:color="2169C1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729ED8"/>
            <w:vAlign w:val="center"/>
          </w:tcPr>
          <w:p>
            <w:pPr>
              <w:widowControl w:val="0"/>
              <w:spacing w:before="120" w:line="19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观点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3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28" w:line="191" w:lineRule="auto"/>
              <w:jc w:val="center"/>
              <w:rPr>
                <w:rFonts w:hint="eastAsia" w:eastAsia="微软雅黑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 w:eastAsia="微软雅黑"/>
                <w:b/>
                <w:bCs/>
                <w:sz w:val="19"/>
                <w:szCs w:val="19"/>
                <w:lang w:eastAsia="zh-CN"/>
              </w:rPr>
              <w:t>富时中国A50</w:t>
            </w:r>
          </w:p>
          <w:p>
            <w:pPr>
              <w:pStyle w:val="8"/>
              <w:widowControl w:val="0"/>
              <w:spacing w:before="228" w:line="191" w:lineRule="auto"/>
              <w:ind w:left="449" w:leftChars="0" w:firstLine="190" w:firstLineChars="100"/>
              <w:jc w:val="center"/>
              <w:rPr>
                <w:rFonts w:hint="eastAsia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FFFFFF"/>
          </w:tcPr>
          <w:p>
            <w:pPr>
              <w:widowControl w:val="0"/>
              <w:spacing w:before="120" w:line="240" w:lineRule="auto"/>
              <w:rPr>
                <w:rFonts w:hint="eastAsia" w:asciiTheme="majorEastAsia" w:hAnsiTheme="majorEastAsia" w:eastAsiaTheme="majorEastAsia" w:cstheme="majorEastAsia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 w:ascii="新宋体" w:hAnsi="新宋体" w:eastAsia="新宋体"/>
              </w:rPr>
              <w:t>截至</w:t>
            </w:r>
            <w:r>
              <w:rPr>
                <w:rFonts w:ascii="新宋体" w:hAnsi="新宋体" w:eastAsia="新宋体"/>
              </w:rPr>
              <w:t>4</w:t>
            </w:r>
            <w:r>
              <w:rPr>
                <w:rFonts w:hint="eastAsia" w:ascii="新宋体" w:hAnsi="新宋体" w:eastAsia="新宋体"/>
              </w:rPr>
              <w:t>月</w:t>
            </w:r>
            <w:r>
              <w:rPr>
                <w:rFonts w:ascii="新宋体" w:hAnsi="新宋体" w:eastAsia="新宋体"/>
              </w:rPr>
              <w:t>19</w:t>
            </w:r>
            <w:r>
              <w:rPr>
                <w:rFonts w:hint="eastAsia" w:ascii="新宋体" w:hAnsi="新宋体" w:eastAsia="新宋体"/>
              </w:rPr>
              <w:t>日，富时中国A50指数周涨</w:t>
            </w:r>
            <w:r>
              <w:rPr>
                <w:rFonts w:ascii="新宋体" w:hAnsi="新宋体" w:eastAsia="新宋体"/>
              </w:rPr>
              <w:t>2.65%</w:t>
            </w:r>
            <w:r>
              <w:rPr>
                <w:rFonts w:hint="eastAsia" w:ascii="新宋体" w:hAnsi="新宋体" w:eastAsia="新宋体"/>
              </w:rPr>
              <w:t>至</w:t>
            </w:r>
            <w:r>
              <w:rPr>
                <w:rFonts w:ascii="新宋体" w:hAnsi="新宋体" w:eastAsia="新宋体"/>
              </w:rPr>
              <w:t>12209.65</w:t>
            </w:r>
            <w:r>
              <w:rPr>
                <w:rFonts w:hint="eastAsia" w:ascii="新宋体" w:hAnsi="新宋体" w:eastAsia="新宋体"/>
              </w:rPr>
              <w:t>点；新交所富时A50期指主力合约周涨</w:t>
            </w:r>
            <w:r>
              <w:rPr>
                <w:rFonts w:ascii="新宋体" w:hAnsi="新宋体" w:eastAsia="新宋体"/>
              </w:rPr>
              <w:t>2.43%</w:t>
            </w:r>
            <w:r>
              <w:rPr>
                <w:rFonts w:hint="eastAsia" w:ascii="新宋体" w:hAnsi="新宋体" w:eastAsia="新宋体"/>
              </w:rPr>
              <w:t>至</w:t>
            </w:r>
            <w:r>
              <w:rPr>
                <w:rFonts w:ascii="新宋体" w:hAnsi="新宋体" w:eastAsia="新宋体"/>
              </w:rPr>
              <w:t>12191</w:t>
            </w:r>
            <w:r>
              <w:rPr>
                <w:rFonts w:hint="eastAsia" w:ascii="新宋体" w:hAnsi="新宋体" w:eastAsia="新宋体"/>
              </w:rPr>
              <w:t>点</w:t>
            </w:r>
            <w:r>
              <w:rPr>
                <w:rFonts w:hint="eastAsia" w:asciiTheme="minorEastAsia" w:hAnsiTheme="minorEastAsia"/>
                <w:bCs/>
                <w:szCs w:val="21"/>
              </w:rPr>
              <w:t>。一季度经济数据出炉，总体表现超过预期，但固投端结构性矛盾仍存，内需修复仍需时间。考虑到当前基本面偏弱，外围不确定性因素增加，</w:t>
            </w:r>
            <w:r>
              <w:rPr>
                <w:rFonts w:ascii="Helvetica" w:hAnsi="Helvetica" w:cs="Helvetica"/>
                <w:color w:val="000000"/>
                <w:shd w:val="clear" w:color="auto" w:fill="FFFFFF"/>
              </w:rPr>
              <w:t>4月政治局会议临近召开，政策端或提振市场预期，关注超长国债以及降准等举措</w:t>
            </w:r>
            <w:r>
              <w:rPr>
                <w:rFonts w:hint="eastAsia" w:asciiTheme="minorEastAsia" w:hAnsiTheme="minorEastAsia"/>
                <w:bCs/>
                <w:szCs w:val="21"/>
              </w:rPr>
              <w:t>。</w:t>
            </w:r>
            <w:r>
              <w:rPr>
                <w:rFonts w:hint="eastAsia" w:ascii="新宋体" w:hAnsi="新宋体" w:eastAsia="新宋体"/>
              </w:rPr>
              <w:t>策略上，短线观望为主。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rFonts w:hint="eastAsia"/>
                <w:b/>
                <w:bCs/>
                <w:sz w:val="19"/>
                <w:szCs w:val="19"/>
              </w:rPr>
              <w:t>S&amp;P500</w:t>
            </w:r>
          </w:p>
          <w:p>
            <w:pPr>
              <w:pStyle w:val="8"/>
              <w:widowControl w:val="0"/>
              <w:spacing w:before="230" w:line="191" w:lineRule="auto"/>
              <w:jc w:val="center"/>
              <w:rPr>
                <w:rFonts w:hint="eastAsia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E6EFFB"/>
          </w:tcPr>
          <w:p>
            <w:pPr>
              <w:rPr>
                <w:rFonts w:hint="eastAsia" w:asciiTheme="majorEastAsia" w:hAnsiTheme="majorEastAsia" w:eastAsiaTheme="majorEastAsia" w:cstheme="majorEastAsia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 w:ascii="新宋体" w:hAnsi="新宋体" w:eastAsia="新宋体"/>
              </w:rPr>
              <w:t>截至</w:t>
            </w:r>
            <w:r>
              <w:rPr>
                <w:rFonts w:ascii="新宋体" w:hAnsi="新宋体" w:eastAsia="新宋体"/>
              </w:rPr>
              <w:t>4</w:t>
            </w:r>
            <w:r>
              <w:rPr>
                <w:rFonts w:hint="eastAsia" w:ascii="新宋体" w:hAnsi="新宋体" w:eastAsia="新宋体"/>
              </w:rPr>
              <w:t>月</w:t>
            </w:r>
            <w:r>
              <w:rPr>
                <w:rFonts w:ascii="新宋体" w:hAnsi="新宋体" w:eastAsia="新宋体"/>
              </w:rPr>
              <w:t>20</w:t>
            </w:r>
            <w:r>
              <w:rPr>
                <w:rFonts w:hint="eastAsia" w:ascii="新宋体" w:hAnsi="新宋体" w:eastAsia="新宋体"/>
              </w:rPr>
              <w:t>日，标普5</w:t>
            </w:r>
            <w:r>
              <w:rPr>
                <w:rFonts w:ascii="新宋体" w:hAnsi="新宋体" w:eastAsia="新宋体"/>
              </w:rPr>
              <w:t>00</w:t>
            </w:r>
            <w:r>
              <w:rPr>
                <w:rFonts w:hint="eastAsia" w:ascii="新宋体" w:hAnsi="新宋体" w:eastAsia="新宋体"/>
              </w:rPr>
              <w:t>指数周跌</w:t>
            </w:r>
            <w:r>
              <w:rPr>
                <w:rFonts w:ascii="新宋体" w:hAnsi="新宋体" w:eastAsia="新宋体"/>
              </w:rPr>
              <w:t>3.05%</w:t>
            </w:r>
            <w:r>
              <w:rPr>
                <w:rFonts w:hint="eastAsia" w:ascii="新宋体" w:hAnsi="新宋体" w:eastAsia="新宋体"/>
              </w:rPr>
              <w:t>至</w:t>
            </w:r>
            <w:r>
              <w:rPr>
                <w:rFonts w:ascii="新宋体" w:hAnsi="新宋体" w:eastAsia="新宋体"/>
              </w:rPr>
              <w:t>4967.23</w:t>
            </w:r>
            <w:r>
              <w:rPr>
                <w:rFonts w:hint="eastAsia" w:ascii="新宋体" w:hAnsi="新宋体" w:eastAsia="新宋体"/>
              </w:rPr>
              <w:t>点；迷你标普5</w:t>
            </w:r>
            <w:r>
              <w:rPr>
                <w:rFonts w:ascii="新宋体" w:hAnsi="新宋体" w:eastAsia="新宋体"/>
              </w:rPr>
              <w:t>00</w:t>
            </w:r>
            <w:r>
              <w:rPr>
                <w:rFonts w:hint="eastAsia" w:ascii="新宋体" w:hAnsi="新宋体" w:eastAsia="新宋体"/>
              </w:rPr>
              <w:t>主力合约周跌</w:t>
            </w:r>
            <w:r>
              <w:rPr>
                <w:rFonts w:ascii="新宋体" w:hAnsi="新宋体" w:eastAsia="新宋体"/>
              </w:rPr>
              <w:t>3.15%</w:t>
            </w:r>
            <w:r>
              <w:rPr>
                <w:rFonts w:hint="eastAsia" w:ascii="新宋体" w:hAnsi="新宋体" w:eastAsia="新宋体"/>
              </w:rPr>
              <w:t>至</w:t>
            </w:r>
            <w:r>
              <w:rPr>
                <w:rFonts w:ascii="新宋体" w:hAnsi="新宋体" w:eastAsia="新宋体"/>
              </w:rPr>
              <w:t>5003.5</w:t>
            </w:r>
            <w:r>
              <w:rPr>
                <w:rFonts w:hint="eastAsia" w:ascii="新宋体" w:hAnsi="新宋体" w:eastAsia="新宋体"/>
              </w:rPr>
              <w:t>点。标普500指数与纳指连续第6个交易日下跌。投资者淡化了以色列军事打击伊朗事件的影响，转而关注美联储的货币政策路径与Netflix与宝洁等最新一批财报。策略上，短线观望为主。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31" w:line="191" w:lineRule="auto"/>
              <w:ind w:left="449" w:leftChars="0"/>
              <w:jc w:val="both"/>
              <w:rPr>
                <w:rFonts w:hint="eastAsia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铁矿石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FFFFFF"/>
          </w:tcPr>
          <w:p>
            <w:pPr>
              <w:spacing w:line="240" w:lineRule="auto"/>
              <w:jc w:val="left"/>
              <w:rPr>
                <w:rFonts w:hint="eastAsia" w:asciiTheme="majorEastAsia" w:hAnsiTheme="majorEastAsia" w:eastAsiaTheme="majorEastAsia" w:cstheme="majorEastAsia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</w:rPr>
              <w:t>上周铁矿石期价继续走高。澳巴铁矿石发运量大幅下滑，而到港量小幅增加。贸易商挺价情绪较浓，钢企则按需补库为主，谨慎采购。国内焦炭第一轮提涨落地，钢价继续走高，钢厂日均铁水产量连续增加，提升铁矿石现货需求预期。行情展望：供应端，国内铁矿石港口库存再度增加，目前上升至1.46亿吨，较去年同期增加1524万吨，供应整体维持宽松。需求端，247家钢厂日均铁水产量为 226.22万吨，连续三周增加，虽增幅有限，但钢厂利润修复，开工率或继续提升。整体上看，铁矿石现货供应相对宽松，但当前市场主要还是关注钢厂高炉复产增加铁矿石现货需求，中长线对于矿价仍有支撑。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1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32" w:line="191" w:lineRule="auto"/>
              <w:jc w:val="center"/>
              <w:rPr>
                <w:rFonts w:hint="eastAsia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LME铜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E6EFFB"/>
          </w:tcPr>
          <w:p>
            <w:pPr>
              <w:spacing w:line="240" w:lineRule="auto"/>
              <w:rPr>
                <w:rFonts w:hint="eastAsia" w:asciiTheme="majorEastAsia" w:hAnsiTheme="majorEastAsia" w:eastAsiaTheme="majorEastAsia" w:cstheme="majorEastAsia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国际方面，美联储古尔斯比：（被问及潜在的利率上调）如有需要，没有什么是不可考虑的。巴尔金：美国需求健康且经济不过热。国内方面，财政部：中国经济韧性强、潜力大、活力足，长期向好的基本面没有改变。美元美债方面，美元指数维持下跌趋势，但因中东地缘政治风险的升级加强了美元的看涨基调，美元指数于美盘回升，最终收跌0.08%，报106.12；10年期美债收益率在亚盘急跌后收复，最终收报4.623%。对美联储政策利率最敏感的2年期美债收益率收报4.997%。  库存方面，截至本周最新数据，LME总库存为122125吨，较上周环比-2300吨；COMEX总库为26810短吨，较上周环比-2188吨；SHFE仓单为300045吨，较上周环比+3389吨。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32" w:line="191" w:lineRule="auto"/>
              <w:jc w:val="center"/>
              <w:rPr>
                <w:rFonts w:hint="eastAsia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CBOT大豆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FFFFFF"/>
          </w:tcPr>
          <w:p>
            <w:pPr>
              <w:widowControl w:val="0"/>
              <w:spacing w:before="120" w:line="240" w:lineRule="auto"/>
              <w:rPr>
                <w:rFonts w:hint="eastAsia" w:ascii="新宋体" w:hAnsi="新宋体" w:eastAsia="新宋体" w:cs="新宋体"/>
                <w:spacing w:val="25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巴西豆进入收割晚期，出口压力增加，阿根廷豆也开始收割，后期预计逐渐进入市场。美豆方面，目前开始进入播种季节，目前天气条件良好，播种进度偏快。暂时没有明显的天气炒作影响。美豆的出口继续下降，也对美豆价格有一定的不利影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34" w:line="191" w:lineRule="auto"/>
              <w:jc w:val="center"/>
              <w:rPr>
                <w:rFonts w:hint="eastAsia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原油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E6EFFB"/>
          </w:tcPr>
          <w:p>
            <w:pPr>
              <w:ind w:firstLine="420" w:firstLineChars="200"/>
              <w:rPr>
                <w:rFonts w:hint="eastAsia" w:ascii="新宋体" w:hAnsi="新宋体" w:eastAsia="新宋体" w:cs="新宋体"/>
                <w:spacing w:val="25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美国能源信息署(EIA)公布的数据显示，截至4月12日当周美国商业原油库存增加273.5万桶至4.6亿桶，预期增加140万桶；库欣原油库存增加3.3万桶至3302.6万桶；汽油库存减少115.4万桶，精炼油库存减少276万桶；美国战略石油储备（SPR）库存增加64.8万桶至3.649亿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34" w:line="191" w:lineRule="auto"/>
              <w:jc w:val="center"/>
              <w:rPr>
                <w:rFonts w:hint="eastAsia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b/>
                <w:bCs/>
                <w:sz w:val="19"/>
                <w:szCs w:val="19"/>
              </w:rPr>
              <w:t>ICE原糖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FFFFFF"/>
          </w:tcPr>
          <w:p>
            <w:pP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本周美糖7月合约期价继续下跌，周度跌幅2.88%。由于印度糖出口限制政策或有所松动。市场迎来巴西新榨季，出口仍表现强劲，利空原糖市场。主产国供应前景改善对原糖市场施压。巴西新榨季已经开榨，后市原糖价格缺乏有力支撑。据巴西蔗糖工业协会Unica称，2023/24榨季（4月-次年3月）巴西中南部地区糖产量为4242万吨，增长25%，创记录高位水平，由于糖厂在本榨季明显侧重于提高糖产量，以高昂的国际价格中获利，甘蔗分配到糖的比例为48.8%，而上榨季为44.6%。加之甘蔗在生长及收割阶段均得益于良好的天气条件。另外出口数量仍较多，巴西航运机构Williams发布的数据显示，截至4月10日当周巴西港口等待装运食糖的船只数量为72艘，此前一周为50艘。港口等待装运的食糖数量为265.1万吨，此前一周为180.68万吨。当周等待装运出口的食糖船只数量大幅增加，运输进度开始放缓。</w:t>
            </w:r>
          </w:p>
          <w:p>
            <w:pPr>
              <w:widowControl w:val="0"/>
              <w:spacing w:before="120" w:line="240" w:lineRule="auto"/>
              <w:jc w:val="both"/>
              <w:rPr>
                <w:rFonts w:hint="eastAsia" w:ascii="新宋体" w:hAnsi="新宋体" w:eastAsia="新宋体" w:cs="新宋体"/>
                <w:spacing w:val="25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D6DCE5" w:themeFill="text2" w:themeFillTint="32"/>
            <w:vAlign w:val="center"/>
          </w:tcPr>
          <w:p>
            <w:pPr>
              <w:pStyle w:val="8"/>
              <w:widowControl w:val="0"/>
              <w:spacing w:before="234" w:line="191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spacing w:val="3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val="en-US" w:eastAsia="zh-CN"/>
              </w:rPr>
              <w:t>棉花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E6EFFB"/>
          </w:tcPr>
          <w:p>
            <w:pPr>
              <w:widowControl w:val="0"/>
              <w:spacing w:before="120" w:line="240" w:lineRule="auto"/>
              <w:rPr>
                <w:rFonts w:hint="eastAsia" w:ascii="新宋体" w:hAnsi="新宋体" w:eastAsia="新宋体" w:cs="新宋体"/>
                <w:spacing w:val="25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本周美棉7月合约价格大跌，周度跌幅超4.0%。主要受美元走强和技术性卖盘所累。据美国农业部(USDA)报告显示，2024年4月5-11日，2023/24年度美国陆地棉出口签约量33165吨，较前周增长79%，较前4周平均水平增长64%；2023/24年度美国陆地棉出口装运量60541吨，较前周下降3%，较前4周平均水平下降24%。美棉签约大增，但装运数据下滑。未来一周美棉销售报告仍是关注焦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4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dotted" w:color="auto" w:sz="4" w:space="0"/>
              <w:right w:val="dotted" w:color="auto" w:sz="4" w:space="0"/>
            </w:tcBorders>
            <w:shd w:val="clear" w:color="auto" w:fill="B5C7EA" w:themeFill="accent1" w:themeFillTint="66"/>
            <w:vAlign w:val="center"/>
          </w:tcPr>
          <w:p>
            <w:pPr>
              <w:pStyle w:val="8"/>
              <w:widowControl w:val="0"/>
              <w:spacing w:before="234" w:line="191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val="en-US" w:eastAsia="zh-CN"/>
              </w:rPr>
              <w:t>美元指数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FFFFFF" w:sz="4" w:space="0"/>
            </w:tcBorders>
            <w:shd w:val="clear" w:color="auto" w:fill="FFFFFF"/>
          </w:tcPr>
          <w:p>
            <w:pPr>
              <w:widowControl w:val="0"/>
              <w:spacing w:before="120" w:line="240" w:lineRule="auto"/>
              <w:rPr>
                <w:rFonts w:hint="eastAsia" w:ascii="新宋体" w:hAnsi="新宋体" w:eastAsia="新宋体" w:cs="新宋体"/>
                <w:spacing w:val="25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近期公布的美国经济数据显示制造业有所复苏，叠加当前劳动力市场仍处于供需失衡状态，未来美国通胀放缓或仍旧受阻。非美国家方面，多数央行均于公开演讲中讨论近期降息的计划，美国与非美国家利差预期或有所走阔。往后看，上周五地缘冲突所产生的影响相较平淡，短期内市场避险情绪或有所回落，当前美国与非美国家利差预期持续走阔，美元指数或得到一定支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1744" w:type="dxa"/>
            <w:tcBorders>
              <w:top w:val="dotted" w:color="auto" w:sz="4" w:space="0"/>
              <w:left w:val="single" w:color="FFFFFF" w:sz="4" w:space="0"/>
              <w:bottom w:val="single" w:color="2169C1" w:sz="4" w:space="0"/>
              <w:right w:val="dotted" w:color="auto" w:sz="4" w:space="0"/>
            </w:tcBorders>
            <w:shd w:val="clear" w:color="auto" w:fill="B5C7EA" w:themeFill="accent1" w:themeFillTint="66"/>
            <w:vAlign w:val="center"/>
          </w:tcPr>
          <w:p>
            <w:pPr>
              <w:pStyle w:val="8"/>
              <w:widowControl w:val="0"/>
              <w:spacing w:before="234" w:line="191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val="en-US" w:eastAsia="zh-CN"/>
              </w:rPr>
              <w:t>贵金属</w:t>
            </w:r>
          </w:p>
        </w:tc>
        <w:tc>
          <w:tcPr>
            <w:tcW w:w="9039" w:type="dxa"/>
            <w:tcBorders>
              <w:top w:val="dotted" w:color="auto" w:sz="4" w:space="0"/>
              <w:left w:val="dotted" w:color="auto" w:sz="4" w:space="0"/>
              <w:bottom w:val="single" w:color="2169C1" w:sz="4" w:space="0"/>
              <w:right w:val="single" w:color="FFFFFF" w:sz="4" w:space="0"/>
            </w:tcBorders>
            <w:shd w:val="clear" w:color="auto" w:fill="DBE3F4" w:themeFill="accent1" w:themeFillTint="32"/>
          </w:tcPr>
          <w:p>
            <w:pPr>
              <w:widowControl w:val="0"/>
              <w:spacing w:before="120" w:line="240" w:lineRule="auto"/>
              <w:rPr>
                <w:rFonts w:hint="eastAsia" w:ascii="新宋体" w:hAnsi="新宋体" w:eastAsia="新宋体" w:cs="新宋体"/>
                <w:spacing w:val="25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上周五地缘冲突所产生的影响相较平淡，短期内市场避险情绪或有所回落，然而通胀预期在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以美国为首的西方国家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经济复苏的影响下或持续升高，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叠加当前发达国家劳动力市场状况良好，薪资增速较为稳定，后继消费需求或得到一定保障。整体商品价格上涨预期的推动下，后继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贵金属价格或得到一定支撑。</w:t>
            </w:r>
          </w:p>
        </w:tc>
      </w:tr>
    </w:tbl>
    <w:p>
      <w:pPr>
        <w:spacing w:before="120" w:line="190" w:lineRule="auto"/>
        <w:rPr>
          <w:rFonts w:hint="eastAsia" w:ascii="微软雅黑" w:hAnsi="微软雅黑" w:eastAsia="微软雅黑" w:cs="微软雅黑"/>
          <w:b/>
          <w:bCs/>
          <w:color w:val="036EB8"/>
          <w:spacing w:val="10"/>
          <w:sz w:val="28"/>
          <w:szCs w:val="28"/>
          <w:lang w:val="en-US" w:eastAsia="zh-CN"/>
        </w:rPr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  <w:rPr>
          <w:rFonts w:hint="default" w:ascii="微软雅黑" w:hAnsi="微软雅黑" w:eastAsia="微软雅黑" w:cs="微软雅黑"/>
          <w:color w:val="036EB8"/>
          <w:sz w:val="28"/>
          <w:szCs w:val="28"/>
          <w:lang w:val="en-US" w:eastAsia="zh-CN"/>
        </w:rPr>
      </w:pPr>
      <w:r>
        <w:rPr>
          <w:rFonts w:ascii="微软雅黑" w:hAnsi="微软雅黑" w:eastAsia="微软雅黑" w:cs="微软雅黑"/>
          <w:color w:val="036EB8"/>
          <w:position w:val="-4"/>
          <w:sz w:val="28"/>
          <w:szCs w:val="28"/>
        </w:rPr>
        <w:drawing>
          <wp:inline distT="0" distB="0" distL="0" distR="0">
            <wp:extent cx="128905" cy="173990"/>
            <wp:effectExtent l="0" t="0" r="4445" b="1651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36EB8"/>
          <w:spacing w:val="10"/>
          <w:sz w:val="28"/>
          <w:szCs w:val="28"/>
        </w:rPr>
        <w:t>周度</w:t>
      </w:r>
      <w:r>
        <w:rPr>
          <w:rFonts w:hint="eastAsia" w:ascii="微软雅黑" w:hAnsi="微软雅黑" w:eastAsia="微软雅黑" w:cs="微软雅黑"/>
          <w:b/>
          <w:bCs/>
          <w:color w:val="036EB8"/>
          <w:spacing w:val="10"/>
          <w:sz w:val="28"/>
          <w:szCs w:val="28"/>
          <w:lang w:val="en-US" w:eastAsia="zh-CN"/>
        </w:rPr>
        <w:t>品种图表</w:t>
      </w:r>
    </w:p>
    <w:tbl>
      <w:tblPr>
        <w:tblStyle w:val="9"/>
        <w:tblW w:w="9416" w:type="dxa"/>
        <w:tblInd w:w="210" w:type="dxa"/>
        <w:tblBorders>
          <w:top w:val="single" w:color="036EB8" w:sz="2" w:space="0"/>
          <w:left w:val="single" w:color="036EB8" w:sz="2" w:space="0"/>
          <w:bottom w:val="single" w:color="036EB8" w:sz="2" w:space="0"/>
          <w:right w:val="single" w:color="036EB8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16"/>
      </w:tblGrid>
      <w:tr>
        <w:tblPrEx>
          <w:tblBorders>
            <w:top w:val="single" w:color="036EB8" w:sz="2" w:space="0"/>
            <w:left w:val="single" w:color="036EB8" w:sz="2" w:space="0"/>
            <w:bottom w:val="single" w:color="036EB8" w:sz="2" w:space="0"/>
            <w:right w:val="single" w:color="036EB8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6" w:hRule="atLeast"/>
        </w:trPr>
        <w:tc>
          <w:tcPr>
            <w:tcW w:w="9416" w:type="dxa"/>
            <w:vAlign w:val="top"/>
          </w:tcPr>
          <w:p>
            <w:pPr>
              <w:spacing w:line="4053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2190750</wp:posOffset>
                      </wp:positionV>
                      <wp:extent cx="2849245" cy="287655"/>
                      <wp:effectExtent l="5080" t="4445" r="22225" b="1270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92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图2 ：纽约铜主力合约走势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9.75pt;margin-top:172.5pt;height:22.65pt;width:224.35pt;z-index:251663360;mso-width-relative:page;mso-height-relative:page;" fillcolor="#FFFFFF [3201]" filled="t" stroked="t" coordsize="21600,21600" o:gfxdata="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4Qp302QAAAAsB&#10;AAAPAAAAAAAAAAEAIAAAACIAAABkcnMvZG93bnJldi54bWxQSwECFAAUAAAACACHTuJAEm0SbVMC&#10;AAC6BAAADgAAAAAAAAABACAAAAAoAQAAZHJzL2Uyb0RvYy54bWxQSwUGAAAAAAYABgBZAQAA7QUA&#10;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图2 ：纽约铜主力合约走势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2211070</wp:posOffset>
                      </wp:positionV>
                      <wp:extent cx="2797175" cy="287655"/>
                      <wp:effectExtent l="0" t="0" r="3175" b="17145"/>
                      <wp:wrapNone/>
                      <wp:docPr id="3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97890" y="4470400"/>
                                <a:ext cx="2797175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图1 ：铜库存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.45pt;margin-top:174.1pt;height:22.65pt;width:220.25pt;z-index:251662336;mso-width-relative:page;mso-height-relative:page;" fillcolor="#FFFFFF [3201]" filled="t" stroked="f" coordsize="21600,21600" o:gfxdata="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3ODUA&#10;1gAAAAoBAAAPAAAAAAAAAAEAIAAAACIAAABkcnMvZG93bnJldi54bWxQSwECFAAUAAAACACHTuJA&#10;tMCLi1wCAACcBAAADgAAAAAAAAABACAAAAAlAQAAZHJzL2Uyb0RvYy54bWxQSwUGAAAAAAYABgBZ&#10;AQAA8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图1 ：铜库存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>
                <v:shape id="_x0000_i1028" o:spt="75" alt="" type="#_x0000_t75" style="height:149pt;width:213.75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f"/>
                  <w10:wrap type="none"/>
                  <w10:anchorlock/>
                </v:shape>
                <o:OLEObject Type="Link" ProgID="Excel.Sheet.12" ShapeID="_x0000_i1028" UpdateMode="Always" DrawAspect="Content" ObjectID="_1468075725" r:id="rId16">
                  <o:LinkType>EnhancedMetaFile</o:LinkType>
                  <o:LockedField>false</o:LockedField>
                </o:OLEObject>
              </w:object>
            </w:r>
            <w:r>
              <w:drawing>
                <wp:inline distT="0" distB="0" distL="0" distR="0">
                  <wp:extent cx="2868295" cy="1870075"/>
                  <wp:effectExtent l="0" t="0" r="8255" b="158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36EB8" w:sz="2" w:space="0"/>
            <w:left w:val="single" w:color="036EB8" w:sz="2" w:space="0"/>
            <w:bottom w:val="single" w:color="036EB8" w:sz="2" w:space="0"/>
            <w:right w:val="single" w:color="036EB8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3" w:hRule="atLeast"/>
        </w:trPr>
        <w:tc>
          <w:tcPr>
            <w:tcW w:w="9416" w:type="dxa"/>
            <w:vAlign w:val="top"/>
          </w:tcPr>
          <w:p>
            <w:pPr>
              <w:spacing w:line="4053" w:lineRule="exact"/>
              <w:jc w:val="center"/>
              <w:rPr>
                <w:rFonts w:hint="eastAsia" w:eastAsia="新宋体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3142615</wp:posOffset>
                      </wp:positionH>
                      <wp:positionV relativeFrom="paragraph">
                        <wp:posOffset>2124710</wp:posOffset>
                      </wp:positionV>
                      <wp:extent cx="2573020" cy="287655"/>
                      <wp:effectExtent l="0" t="0" r="17780" b="1714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30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图4：中国GDP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7.45pt;margin-top:167.3pt;height:22.65pt;width:202.6pt;z-index:251665408;mso-width-relative:page;mso-height-relative:page;" fillcolor="#FFFFFF [3201]" filled="t" stroked="f" coordsize="21600,21600" o:gfxdata="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b7MB01gAAAAsBAAAPAAAA&#10;AAAAAAEAIAAAACIAAABkcnMvZG93bnJldi54bWxQSwECFAAUAAAACACHTuJAKNdXSVACAACRBAAA&#10;DgAAAAAAAAABACAAAAAl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图4：中国GDP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2127885</wp:posOffset>
                      </wp:positionV>
                      <wp:extent cx="2849245" cy="287655"/>
                      <wp:effectExtent l="0" t="0" r="8255" b="1714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92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图3：美国通胀水平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.65pt;margin-top:167.55pt;height:22.65pt;width:224.35pt;z-index:251664384;mso-width-relative:page;mso-height-relative:page;" fillcolor="#FFFFFF [3201]" filled="t" stroked="f" coordsize="21600,21600" o:gfxdata="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u4w29YAAAAKAQAADwAA&#10;AAAAAAABACAAAAAiAAAAZHJzL2Rvd25yZXYueG1sUEsBAhQAFAAAAAgAh07iQDpyiwJRAgAAkQQA&#10;AA4AAAAAAAAAAQAgAAAAJQEAAGRycy9lMm9Eb2MueG1sUEsFBgAAAAAGAAYAWQEAAOg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图3：美国通胀水平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2668905" cy="1864995"/>
                  <wp:effectExtent l="0" t="0" r="17145" b="190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771775" cy="1844675"/>
                  <wp:effectExtent l="0" t="0" r="9525" b="317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36EB8" w:sz="2" w:space="0"/>
            <w:left w:val="single" w:color="036EB8" w:sz="2" w:space="0"/>
            <w:bottom w:val="single" w:color="036EB8" w:sz="2" w:space="0"/>
            <w:right w:val="single" w:color="036EB8" w:sz="2" w:space="0"/>
            <w:insideH w:val="none" w:color="auto" w:sz="0" w:space="0"/>
            <w:insideV w:val="none" w:color="auto" w:sz="0" w:space="0"/>
          </w:tblBorders>
        </w:tblPrEx>
        <w:trPr>
          <w:trHeight w:val="4063" w:hRule="atLeast"/>
        </w:trPr>
        <w:tc>
          <w:tcPr>
            <w:tcW w:w="9416" w:type="dxa"/>
            <w:vAlign w:val="top"/>
          </w:tcPr>
          <w:p>
            <w:pPr>
              <w:ind w:firstLine="1470" w:firstLineChars="700"/>
              <w:jc w:val="both"/>
              <w:rPr>
                <w:rFonts w:ascii="宋体" w:hAnsi="宋体" w:eastAsia="宋体"/>
                <w:color w:val="000000"/>
                <w:szCs w:val="21"/>
              </w:rPr>
            </w:pPr>
          </w:p>
          <w:p>
            <w:pPr>
              <w:spacing w:line="4053" w:lineRule="exact"/>
              <w:jc w:val="center"/>
            </w:pPr>
            <w:r>
              <w:rPr>
                <w:rFonts w:ascii="宋体" w:hAnsi="宋体" w:eastAsia="宋体"/>
              </w:rPr>
              <w:drawing>
                <wp:inline distT="0" distB="0" distL="0" distR="0">
                  <wp:extent cx="2780030" cy="1965960"/>
                  <wp:effectExtent l="0" t="0" r="1270" b="1524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96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3223260</wp:posOffset>
                      </wp:positionH>
                      <wp:positionV relativeFrom="paragraph">
                        <wp:posOffset>2156460</wp:posOffset>
                      </wp:positionV>
                      <wp:extent cx="2580640" cy="302895"/>
                      <wp:effectExtent l="0" t="0" r="10160" b="1905"/>
                      <wp:wrapNone/>
                      <wp:docPr id="66" name="文本框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图6：美国炼厂产能利用率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53.8pt;margin-top:169.8pt;height:23.85pt;width:203.2pt;z-index:251667456;mso-width-relative:page;mso-height-relative:page;" fillcolor="#FFFFFF [3201]" filled="t" stroked="f" coordsize="21600,21600" o:gfxdata="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+H+WE1gAAAAsBAAAPAAAA&#10;AAAAAAEAIAAAACIAAABkcnMvZG93bnJldi54bWxQSwECFAAUAAAACACHTuJAHO/hlFACAACRBAAA&#10;DgAAAAAAAAABACAAAAAl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图6：美国炼厂产能利用率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2142490</wp:posOffset>
                      </wp:positionV>
                      <wp:extent cx="2580640" cy="302895"/>
                      <wp:effectExtent l="0" t="0" r="10160" b="190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079500" y="9404985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图5：EIA美国商业原油库存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.6pt;margin-top:168.7pt;height:23.85pt;width:203.2pt;z-index:251666432;mso-width-relative:page;mso-height-relative:page;" fillcolor="#FFFFFF [3201]" filled="t" stroked="f" coordsize="21600,21600" o:gfxdata="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Vy&#10;kv/WAAAACgEAAA8AAAAAAAAAAQAgAAAAIgAAAGRycy9kb3ducmV2LnhtbFBLAQIUABQAAAAIAIdO&#10;4kAwO/XXXgIAAJ0EAAAOAAAAAAAAAAEAIAAAACUBAABkcnMvZTJvRG9jLnhtbFBLBQYAAAAABgAG&#10;AFkBAAD1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图5：EIA美国商业原油库存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w:drawing>
                <wp:inline distT="0" distB="0" distL="0" distR="0">
                  <wp:extent cx="2706370" cy="1969135"/>
                  <wp:effectExtent l="0" t="0" r="17780" b="1206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36EB8" w:sz="2" w:space="0"/>
            <w:left w:val="single" w:color="036EB8" w:sz="2" w:space="0"/>
            <w:bottom w:val="single" w:color="036EB8" w:sz="2" w:space="0"/>
            <w:right w:val="single" w:color="036EB8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3" w:hRule="atLeast"/>
        </w:trPr>
        <w:tc>
          <w:tcPr>
            <w:tcW w:w="9416" w:type="dxa"/>
            <w:vAlign w:val="top"/>
          </w:tcPr>
          <w:p>
            <w:pPr>
              <w:spacing w:line="4053" w:lineRule="exact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2109470</wp:posOffset>
                      </wp:positionV>
                      <wp:extent cx="2837815" cy="424180"/>
                      <wp:effectExtent l="0" t="0" r="635" b="1397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7815" cy="424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hint="eastAsia" w:ascii="微软雅黑" w:hAnsi="微软雅黑" w:eastAsia="微软雅黑" w:cs="微软雅黑"/>
                                      <w:spacing w:val="1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图8：ICE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zh-CN" w:eastAsia="zh-CN" w:bidi="ar-SA"/>
                                    </w:rPr>
                                    <w:t>原糖期货主力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合约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zh-CN" w:eastAsia="zh-CN" w:bidi="ar-SA"/>
                                    </w:rPr>
                                    <w:t>走势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7"/>
                                      <w:sz w:val="21"/>
                                      <w:szCs w:val="21"/>
                                      <w:lang w:val="zh-CN" w:eastAsia="zh-CN"/>
                                    </w:rPr>
                                    <w:t>图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4.75pt;margin-top:166.1pt;height:33.4pt;width:223.45pt;z-index:251669504;mso-width-relative:page;mso-height-relative:page;" fillcolor="#FFFFFF [3201]" filled="t" stroked="f" coordsize="21600,21600" o:gfxdata="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vTj5dcAAAALAQAA&#10;DwAAAAAAAAABACAAAAAiAAAAZHJzL2Rvd25yZXYueG1sUEsBAhQAFAAAAAgAh07iQHVVI95TAgAA&#10;kQQAAA4AAAAAAAAAAQAgAAAAJgEAAGRycy9lMm9Eb2MueG1sUEsFBgAAAAAGAAYAWQEAAOsFAAAA&#10;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图8：ICE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zh-CN" w:eastAsia="zh-CN" w:bidi="ar-SA"/>
                              </w:rPr>
                              <w:t>原糖期货主力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合约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zh-CN" w:eastAsia="zh-CN" w:bidi="ar-SA"/>
                              </w:rPr>
                              <w:t>走势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pacing w:val="7"/>
                                <w:sz w:val="21"/>
                                <w:szCs w:val="21"/>
                                <w:lang w:val="zh-CN" w:eastAsia="zh-CN"/>
                              </w:rPr>
                              <w:t>图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图7：ICE棉花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zh-CN" w:eastAsia="zh-CN" w:bidi="ar-SA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75pt;margin-top:172.3pt;height:23.7pt;width:203.15pt;z-index:251668480;mso-width-relative:page;mso-height-relative:page;" fillcolor="#FFFFFF [3201]" filled="t" stroked="f" coordsize="21600,21600" o:gfxdata="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CbVxP&#10;1QAAAAoBAAAPAAAAAAAAAAEAIAAAACIAAABkcnMvZG93bnJldi54bWxQSwECFAAUAAAACACHTuJA&#10;NF5u3F0CAACcBAAADgAAAAAAAAABACAAAAAkAQAAZHJzL2Uyb0RvYy54bWxQSwUGAAAAAAYABgBZ&#10;AQAA8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图7：ICE棉花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zh-CN" w:eastAsia="zh-CN" w:bidi="ar-SA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13685" cy="1770380"/>
                  <wp:effectExtent l="0" t="0" r="5715" b="1270"/>
                  <wp:docPr id="37" name="图片 37" descr="QQ截图20240419134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截图202404191347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68600" cy="1741805"/>
                  <wp:effectExtent l="0" t="0" r="12700" b="10795"/>
                  <wp:docPr id="5" name="图片 5" descr="QQ截图20240419134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截图202404191347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36EB8" w:sz="2" w:space="0"/>
            <w:left w:val="single" w:color="036EB8" w:sz="2" w:space="0"/>
            <w:bottom w:val="single" w:color="036EB8" w:sz="2" w:space="0"/>
            <w:right w:val="single" w:color="036EB8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3" w:hRule="atLeast"/>
        </w:trPr>
        <w:tc>
          <w:tcPr>
            <w:tcW w:w="9416" w:type="dxa"/>
            <w:vAlign w:val="top"/>
          </w:tcPr>
          <w:p>
            <w:pPr>
              <w:spacing w:line="4053" w:lineRule="exact"/>
              <w:jc w:val="both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0" distR="0">
                  <wp:extent cx="2857500" cy="1739265"/>
                  <wp:effectExtent l="9525" t="9525" r="9525" b="2286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39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2142490</wp:posOffset>
                      </wp:positionV>
                      <wp:extent cx="2641600" cy="309245"/>
                      <wp:effectExtent l="0" t="0" r="6350" b="14605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75360" y="591312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9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：钢厂高炉开工率及产能利用率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65pt;margin-top:168.7pt;height:24.35pt;width:208pt;z-index:251670528;mso-width-relative:page;mso-height-relative:page;" fillcolor="#FFFFFF [3201]" filled="t" stroked="f" coordsize="21600,21600" o:gfxdata="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4CpjdUA&#10;AAAKAQAADwAAAAAAAAABACAAAAAiAAAAZHJzL2Rvd25yZXYueG1sUEsBAhQAFAAAAAgAh07iQNtt&#10;W0ZbAgAAnAQAAA4AAAAAAAAAAQAgAAAAJAEAAGRycy9lMm9Eb2MueG1sUEsFBgAAAAAGAAYAWQEA&#10;APE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：钢厂高炉开工率及产能利用率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图10：大豆走势图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4.15pt;margin-top:167.95pt;height:24.35pt;width:208pt;z-index:251671552;mso-width-relative:page;mso-height-relative:page;" fillcolor="#FFFFFF [3201]" filled="t" stroked="f" coordsize="21600,21600" o:gfxdata="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WNn6eNYAAAALAQAADwAA&#10;AAAAAAABACAAAAAiAAAAZHJzL2Rvd25yZXYueG1sUEsBAhQAFAAAAAgAh07iQGH1hZBRAgAAkQQA&#10;AA4AAAAAAAAAAQAgAAAAJQEAAGRycy9lMm9Eb2MueG1sUEsFBgAAAAAGAAYAWQEAAOg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图10：大豆走势图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759710" cy="1757680"/>
                  <wp:effectExtent l="0" t="0" r="2540" b="13970"/>
                  <wp:docPr id="42" name="图片 42" descr="898c4f33ea380131ab995641d7163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898c4f33ea380131ab995641d7163a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36EB8" w:sz="2" w:space="0"/>
            <w:left w:val="single" w:color="036EB8" w:sz="2" w:space="0"/>
            <w:bottom w:val="single" w:color="036EB8" w:sz="2" w:space="0"/>
            <w:right w:val="single" w:color="036EB8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3" w:hRule="atLeast"/>
        </w:trPr>
        <w:tc>
          <w:tcPr>
            <w:tcW w:w="9416" w:type="dxa"/>
            <w:vAlign w:val="top"/>
          </w:tcPr>
          <w:p>
            <w:pPr>
              <w:spacing w:line="4053" w:lineRule="exact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2950210</wp:posOffset>
                      </wp:positionH>
                      <wp:positionV relativeFrom="paragraph">
                        <wp:posOffset>2152650</wp:posOffset>
                      </wp:positionV>
                      <wp:extent cx="2922270" cy="318770"/>
                      <wp:effectExtent l="0" t="0" r="11430" b="508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227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图12：美国与英国10年期国债收益率利差走阔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 w:bidi="ar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2.3pt;margin-top:169.5pt;height:25.1pt;width:230.1pt;z-index:251673600;mso-width-relative:page;mso-height-relative:page;" fillcolor="#FFFFFF [3201]" filled="t" stroked="f" coordsize="21600,21600" o:gfxdata="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T9EDtYAAAALAQAADwAA&#10;AAAAAAABACAAAAAiAAAAZHJzL2Rvd25yZXYueG1sUEsBAhQAFAAAAAgAh07iQOZMNn9RAgAAkQQA&#10;AA4AAAAAAAAAAQAgAAAAJQEAAGRycy9lMm9Eb2MueG1sUEsFBgAAAAAGAAYAWQEAAOg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图12：美国与英国10年期国债收益率利差走阔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2157095</wp:posOffset>
                      </wp:positionV>
                      <wp:extent cx="2190750" cy="337185"/>
                      <wp:effectExtent l="0" t="0" r="0" b="5715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37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图11：美德10年期国债利差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9pt;margin-top:169.85pt;height:26.55pt;width:172.5pt;z-index:251672576;mso-width-relative:page;mso-height-relative:page;" fillcolor="#FFFFFF [3201]" filled="t" stroked="f" coordsize="21600,21600" o:gfxdata="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j58PvWAAAACgEAAA8A&#10;AAAAAAAAAQAgAAAAIgAAAGRycy9kb3ducmV2LnhtbFBLAQIUABQAAAAIAIdO4kBAp/fpUgIAAJEE&#10;AAAOAAAAAAAAAAEAIAAAACUBAABkcnMvZTJvRG9jLnhtbFBLBQYAAAAABgAGAFkBAADp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图11：美德10年期国债利差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962275" cy="1941195"/>
                  <wp:effectExtent l="0" t="0" r="9525" b="1905"/>
                  <wp:docPr id="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741295" cy="1845945"/>
                  <wp:effectExtent l="0" t="0" r="1905" b="190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36EB8" w:sz="2" w:space="0"/>
            <w:left w:val="single" w:color="036EB8" w:sz="2" w:space="0"/>
            <w:bottom w:val="single" w:color="036EB8" w:sz="2" w:space="0"/>
            <w:right w:val="single" w:color="036EB8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3" w:hRule="atLeast"/>
        </w:trPr>
        <w:tc>
          <w:tcPr>
            <w:tcW w:w="9416" w:type="dxa"/>
            <w:vAlign w:val="top"/>
          </w:tcPr>
          <w:p>
            <w:pPr>
              <w:spacing w:line="4053" w:lineRule="exact"/>
              <w:jc w:val="both"/>
              <w:rPr>
                <w:sz w:val="20"/>
              </w:rPr>
            </w:pPr>
            <w:r>
              <w:drawing>
                <wp:inline distT="0" distB="0" distL="114300" distR="114300">
                  <wp:extent cx="3023235" cy="1893570"/>
                  <wp:effectExtent l="0" t="0" r="5715" b="11430"/>
                  <wp:docPr id="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3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2141220</wp:posOffset>
                      </wp:positionV>
                      <wp:extent cx="2190750" cy="318770"/>
                      <wp:effectExtent l="0" t="0" r="0" b="508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图14：白银净多头持仓持续上升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 w:bidi="ar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8.3pt;margin-top:168.6pt;height:25.1pt;width:172.5pt;z-index:251675648;mso-width-relative:page;mso-height-relative:page;" fillcolor="#FFFFFF [3201]" filled="t" stroked="f" coordsize="21600,21600" o:gfxdata="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wpraY1wAAAAsBAAAP&#10;AAAAAAAAAAEAIAAAACIAAABkcnMvZG93bnJldi54bWxQSwECFAAUAAAACACHTuJA/HYmmVICAACR&#10;BAAADgAAAAAAAAABACAAAAAmAQAAZHJzL2Uyb0RvYy54bWxQSwUGAAAAAAYABgBZAQAA6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图14：白银净多头持仓持续上升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2131695</wp:posOffset>
                      </wp:positionV>
                      <wp:extent cx="2190750" cy="328295"/>
                      <wp:effectExtent l="0" t="0" r="0" b="14605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28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napToGrid w:val="0"/>
                                      <w:color w:val="000000"/>
                                      <w:spacing w:val="25"/>
                                      <w:kern w:val="0"/>
                                      <w:sz w:val="19"/>
                                      <w:szCs w:val="19"/>
                                      <w:lang w:val="en-US" w:eastAsia="zh-CN" w:bidi="ar-SA"/>
                                    </w:rPr>
                                    <w:t>图13：黄金净多头持仓持续上升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 w:bidi="ar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.55pt;margin-top:167.85pt;height:25.85pt;width:172.5pt;z-index:251674624;mso-width-relative:page;mso-height-relative:page;" fillcolor="#FFFFFF [3201]" filled="t" stroked="f" coordsize="21600,21600" o:gfxdata="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vsFHnUAAAACgEAAA8AAAAA&#10;AAAAAQAgAAAAIgAAAGRycy9kb3ducmV2LnhtbFBLAQIUABQAAAAIAIdO4kAKQ+3mUQIAAJEEAAAO&#10;AAAAAAAAAAEAIAAAACMBAABkcnMvZTJvRG9jLnhtbFBLBQYAAAAABgAGAFkBAADm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napToGrid w:val="0"/>
                                <w:color w:val="000000"/>
                                <w:spacing w:val="25"/>
                                <w:kern w:val="0"/>
                                <w:sz w:val="19"/>
                                <w:szCs w:val="19"/>
                                <w:lang w:val="en-US" w:eastAsia="zh-CN" w:bidi="ar-SA"/>
                              </w:rPr>
                              <w:t>图13：黄金净多头持仓持续上升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847340" cy="1871980"/>
                  <wp:effectExtent l="0" t="0" r="10160" b="13970"/>
                  <wp:docPr id="4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35" w:line="176" w:lineRule="auto"/>
        <w:ind w:firstLine="194" w:firstLineChars="100"/>
        <w:rPr>
          <w:rFonts w:hint="default" w:ascii="微软雅黑" w:hAnsi="微软雅黑" w:eastAsia="微软雅黑" w:cs="微软雅黑"/>
          <w:spacing w:val="7"/>
          <w:sz w:val="18"/>
          <w:szCs w:val="18"/>
          <w:lang w:val="en-US" w:eastAsia="zh-CN"/>
        </w:rPr>
        <w:sectPr>
          <w:headerReference r:id="rId6" w:type="default"/>
          <w:footerReference r:id="rId7" w:type="default"/>
          <w:pgSz w:w="11923" w:h="16837"/>
          <w:pgMar w:top="400" w:right="556" w:bottom="0" w:left="1015" w:header="340" w:footer="34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 w:ascii="微软雅黑" w:hAnsi="微软雅黑" w:eastAsia="微软雅黑" w:cs="微软雅黑"/>
          <w:spacing w:val="7"/>
          <w:sz w:val="18"/>
          <w:szCs w:val="18"/>
          <w:lang w:val="en-US" w:eastAsia="zh-CN"/>
        </w:rPr>
        <w:t>资料源：公开资料整理，瑞达国际</w:t>
      </w:r>
    </w:p>
    <w:p>
      <w:pPr>
        <w:spacing w:before="120" w:line="190" w:lineRule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ascii="微软雅黑" w:hAnsi="微软雅黑" w:eastAsia="微软雅黑" w:cs="微软雅黑"/>
          <w:color w:val="036EB8"/>
          <w:position w:val="-4"/>
          <w:sz w:val="28"/>
          <w:szCs w:val="28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36EB8"/>
          <w:spacing w:val="10"/>
          <w:sz w:val="28"/>
          <w:szCs w:val="28"/>
          <w:lang w:val="en-US" w:eastAsia="zh-CN"/>
        </w:rPr>
        <w:t>下周热点日程</w:t>
      </w:r>
    </w:p>
    <w:p>
      <w:pPr>
        <w:spacing w:before="84"/>
      </w:pPr>
    </w:p>
    <w:tbl>
      <w:tblPr>
        <w:tblStyle w:val="9"/>
        <w:tblW w:w="9389" w:type="dxa"/>
        <w:tblInd w:w="25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7"/>
        <w:gridCol w:w="1478"/>
        <w:gridCol w:w="634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3045" w:type="dxa"/>
            <w:gridSpan w:val="2"/>
            <w:shd w:val="clear" w:color="auto" w:fill="3D85C1"/>
            <w:vAlign w:val="top"/>
          </w:tcPr>
          <w:p>
            <w:pPr>
              <w:pStyle w:val="8"/>
              <w:spacing w:before="221" w:line="182" w:lineRule="auto"/>
              <w:ind w:left="1142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时间</w:t>
            </w:r>
          </w:p>
        </w:tc>
        <w:tc>
          <w:tcPr>
            <w:tcW w:w="6344" w:type="dxa"/>
            <w:shd w:val="clear" w:color="auto" w:fill="3D85C1"/>
            <w:vAlign w:val="top"/>
          </w:tcPr>
          <w:p>
            <w:pPr>
              <w:pStyle w:val="8"/>
              <w:spacing w:before="221" w:line="195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数据/事件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567" w:type="dxa"/>
            <w:vAlign w:val="top"/>
          </w:tcPr>
          <w:p>
            <w:pPr>
              <w:pStyle w:val="8"/>
              <w:spacing w:before="228" w:line="191" w:lineRule="auto"/>
              <w:ind w:left="449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23</w:t>
            </w:r>
          </w:p>
        </w:tc>
        <w:tc>
          <w:tcPr>
            <w:tcW w:w="1478" w:type="dxa"/>
            <w:vAlign w:val="top"/>
          </w:tcPr>
          <w:p>
            <w:pPr>
              <w:pStyle w:val="8"/>
              <w:spacing w:before="243" w:line="172" w:lineRule="auto"/>
              <w:ind w:left="94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val="en-US" w:eastAsia="zh-CN"/>
              </w:rPr>
              <w:t>16</w:t>
            </w:r>
            <w:r>
              <w:rPr>
                <w:b/>
                <w:bCs/>
                <w:spacing w:val="6"/>
                <w:sz w:val="19"/>
                <w:szCs w:val="19"/>
              </w:rPr>
              <w:t>: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val="en-US" w:eastAsia="zh-CN"/>
              </w:rPr>
              <w:t>00</w:t>
            </w:r>
          </w:p>
        </w:tc>
        <w:tc>
          <w:tcPr>
            <w:tcW w:w="6344" w:type="dxa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欧元区4月PMI数据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67" w:type="dxa"/>
            <w:shd w:val="clear" w:color="auto" w:fill="D3EAFF"/>
            <w:vAlign w:val="top"/>
          </w:tcPr>
          <w:p>
            <w:pPr>
              <w:pStyle w:val="8"/>
              <w:spacing w:before="230" w:line="191" w:lineRule="auto"/>
              <w:ind w:left="449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23</w:t>
            </w:r>
          </w:p>
        </w:tc>
        <w:tc>
          <w:tcPr>
            <w:tcW w:w="1478" w:type="dxa"/>
            <w:shd w:val="clear" w:color="auto" w:fill="D3EAFF"/>
            <w:vAlign w:val="top"/>
          </w:tcPr>
          <w:p>
            <w:pPr>
              <w:pStyle w:val="8"/>
              <w:spacing w:before="245" w:line="172" w:lineRule="auto"/>
              <w:ind w:left="101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val="en-US" w:eastAsia="zh-CN"/>
              </w:rPr>
              <w:t>16:30</w:t>
            </w:r>
          </w:p>
        </w:tc>
        <w:tc>
          <w:tcPr>
            <w:tcW w:w="6344" w:type="dxa"/>
            <w:shd w:val="clear" w:color="auto" w:fill="D3EAFF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英国4月PMI数据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67" w:type="dxa"/>
            <w:vAlign w:val="top"/>
          </w:tcPr>
          <w:p>
            <w:pPr>
              <w:pStyle w:val="8"/>
              <w:spacing w:before="231" w:line="191" w:lineRule="auto"/>
              <w:ind w:left="449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23</w:t>
            </w:r>
          </w:p>
        </w:tc>
        <w:tc>
          <w:tcPr>
            <w:tcW w:w="1478" w:type="dxa"/>
            <w:vAlign w:val="top"/>
          </w:tcPr>
          <w:p>
            <w:pPr>
              <w:pStyle w:val="8"/>
              <w:spacing w:before="245" w:line="172" w:lineRule="auto"/>
              <w:ind w:left="101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val="en-US" w:eastAsia="zh-CN"/>
              </w:rPr>
              <w:t>21:54</w:t>
            </w:r>
          </w:p>
        </w:tc>
        <w:tc>
          <w:tcPr>
            <w:tcW w:w="6344" w:type="dxa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全球4月PMI数据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67" w:type="dxa"/>
            <w:shd w:val="clear" w:color="auto" w:fill="D3EAFF"/>
            <w:vAlign w:val="top"/>
          </w:tcPr>
          <w:p>
            <w:pPr>
              <w:pStyle w:val="8"/>
              <w:spacing w:before="232" w:line="191" w:lineRule="auto"/>
              <w:ind w:left="449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24</w:t>
            </w:r>
          </w:p>
        </w:tc>
        <w:tc>
          <w:tcPr>
            <w:tcW w:w="1478" w:type="dxa"/>
            <w:shd w:val="clear" w:color="auto" w:fill="D3EAFF"/>
            <w:vAlign w:val="top"/>
          </w:tcPr>
          <w:p>
            <w:pPr>
              <w:pStyle w:val="8"/>
              <w:spacing w:before="246" w:line="172" w:lineRule="auto"/>
              <w:ind w:left="101"/>
              <w:rPr>
                <w:sz w:val="19"/>
                <w:szCs w:val="19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val="en-US" w:eastAsia="zh-CN"/>
              </w:rPr>
              <w:t>14</w:t>
            </w:r>
            <w:r>
              <w:rPr>
                <w:b/>
                <w:bCs/>
                <w:spacing w:val="5"/>
                <w:sz w:val="19"/>
                <w:szCs w:val="19"/>
              </w:rPr>
              <w:t>: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val="en-US" w:eastAsia="zh-CN"/>
              </w:rPr>
              <w:t>0</w:t>
            </w:r>
            <w:r>
              <w:rPr>
                <w:b/>
                <w:bCs/>
                <w:spacing w:val="5"/>
                <w:sz w:val="19"/>
                <w:szCs w:val="19"/>
              </w:rPr>
              <w:t>0</w:t>
            </w:r>
          </w:p>
        </w:tc>
        <w:tc>
          <w:tcPr>
            <w:tcW w:w="6344" w:type="dxa"/>
            <w:shd w:val="clear" w:color="auto" w:fill="D3EAFF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澳大利亚一季度CPI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67" w:type="dxa"/>
            <w:vAlign w:val="top"/>
          </w:tcPr>
          <w:p>
            <w:pPr>
              <w:pStyle w:val="8"/>
              <w:spacing w:before="234" w:line="191" w:lineRule="auto"/>
              <w:ind w:left="449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24</w:t>
            </w:r>
          </w:p>
        </w:tc>
        <w:tc>
          <w:tcPr>
            <w:tcW w:w="1478" w:type="dxa"/>
            <w:vAlign w:val="top"/>
          </w:tcPr>
          <w:p>
            <w:pPr>
              <w:pStyle w:val="8"/>
              <w:spacing w:before="248" w:line="172" w:lineRule="auto"/>
              <w:ind w:left="92"/>
              <w:rPr>
                <w:rFonts w:hint="default"/>
                <w:sz w:val="19"/>
                <w:szCs w:val="19"/>
                <w:lang w:val="en-US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16:00</w:t>
            </w:r>
          </w:p>
        </w:tc>
        <w:tc>
          <w:tcPr>
            <w:tcW w:w="6344" w:type="dxa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德国4月IFO商业景气指数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67" w:type="dxa"/>
            <w:shd w:val="clear" w:color="auto" w:fill="D3EAFF"/>
            <w:vAlign w:val="top"/>
          </w:tcPr>
          <w:p>
            <w:pPr>
              <w:pStyle w:val="8"/>
              <w:spacing w:before="232" w:line="191" w:lineRule="auto"/>
              <w:ind w:left="449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24</w:t>
            </w:r>
          </w:p>
        </w:tc>
        <w:tc>
          <w:tcPr>
            <w:tcW w:w="1478" w:type="dxa"/>
            <w:shd w:val="clear" w:color="auto" w:fill="D3EAFF"/>
            <w:vAlign w:val="top"/>
          </w:tcPr>
          <w:p>
            <w:pPr>
              <w:pStyle w:val="8"/>
              <w:spacing w:before="246" w:line="172" w:lineRule="auto"/>
              <w:ind w:left="101"/>
              <w:rPr>
                <w:rFonts w:hint="default" w:eastAsia="微软雅黑"/>
                <w:b/>
                <w:bCs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val="en-US" w:eastAsia="zh-CN"/>
              </w:rPr>
              <w:t>20:30</w:t>
            </w:r>
          </w:p>
        </w:tc>
        <w:tc>
          <w:tcPr>
            <w:tcW w:w="6344" w:type="dxa"/>
            <w:shd w:val="clear" w:color="auto" w:fill="D3EAFF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加拿大2月零售销售数据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567" w:type="dxa"/>
            <w:vAlign w:val="top"/>
          </w:tcPr>
          <w:p>
            <w:pPr>
              <w:pStyle w:val="8"/>
              <w:spacing w:before="234" w:line="191" w:lineRule="auto"/>
              <w:ind w:left="449" w:leftChars="0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25</w:t>
            </w:r>
          </w:p>
        </w:tc>
        <w:tc>
          <w:tcPr>
            <w:tcW w:w="1478" w:type="dxa"/>
            <w:vAlign w:val="top"/>
          </w:tcPr>
          <w:p>
            <w:pPr>
              <w:pStyle w:val="8"/>
              <w:spacing w:before="248" w:line="172" w:lineRule="auto"/>
              <w:ind w:left="92" w:leftChars="0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20：30</w:t>
            </w:r>
          </w:p>
        </w:tc>
        <w:tc>
          <w:tcPr>
            <w:tcW w:w="6344" w:type="dxa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美国一季度GDP数据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67" w:type="dxa"/>
            <w:shd w:val="clear" w:color="auto" w:fill="D3EAFF"/>
            <w:vAlign w:val="top"/>
          </w:tcPr>
          <w:p>
            <w:pPr>
              <w:pStyle w:val="8"/>
              <w:spacing w:before="234" w:line="191" w:lineRule="auto"/>
              <w:ind w:left="449" w:leftChars="0"/>
              <w:rPr>
                <w:rFonts w:hint="default" w:eastAsia="微软雅黑"/>
                <w:sz w:val="19"/>
                <w:szCs w:val="19"/>
                <w:lang w:val="en-US"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26</w:t>
            </w:r>
          </w:p>
        </w:tc>
        <w:tc>
          <w:tcPr>
            <w:tcW w:w="1478" w:type="dxa"/>
            <w:shd w:val="clear" w:color="auto" w:fill="D3EAFF"/>
            <w:vAlign w:val="top"/>
          </w:tcPr>
          <w:p>
            <w:pPr>
              <w:pStyle w:val="8"/>
              <w:spacing w:before="248" w:line="172" w:lineRule="auto"/>
              <w:ind w:left="92" w:leftChars="0"/>
              <w:rPr>
                <w:rFonts w:hint="default"/>
                <w:sz w:val="19"/>
                <w:szCs w:val="19"/>
                <w:lang w:val="en-US"/>
              </w:rPr>
            </w:pPr>
            <w:r>
              <w:rPr>
                <w:rFonts w:hint="eastAsia"/>
                <w:b/>
                <w:bCs/>
                <w:spacing w:val="6"/>
                <w:sz w:val="19"/>
                <w:szCs w:val="19"/>
                <w:lang w:val="en-US" w:eastAsia="zh-CN"/>
              </w:rPr>
              <w:t>11:00</w:t>
            </w:r>
          </w:p>
        </w:tc>
        <w:tc>
          <w:tcPr>
            <w:tcW w:w="6344" w:type="dxa"/>
            <w:shd w:val="clear" w:color="auto" w:fill="D3EAFF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日本至央行目标利率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567" w:type="dxa"/>
            <w:shd w:val="clear" w:color="auto" w:fill="FFFFFF" w:themeFill="background1"/>
            <w:vAlign w:val="top"/>
          </w:tcPr>
          <w:p>
            <w:pPr>
              <w:pStyle w:val="8"/>
              <w:spacing w:before="235" w:line="191" w:lineRule="auto"/>
              <w:ind w:left="449" w:leftChars="0"/>
              <w:rPr>
                <w:rFonts w:hint="default" w:ascii="微软雅黑" w:hAnsi="微软雅黑" w:eastAsia="微软雅黑" w:cs="微软雅黑"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val="en-US" w:eastAsia="zh-CN"/>
              </w:rPr>
              <w:t>26</w:t>
            </w:r>
          </w:p>
        </w:tc>
        <w:tc>
          <w:tcPr>
            <w:tcW w:w="1478" w:type="dxa"/>
            <w:shd w:val="clear" w:color="auto" w:fill="FFFFFF" w:themeFill="background1"/>
            <w:vAlign w:val="top"/>
          </w:tcPr>
          <w:p>
            <w:pPr>
              <w:pStyle w:val="8"/>
              <w:spacing w:before="252" w:line="170" w:lineRule="auto"/>
              <w:ind w:left="101" w:leftChars="0"/>
              <w:rPr>
                <w:rFonts w:hint="default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</w:pPr>
            <w:r>
              <w:rPr>
                <w:rFonts w:hint="eastAsia" w:cs="微软雅黑"/>
                <w:b/>
                <w:bCs/>
                <w:snapToGrid w:val="0"/>
                <w:color w:val="000000"/>
                <w:kern w:val="0"/>
                <w:sz w:val="19"/>
                <w:szCs w:val="19"/>
                <w:lang w:val="en-US" w:eastAsia="zh-CN" w:bidi="ar-SA"/>
              </w:rPr>
              <w:t>20:30</w:t>
            </w:r>
          </w:p>
        </w:tc>
        <w:tc>
          <w:tcPr>
            <w:tcW w:w="6344" w:type="dxa"/>
            <w:shd w:val="clear" w:color="auto" w:fill="FFFFFF" w:themeFill="background1"/>
            <w:vAlign w:val="top"/>
          </w:tcPr>
          <w:p>
            <w:pPr>
              <w:pStyle w:val="8"/>
              <w:spacing w:before="221" w:line="180" w:lineRule="auto"/>
              <w:jc w:val="center"/>
              <w:rPr>
                <w:rFonts w:hint="default"/>
                <w:spacing w:val="25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pacing w:val="25"/>
                <w:sz w:val="19"/>
                <w:szCs w:val="19"/>
                <w:lang w:val="en-US" w:eastAsia="zh-CN"/>
              </w:rPr>
              <w:t>美国3月PCE数据</w:t>
            </w:r>
          </w:p>
        </w:tc>
      </w:tr>
    </w:tbl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</w:pPr>
    </w:p>
    <w:p>
      <w:pPr>
        <w:spacing w:before="172" w:line="417" w:lineRule="exac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E393F"/>
          <w:spacing w:val="8"/>
          <w:position w:val="2"/>
          <w:sz w:val="40"/>
          <w:szCs w:val="40"/>
        </w:rPr>
        <w:t>△</w:t>
      </w:r>
      <w:r>
        <w:rPr>
          <w:rFonts w:ascii="微软雅黑" w:hAnsi="微软雅黑" w:eastAsia="微软雅黑" w:cs="微软雅黑"/>
          <w:color w:val="CE393F"/>
          <w:spacing w:val="-38"/>
          <w:position w:val="2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spacing w:val="8"/>
          <w:position w:val="2"/>
          <w:sz w:val="20"/>
          <w:szCs w:val="20"/>
        </w:rPr>
        <w:t>免责声明</w:t>
      </w:r>
    </w:p>
    <w:p>
      <w:pPr>
        <w:spacing w:before="63" w:line="193" w:lineRule="auto"/>
        <w:ind w:left="340" w:right="706" w:firstLine="379"/>
        <w:jc w:val="both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898989"/>
          <w:spacing w:val="3"/>
          <w:sz w:val="18"/>
          <w:szCs w:val="18"/>
        </w:rPr>
        <w:t>此报告由瑞达国际所编制。本报告采用之资料及意见均相信可靠及准确</w:t>
      </w:r>
      <w:r>
        <w:rPr>
          <w:rFonts w:ascii="微软雅黑" w:hAnsi="微软雅黑" w:eastAsia="微软雅黑" w:cs="微软雅黑"/>
          <w:color w:val="898989"/>
          <w:spacing w:val="2"/>
          <w:sz w:val="18"/>
          <w:szCs w:val="18"/>
        </w:rPr>
        <w:t>，但本公司并不对各分析或有关资料之可</w:t>
      </w:r>
      <w:r>
        <w:rPr>
          <w:rFonts w:ascii="微软雅黑" w:hAnsi="微软雅黑" w:eastAsia="微软雅黑" w:cs="微软雅黑"/>
          <w:color w:val="89898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898989"/>
          <w:spacing w:val="3"/>
          <w:sz w:val="18"/>
          <w:szCs w:val="18"/>
        </w:rPr>
        <w:t>靠性及准确性作出全面性保证。本报告只供客户或读者作参考之用，客户或读者不应完全依靠本报告内容作为投</w:t>
      </w:r>
      <w:r>
        <w:rPr>
          <w:rFonts w:ascii="微软雅黑" w:hAnsi="微软雅黑" w:eastAsia="微软雅黑" w:cs="微软雅黑"/>
          <w:color w:val="898989"/>
          <w:spacing w:val="2"/>
          <w:sz w:val="18"/>
          <w:szCs w:val="18"/>
        </w:rPr>
        <w:t>资准</w:t>
      </w:r>
      <w:r>
        <w:rPr>
          <w:rFonts w:ascii="微软雅黑" w:hAnsi="微软雅黑" w:eastAsia="微软雅黑" w:cs="微软雅黑"/>
          <w:color w:val="89898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898989"/>
          <w:spacing w:val="-8"/>
          <w:sz w:val="18"/>
          <w:szCs w:val="18"/>
        </w:rPr>
        <w:t>则。</w:t>
      </w:r>
    </w:p>
    <w:p>
      <w:pPr>
        <w:spacing w:before="34" w:line="189" w:lineRule="auto"/>
        <w:ind w:left="337" w:right="707" w:firstLine="381"/>
        <w:jc w:val="both"/>
        <w:rPr>
          <w:rFonts w:ascii="微软雅黑" w:hAnsi="微软雅黑" w:eastAsia="微软雅黑" w:cs="微软雅黑"/>
          <w:sz w:val="18"/>
          <w:szCs w:val="18"/>
        </w:rPr>
        <w:sectPr>
          <w:pgSz w:w="11915" w:h="16837"/>
          <w:pgMar w:top="400" w:right="382" w:bottom="0" w:left="1153" w:header="340" w:footer="34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ascii="微软雅黑" w:hAnsi="微软雅黑" w:eastAsia="微软雅黑" w:cs="微软雅黑"/>
          <w:color w:val="898989"/>
          <w:spacing w:val="3"/>
          <w:sz w:val="18"/>
          <w:szCs w:val="18"/>
        </w:rPr>
        <w:t>本报告之资料及意见如有任何更改，恕不另行通知。本报告并非及并无意图</w:t>
      </w:r>
      <w:r>
        <w:rPr>
          <w:rFonts w:ascii="微软雅黑" w:hAnsi="微软雅黑" w:eastAsia="微软雅黑" w:cs="微软雅黑"/>
          <w:color w:val="898989"/>
          <w:spacing w:val="2"/>
          <w:sz w:val="18"/>
          <w:szCs w:val="18"/>
        </w:rPr>
        <w:t>构成任何作价或招揽进行买卖本报告</w:t>
      </w:r>
      <w:r>
        <w:rPr>
          <w:rFonts w:ascii="微软雅黑" w:hAnsi="微软雅黑" w:eastAsia="微软雅黑" w:cs="微软雅黑"/>
          <w:color w:val="89898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898989"/>
          <w:spacing w:val="2"/>
          <w:sz w:val="18"/>
          <w:szCs w:val="18"/>
        </w:rPr>
        <w:t>提及的商品。本公司不会对任何因依靠本报告作出任何买卖而引致之任</w:t>
      </w:r>
      <w:bookmarkStart w:id="0" w:name="_GoBack"/>
      <w:bookmarkEnd w:id="0"/>
      <w:r>
        <w:rPr>
          <w:rFonts w:ascii="微软雅黑" w:hAnsi="微软雅黑" w:eastAsia="微软雅黑" w:cs="微软雅黑"/>
          <w:color w:val="898989"/>
          <w:spacing w:val="2"/>
          <w:sz w:val="18"/>
          <w:szCs w:val="18"/>
        </w:rPr>
        <w:t>何损失承担任</w:t>
      </w:r>
      <w:r>
        <w:rPr>
          <w:rFonts w:ascii="微软雅黑" w:hAnsi="微软雅黑" w:eastAsia="微软雅黑" w:cs="微软雅黑"/>
          <w:color w:val="898989"/>
          <w:spacing w:val="1"/>
          <w:sz w:val="18"/>
          <w:szCs w:val="18"/>
        </w:rPr>
        <w:t>何责任。</w:t>
      </w:r>
    </w:p>
    <w:p>
      <w:pPr>
        <w:spacing w:before="34" w:line="569" w:lineRule="exact"/>
      </w:pPr>
    </w:p>
    <w:p>
      <w:pPr>
        <w:spacing w:line="3052" w:lineRule="exact"/>
        <w:jc w:val="center"/>
      </w:pPr>
      <w:r>
        <w:rPr>
          <w:position w:val="-61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1" w:lineRule="auto"/>
        <w:jc w:val="center"/>
      </w:pPr>
    </w:p>
    <w:p>
      <w:pPr>
        <w:spacing w:before="103" w:line="191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7"/>
          <w:sz w:val="24"/>
          <w:szCs w:val="24"/>
        </w:rPr>
        <w:t>24小时客服电话： 00852</w:t>
      </w:r>
      <w:r>
        <w:rPr>
          <w:rFonts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7"/>
          <w:sz w:val="24"/>
          <w:szCs w:val="24"/>
        </w:rPr>
        <w:t>-</w:t>
      </w:r>
      <w:r>
        <w:rPr>
          <w:rFonts w:ascii="微软雅黑" w:hAnsi="微软雅黑" w:eastAsia="微软雅黑" w:cs="微软雅黑"/>
          <w:spacing w:val="-3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7"/>
          <w:sz w:val="24"/>
          <w:szCs w:val="24"/>
        </w:rPr>
        <w:t>25342000/86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7"/>
          <w:sz w:val="24"/>
          <w:szCs w:val="24"/>
        </w:rPr>
        <w:t>-</w:t>
      </w:r>
      <w:r>
        <w:rPr>
          <w:rFonts w:ascii="微软雅黑" w:hAnsi="微软雅黑" w:eastAsia="微软雅黑" w:cs="微软雅黑"/>
          <w:spacing w:val="-2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7"/>
          <w:sz w:val="24"/>
          <w:szCs w:val="24"/>
        </w:rPr>
        <w:t>13603059885</w:t>
      </w:r>
    </w:p>
    <w:p>
      <w:pPr>
        <w:spacing w:before="233" w:line="175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5"/>
          <w:sz w:val="24"/>
          <w:szCs w:val="24"/>
        </w:rPr>
        <w:t>24小时传真电话： 00852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4"/>
          <w:szCs w:val="24"/>
        </w:rPr>
        <w:t>-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4"/>
          <w:szCs w:val="24"/>
        </w:rPr>
        <w:t>25632368</w:t>
      </w:r>
    </w:p>
    <w:p>
      <w:pPr>
        <w:spacing w:before="258" w:line="19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hAnsi="微软雅黑" w:eastAsia="微软雅黑" w:cs="微软雅黑"/>
          <w:sz w:val="24"/>
          <w:szCs w:val="24"/>
        </w:rPr>
        <w:t>cs</w:t>
      </w:r>
      <w:r>
        <w:rPr>
          <w:rFonts w:ascii="微软雅黑" w:hAnsi="微软雅黑" w:eastAsia="微软雅黑" w:cs="微软雅黑"/>
          <w:spacing w:val="13"/>
          <w:sz w:val="24"/>
          <w:szCs w:val="24"/>
        </w:rPr>
        <w:t>@</w:t>
      </w:r>
      <w:r>
        <w:rPr>
          <w:rFonts w:ascii="微软雅黑" w:hAnsi="微软雅黑" w:eastAsia="微软雅黑" w:cs="微软雅黑"/>
          <w:sz w:val="24"/>
          <w:szCs w:val="24"/>
        </w:rPr>
        <w:t>ruida</w:t>
      </w:r>
      <w:r>
        <w:rPr>
          <w:rFonts w:ascii="微软雅黑" w:hAnsi="微软雅黑" w:eastAsia="微软雅黑" w:cs="微软雅黑"/>
          <w:spacing w:val="13"/>
          <w:sz w:val="24"/>
          <w:szCs w:val="24"/>
        </w:rPr>
        <w:t>-</w:t>
      </w:r>
      <w:r>
        <w:rPr>
          <w:rFonts w:ascii="微软雅黑" w:hAnsi="微软雅黑" w:eastAsia="微软雅黑" w:cs="微软雅黑"/>
          <w:spacing w:val="-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>int</w:t>
      </w:r>
      <w:r>
        <w:rPr>
          <w:rFonts w:ascii="微软雅黑" w:hAnsi="微软雅黑" w:eastAsia="微软雅黑" w:cs="微软雅黑"/>
          <w:spacing w:val="-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3"/>
          <w:sz w:val="24"/>
          <w:szCs w:val="24"/>
        </w:rPr>
        <w:t>.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>com</w:t>
      </w:r>
    </w:p>
    <w:p>
      <w:pPr>
        <w:spacing w:before="234" w:line="192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8"/>
          <w:sz w:val="24"/>
          <w:szCs w:val="24"/>
        </w:rPr>
        <w:t>客服</w:t>
      </w:r>
      <w:r>
        <w:rPr>
          <w:rFonts w:ascii="微软雅黑" w:hAnsi="微软雅黑" w:eastAsia="微软雅黑" w:cs="微软雅黑"/>
          <w:sz w:val="24"/>
          <w:szCs w:val="24"/>
        </w:rPr>
        <w:t>QQ</w:t>
      </w:r>
      <w:r>
        <w:rPr>
          <w:rFonts w:ascii="微软雅黑" w:hAnsi="微软雅黑" w:eastAsia="微软雅黑" w:cs="微软雅黑"/>
          <w:spacing w:val="8"/>
          <w:sz w:val="24"/>
          <w:szCs w:val="24"/>
        </w:rPr>
        <w:t>： 203195058/29384</w:t>
      </w:r>
      <w:r>
        <w:rPr>
          <w:rFonts w:ascii="微软雅黑" w:hAnsi="微软雅黑" w:eastAsia="微软雅黑" w:cs="微软雅黑"/>
          <w:spacing w:val="7"/>
          <w:sz w:val="24"/>
          <w:szCs w:val="24"/>
        </w:rPr>
        <w:t>72186</w:t>
      </w:r>
    </w:p>
    <w:p>
      <w:pPr>
        <w:spacing w:before="234" w:line="176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21"/>
          <w:sz w:val="24"/>
          <w:szCs w:val="24"/>
        </w:rPr>
        <w:t>网址：</w:t>
      </w:r>
      <w:r>
        <w:rPr>
          <w:rFonts w:ascii="微软雅黑" w:hAnsi="微软雅黑" w:eastAsia="微软雅黑" w:cs="微软雅黑"/>
          <w:sz w:val="24"/>
          <w:szCs w:val="24"/>
        </w:rPr>
        <w:t>www</w:t>
      </w:r>
      <w:r>
        <w:rPr>
          <w:rFonts w:ascii="微软雅黑" w:hAnsi="微软雅黑" w:eastAsia="微软雅黑" w:cs="微软雅黑"/>
          <w:spacing w:val="21"/>
          <w:sz w:val="24"/>
          <w:szCs w:val="24"/>
        </w:rPr>
        <w:t>.</w:t>
      </w:r>
      <w:r>
        <w:rPr>
          <w:rFonts w:ascii="微软雅黑" w:hAnsi="微软雅黑" w:eastAsia="微软雅黑" w:cs="微软雅黑"/>
          <w:spacing w:val="-2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>ruida</w:t>
      </w:r>
      <w:r>
        <w:rPr>
          <w:rFonts w:ascii="微软雅黑" w:hAnsi="微软雅黑" w:eastAsia="微软雅黑" w:cs="微软雅黑"/>
          <w:spacing w:val="21"/>
          <w:sz w:val="24"/>
          <w:szCs w:val="24"/>
        </w:rPr>
        <w:t>-</w:t>
      </w:r>
      <w:r>
        <w:rPr>
          <w:rFonts w:ascii="微软雅黑" w:hAnsi="微软雅黑" w:eastAsia="微软雅黑" w:cs="微软雅黑"/>
          <w:spacing w:val="-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>int</w:t>
      </w:r>
      <w:r>
        <w:rPr>
          <w:rFonts w:ascii="微软雅黑" w:hAnsi="微软雅黑" w:eastAsia="微软雅黑" w:cs="微软雅黑"/>
          <w:spacing w:val="-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21"/>
          <w:sz w:val="24"/>
          <w:szCs w:val="24"/>
        </w:rPr>
        <w:t>.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>com</w:t>
      </w:r>
    </w:p>
    <w:p>
      <w:pPr>
        <w:spacing w:before="253" w:line="177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16"/>
          <w:sz w:val="24"/>
          <w:szCs w:val="24"/>
        </w:rPr>
        <w:t>地址:</w:t>
      </w:r>
      <w:r>
        <w:rPr>
          <w:rFonts w:ascii="微软雅黑" w:hAnsi="微软雅黑" w:eastAsia="微软雅黑" w:cs="微软雅黑"/>
          <w:spacing w:val="45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6"/>
          <w:sz w:val="24"/>
          <w:szCs w:val="24"/>
        </w:rPr>
        <w:t>香港湾仔菲林明道8号大同大厦17楼05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6"/>
          <w:sz w:val="24"/>
          <w:szCs w:val="24"/>
        </w:rPr>
        <w:t>-</w:t>
      </w:r>
      <w:r>
        <w:rPr>
          <w:rFonts w:ascii="微软雅黑" w:hAnsi="微软雅黑" w:eastAsia="微软雅黑" w:cs="微软雅黑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6"/>
          <w:sz w:val="24"/>
          <w:szCs w:val="24"/>
        </w:rPr>
        <w:t>06室</w:t>
      </w:r>
    </w:p>
    <w:p/>
    <w:p/>
    <w:sectPr>
      <w:pgSz w:w="11923" w:h="16837"/>
      <w:pgMar w:top="400" w:right="556" w:bottom="0" w:left="1015" w:header="340" w:footer="34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double" w:color="0766D4" w:sz="8" w:space="0"/>
      </w:pBdr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none" w:color="auto" w:sz="0" w:space="1"/>
        <w:left w:val="none" w:color="auto" w:sz="0" w:space="4"/>
        <w:bottom w:val="thinThickSmallGap" w:color="3669AB" w:sz="24" w:space="0"/>
        <w:right w:val="none" w:color="auto" w:sz="0" w:space="4"/>
        <w:between w:val="none" w:color="auto" w:sz="0" w:space="0"/>
      </w:pBdr>
      <w:kinsoku w:val="0"/>
      <w:autoSpaceDE w:val="0"/>
      <w:autoSpaceDN w:val="0"/>
      <w:adjustRightInd w:val="0"/>
      <w:snapToGrid w:val="0"/>
      <w:spacing w:line="240" w:lineRule="auto"/>
      <w:ind w:right="420" w:rightChars="200"/>
      <w:jc w:val="right"/>
      <w:textAlignment w:val="baseline"/>
      <w:rPr>
        <w:rFonts w:hint="eastAsia" w:eastAsia="宋体"/>
        <w:sz w:val="2"/>
        <w:lang w:eastAsia="zh-CN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" name="图片 3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2"/>
      <w:pBdr>
        <w:bottom w:val="single" w:color="3669AB" w:sz="4" w:space="0"/>
      </w:pBdr>
      <w:spacing w:line="240" w:lineRule="auto"/>
      <w:ind w:right="420" w:rightChars="200"/>
      <w:jc w:val="right"/>
      <w:rPr>
        <w:rFonts w:hint="eastAsia" w:eastAsia="宋体"/>
        <w:color w:val="FFFFFF" w:themeColor="background1"/>
        <w:sz w:val="2"/>
        <w:lang w:eastAsia="zh-CN"/>
        <w14:textFill>
          <w14:solidFill>
            <w14:schemeClr w14:val="bg1"/>
          </w14:solidFill>
        </w14:textFill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wZTQ2YTkyMzU3YjI3Y2QwOGNkYzVjNGE5OTQxYWMifQ=="/>
  </w:docVars>
  <w:rsids>
    <w:rsidRoot w:val="19E86119"/>
    <w:rsid w:val="014E455E"/>
    <w:rsid w:val="01D34AC7"/>
    <w:rsid w:val="03237D85"/>
    <w:rsid w:val="03AA5DB1"/>
    <w:rsid w:val="04540896"/>
    <w:rsid w:val="04812FB5"/>
    <w:rsid w:val="054B35C3"/>
    <w:rsid w:val="056401E1"/>
    <w:rsid w:val="05761F9D"/>
    <w:rsid w:val="05DB66F5"/>
    <w:rsid w:val="068D4577"/>
    <w:rsid w:val="068E5516"/>
    <w:rsid w:val="06EB560A"/>
    <w:rsid w:val="071F2612"/>
    <w:rsid w:val="074B1659"/>
    <w:rsid w:val="09A82D92"/>
    <w:rsid w:val="0A8A2498"/>
    <w:rsid w:val="0B2C15EF"/>
    <w:rsid w:val="0BCA5D9B"/>
    <w:rsid w:val="0BD7170D"/>
    <w:rsid w:val="0C2E40B0"/>
    <w:rsid w:val="0CD93263"/>
    <w:rsid w:val="0CDD0FA5"/>
    <w:rsid w:val="0E5232CD"/>
    <w:rsid w:val="101F18D4"/>
    <w:rsid w:val="104430E9"/>
    <w:rsid w:val="10C123D9"/>
    <w:rsid w:val="12E50BB3"/>
    <w:rsid w:val="134C478E"/>
    <w:rsid w:val="13506BAF"/>
    <w:rsid w:val="14060DE1"/>
    <w:rsid w:val="150A2B53"/>
    <w:rsid w:val="15D53161"/>
    <w:rsid w:val="16243D50"/>
    <w:rsid w:val="183710AD"/>
    <w:rsid w:val="189B3AC2"/>
    <w:rsid w:val="19193365"/>
    <w:rsid w:val="198F7ACB"/>
    <w:rsid w:val="19E86119"/>
    <w:rsid w:val="1A071979"/>
    <w:rsid w:val="1AF776D6"/>
    <w:rsid w:val="1B8A054A"/>
    <w:rsid w:val="1BA3785E"/>
    <w:rsid w:val="1C525A3A"/>
    <w:rsid w:val="1E581DD0"/>
    <w:rsid w:val="1E931DB8"/>
    <w:rsid w:val="1E934127"/>
    <w:rsid w:val="1FAB6CE1"/>
    <w:rsid w:val="21D249F9"/>
    <w:rsid w:val="22D36C7A"/>
    <w:rsid w:val="22FB3ADB"/>
    <w:rsid w:val="232F685D"/>
    <w:rsid w:val="23395957"/>
    <w:rsid w:val="233B65CE"/>
    <w:rsid w:val="23B51EDC"/>
    <w:rsid w:val="23F724F4"/>
    <w:rsid w:val="24207C9D"/>
    <w:rsid w:val="248B2649"/>
    <w:rsid w:val="2498264B"/>
    <w:rsid w:val="24D9609E"/>
    <w:rsid w:val="250C1FD0"/>
    <w:rsid w:val="25115838"/>
    <w:rsid w:val="25270BB7"/>
    <w:rsid w:val="25F747AF"/>
    <w:rsid w:val="26413EFB"/>
    <w:rsid w:val="26F471BF"/>
    <w:rsid w:val="274F030F"/>
    <w:rsid w:val="27736336"/>
    <w:rsid w:val="28026FB4"/>
    <w:rsid w:val="284101E2"/>
    <w:rsid w:val="288264C6"/>
    <w:rsid w:val="2A5C7555"/>
    <w:rsid w:val="2A697EC4"/>
    <w:rsid w:val="2B25203D"/>
    <w:rsid w:val="2C2045B2"/>
    <w:rsid w:val="2CC80A91"/>
    <w:rsid w:val="2CC94C4A"/>
    <w:rsid w:val="2D0B0DBF"/>
    <w:rsid w:val="2D8017AD"/>
    <w:rsid w:val="2DF9330D"/>
    <w:rsid w:val="2EC456C9"/>
    <w:rsid w:val="302B515F"/>
    <w:rsid w:val="30703A47"/>
    <w:rsid w:val="30BA6D84"/>
    <w:rsid w:val="310D20A5"/>
    <w:rsid w:val="320B4F05"/>
    <w:rsid w:val="32317519"/>
    <w:rsid w:val="324803BF"/>
    <w:rsid w:val="32E8157B"/>
    <w:rsid w:val="32F81DE5"/>
    <w:rsid w:val="335A2AA0"/>
    <w:rsid w:val="342F27ED"/>
    <w:rsid w:val="3485313E"/>
    <w:rsid w:val="349A5478"/>
    <w:rsid w:val="34EC3C2E"/>
    <w:rsid w:val="36513CE6"/>
    <w:rsid w:val="394A2C6F"/>
    <w:rsid w:val="3A4818A4"/>
    <w:rsid w:val="3AE47F1E"/>
    <w:rsid w:val="3AF37A62"/>
    <w:rsid w:val="3C0C409C"/>
    <w:rsid w:val="3C6B3628"/>
    <w:rsid w:val="3C964B49"/>
    <w:rsid w:val="3EB35031"/>
    <w:rsid w:val="3EDC080D"/>
    <w:rsid w:val="409C46F8"/>
    <w:rsid w:val="40EA5463"/>
    <w:rsid w:val="415C79E3"/>
    <w:rsid w:val="41BE4CC7"/>
    <w:rsid w:val="42051E29"/>
    <w:rsid w:val="42240501"/>
    <w:rsid w:val="43476B9D"/>
    <w:rsid w:val="43CB67C0"/>
    <w:rsid w:val="43E4263E"/>
    <w:rsid w:val="43F3462F"/>
    <w:rsid w:val="44A8366B"/>
    <w:rsid w:val="44AF0444"/>
    <w:rsid w:val="45F23AC6"/>
    <w:rsid w:val="46205483"/>
    <w:rsid w:val="47E21FD2"/>
    <w:rsid w:val="4928096E"/>
    <w:rsid w:val="4A565917"/>
    <w:rsid w:val="4A5751EC"/>
    <w:rsid w:val="4C0D0258"/>
    <w:rsid w:val="4DCF5AD7"/>
    <w:rsid w:val="50616DC4"/>
    <w:rsid w:val="507C1E50"/>
    <w:rsid w:val="508F1B83"/>
    <w:rsid w:val="50B415EA"/>
    <w:rsid w:val="521C2FA3"/>
    <w:rsid w:val="523D6FB3"/>
    <w:rsid w:val="54501629"/>
    <w:rsid w:val="549A0AF6"/>
    <w:rsid w:val="54C16083"/>
    <w:rsid w:val="556F788D"/>
    <w:rsid w:val="55E464CD"/>
    <w:rsid w:val="55E55DA1"/>
    <w:rsid w:val="561A2735"/>
    <w:rsid w:val="56B714EC"/>
    <w:rsid w:val="579932E7"/>
    <w:rsid w:val="58CE429C"/>
    <w:rsid w:val="5A1D0200"/>
    <w:rsid w:val="5A2F0DB8"/>
    <w:rsid w:val="5B24111A"/>
    <w:rsid w:val="5B5F167B"/>
    <w:rsid w:val="5C653798"/>
    <w:rsid w:val="5DC22821"/>
    <w:rsid w:val="5EE07779"/>
    <w:rsid w:val="5F021772"/>
    <w:rsid w:val="5F334021"/>
    <w:rsid w:val="5F920D48"/>
    <w:rsid w:val="5FFC403D"/>
    <w:rsid w:val="61882D10"/>
    <w:rsid w:val="619958DF"/>
    <w:rsid w:val="61C40F61"/>
    <w:rsid w:val="63C65464"/>
    <w:rsid w:val="641A130C"/>
    <w:rsid w:val="65D379C4"/>
    <w:rsid w:val="66815672"/>
    <w:rsid w:val="66902CF8"/>
    <w:rsid w:val="66CA7EB9"/>
    <w:rsid w:val="68227FB0"/>
    <w:rsid w:val="689B4294"/>
    <w:rsid w:val="690600B1"/>
    <w:rsid w:val="69AB3E1D"/>
    <w:rsid w:val="6A884BFC"/>
    <w:rsid w:val="6ABD22B6"/>
    <w:rsid w:val="6B673089"/>
    <w:rsid w:val="6C2B67AC"/>
    <w:rsid w:val="6E7C12C8"/>
    <w:rsid w:val="6EC922AC"/>
    <w:rsid w:val="70460245"/>
    <w:rsid w:val="70A02B99"/>
    <w:rsid w:val="730E028E"/>
    <w:rsid w:val="7333597E"/>
    <w:rsid w:val="73D2750D"/>
    <w:rsid w:val="74510D7A"/>
    <w:rsid w:val="74EF0832"/>
    <w:rsid w:val="79222CE5"/>
    <w:rsid w:val="7A1940E8"/>
    <w:rsid w:val="7B86755B"/>
    <w:rsid w:val="7BAE260E"/>
    <w:rsid w:val="7D65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17"/>
      <w:szCs w:val="17"/>
      <w:lang w:val="en-US" w:eastAsia="en-US" w:bidi="ar-SA"/>
    </w:rPr>
  </w:style>
  <w:style w:type="table" w:customStyle="1" w:styleId="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oleObject" Target="file:///D:\SUGA&#24037;&#20316;\SUGA&#24037;&#20316;\2&#38108;\&#21697;&#31181;--&#25968;&#25454;&#24211;\&#25968;&#25454;&#24211;\4&#20135;&#19994;.xlsx!&#20132;&#26131;&#25152;&#24211;&#23384;!%5b4&#20135;&#19994;.xlsx%5d&#20132;&#26131;&#25152;&#24211;&#23384;%20&#22270;&#34920;%201" TargetMode="External"/><Relationship Id="rId15" Type="http://schemas.openxmlformats.org/officeDocument/2006/relationships/image" Target="media/image9.emf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2024-04-15T00:04:00Z</dcterms:created>
  <dc:creator>WPS_1180513195</dc:creator>
  <cp:lastModifiedBy>TimmyW</cp:lastModifiedBy>
  <dcterms:modified xsi:type="dcterms:W3CDTF">2024-04-22T01:59:06Z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988B5217703C4950B103A29445F4D55C_13</vt:lpwstr>
  </property>
</Properties>
</file>