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g4TsGrIBAABe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ascii="微软雅黑" w:hAnsi="微软雅黑" w:eastAsia="微软雅黑" w:cs="微软雅黑"/>
          <w:b/>
          <w:bCs/>
          <w:color w:val="FFFFFF"/>
          <w:spacing w:val="6"/>
          <w:sz w:val="96"/>
          <w:szCs w:val="96"/>
        </w:rPr>
        <w:t>周度市场报告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29</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pStyle w:val="2"/>
        <w:spacing w:line="253" w:lineRule="auto"/>
      </w:pPr>
      <w:r>
        <w:rPr>
          <w:sz w:val="21"/>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791210" y="1501775"/>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pPr>
                              <w:spacing w:line="240" w:lineRule="auto"/>
                              <w:jc w:val="center"/>
                              <w:rPr>
                                <w:rFonts w:hint="default"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14.15pt;margin-top:10.1pt;height:38.45pt;width:132.85pt;z-index:251661312;v-text-anchor:middle;mso-width-relative:page;mso-height-relative:page;" fillcolor="#4F80BD" filled="t" stroked="f" coordsize="21600,21600" o:gfxdata="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tGQz1wAAAAgBAAAP&#10;AAAAAAAAAAEAIAAAACIAAABkcnMvZG93bnJldi54bWxQSwECFAAUAAAACACHTuJA9wkLTlICAAB9&#10;BAAADgAAAAAAAAABACAAAAAmAQAAZHJzL2Uyb0RvYy54bWxQSwUGAAAAAAYABgBZAQAA6gUAAAAA&#10;" adj="18475">
                <v:fill on="t" focussize="0,0"/>
                <v:stroke on="f"/>
                <v:imagedata o:title=""/>
                <o:lock v:ext="edit" aspectratio="f"/>
                <v:textbox>
                  <w:txbxContent>
                    <w:p>
                      <w:pPr>
                        <w:spacing w:line="240" w:lineRule="auto"/>
                        <w:jc w:val="center"/>
                        <w:rPr>
                          <w:rFonts w:hint="default"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t>市场综述</w:t>
                      </w:r>
                    </w:p>
                  </w:txbxContent>
                </v:textbox>
              </v:shape>
            </w:pict>
          </mc:Fallback>
        </mc:AlternateContent>
      </w:r>
    </w:p>
    <w:p>
      <w:pPr>
        <w:pStyle w:val="2"/>
        <w:spacing w:line="253" w:lineRule="auto"/>
      </w:pPr>
    </w:p>
    <w:p>
      <w:pPr>
        <w:spacing w:before="103" w:line="256" w:lineRule="auto"/>
        <w:ind w:right="584"/>
        <w:jc w:val="both"/>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t xml:space="preserve"> </w:t>
      </w:r>
    </w:p>
    <w:p>
      <w:pPr>
        <w:spacing w:before="103" w:line="256" w:lineRule="auto"/>
        <w:ind w:left="287" w:right="584" w:firstLine="620"/>
        <w:jc w:val="both"/>
        <w:rPr>
          <w:rFonts w:hint="eastAsia" w:ascii="微软雅黑" w:hAnsi="微软雅黑" w:eastAsia="微软雅黑" w:cs="微软雅黑"/>
          <w:spacing w:val="3"/>
          <w:sz w:val="24"/>
          <w:szCs w:val="24"/>
          <w:lang w:eastAsia="zh-CN"/>
        </w:rPr>
      </w:pPr>
      <w:r>
        <w:rPr>
          <w:rFonts w:hint="eastAsia" w:ascii="微软雅黑" w:hAnsi="微软雅黑" w:eastAsia="微软雅黑" w:cs="微软雅黑"/>
          <w:spacing w:val="4"/>
          <w:sz w:val="24"/>
          <w:szCs w:val="24"/>
          <w:lang w:val="en-US" w:eastAsia="zh-CN"/>
        </w:rPr>
        <w:t>上周富时中国A50指数周涨2.01%至12455.36点</w:t>
      </w:r>
      <w:r>
        <w:rPr>
          <w:rFonts w:ascii="微软雅黑" w:hAnsi="微软雅黑" w:eastAsia="微软雅黑" w:cs="微软雅黑"/>
          <w:spacing w:val="4"/>
          <w:sz w:val="24"/>
          <w:szCs w:val="24"/>
        </w:rPr>
        <w:t>，标准普尔500指数</w:t>
      </w:r>
      <w:r>
        <w:rPr>
          <w:rFonts w:hint="eastAsia" w:ascii="微软雅黑" w:hAnsi="微软雅黑" w:eastAsia="微软雅黑" w:cs="微软雅黑"/>
          <w:spacing w:val="4"/>
          <w:sz w:val="24"/>
          <w:szCs w:val="24"/>
          <w:lang w:val="en-US" w:eastAsia="zh-CN"/>
        </w:rPr>
        <w:t>周度涨幅2.67%</w:t>
      </w:r>
      <w:r>
        <w:rPr>
          <w:rFonts w:hint="eastAsia" w:ascii="微软雅黑" w:hAnsi="微软雅黑" w:eastAsia="微软雅黑" w:cs="微软雅黑"/>
          <w:spacing w:val="5"/>
          <w:sz w:val="24"/>
          <w:szCs w:val="24"/>
          <w:lang w:val="en-US" w:eastAsia="zh-CN"/>
        </w:rPr>
        <w:t>。</w:t>
      </w:r>
      <w:r>
        <w:rPr>
          <w:rFonts w:ascii="微软雅黑" w:hAnsi="微软雅黑" w:eastAsia="微软雅黑" w:cs="微软雅黑"/>
          <w:spacing w:val="5"/>
          <w:sz w:val="24"/>
          <w:szCs w:val="24"/>
        </w:rPr>
        <w:t>美元兑离岸人民币</w:t>
      </w:r>
      <w:r>
        <w:rPr>
          <w:rFonts w:hint="eastAsia" w:ascii="微软雅黑" w:hAnsi="微软雅黑" w:eastAsia="微软雅黑" w:cs="微软雅黑"/>
          <w:spacing w:val="5"/>
          <w:sz w:val="24"/>
          <w:szCs w:val="24"/>
          <w:lang w:val="en-US" w:eastAsia="zh-CN"/>
        </w:rPr>
        <w:t>涨约0.25</w:t>
      </w:r>
      <w:r>
        <w:rPr>
          <w:rFonts w:ascii="微软雅黑" w:hAnsi="微软雅黑" w:eastAsia="微软雅黑" w:cs="微软雅黑"/>
          <w:spacing w:val="5"/>
          <w:sz w:val="24"/>
          <w:szCs w:val="24"/>
        </w:rPr>
        <w:t>%报</w:t>
      </w:r>
      <w:r>
        <w:rPr>
          <w:rFonts w:hint="eastAsia" w:ascii="微软雅黑" w:hAnsi="微软雅黑" w:eastAsia="微软雅黑" w:cs="微软雅黑"/>
          <w:spacing w:val="5"/>
          <w:sz w:val="24"/>
          <w:szCs w:val="24"/>
          <w:lang w:val="en-US" w:eastAsia="zh-CN"/>
        </w:rPr>
        <w:t>7.26</w:t>
      </w:r>
      <w:r>
        <w:rPr>
          <w:rFonts w:ascii="微软雅黑" w:hAnsi="微软雅黑" w:eastAsia="微软雅黑" w:cs="微软雅黑"/>
          <w:spacing w:val="4"/>
          <w:sz w:val="24"/>
          <w:szCs w:val="24"/>
        </w:rPr>
        <w:t>人民币/美元，</w:t>
      </w:r>
      <w:r>
        <w:rPr>
          <w:rFonts w:ascii="微软雅黑" w:hAnsi="微软雅黑" w:eastAsia="微软雅黑" w:cs="微软雅黑"/>
          <w:sz w:val="24"/>
          <w:szCs w:val="24"/>
        </w:rPr>
        <w:t>LME</w:t>
      </w:r>
      <w:r>
        <w:rPr>
          <w:rFonts w:ascii="微软雅黑" w:hAnsi="微软雅黑" w:eastAsia="微软雅黑" w:cs="微软雅黑"/>
          <w:spacing w:val="4"/>
          <w:sz w:val="24"/>
          <w:szCs w:val="24"/>
        </w:rPr>
        <w:t>期铜</w:t>
      </w:r>
      <w:r>
        <w:rPr>
          <w:rFonts w:hint="eastAsia" w:ascii="微软雅黑" w:hAnsi="微软雅黑" w:eastAsia="微软雅黑" w:cs="微软雅黑"/>
          <w:spacing w:val="4"/>
          <w:sz w:val="24"/>
          <w:szCs w:val="24"/>
          <w:lang w:val="en-US" w:eastAsia="zh-CN"/>
        </w:rPr>
        <w:t>周度涨幅为1.6%</w:t>
      </w:r>
      <w:r>
        <w:rPr>
          <w:rFonts w:ascii="微软雅黑" w:hAnsi="微软雅黑" w:eastAsia="微软雅黑" w:cs="微软雅黑"/>
          <w:spacing w:val="2"/>
          <w:sz w:val="24"/>
          <w:szCs w:val="24"/>
        </w:rPr>
        <w:t>，</w:t>
      </w:r>
      <w:r>
        <w:rPr>
          <w:rFonts w:ascii="微软雅黑" w:hAnsi="微软雅黑" w:eastAsia="微软雅黑" w:cs="微软雅黑"/>
          <w:sz w:val="24"/>
          <w:szCs w:val="24"/>
        </w:rPr>
        <w:t>COMEX</w:t>
      </w:r>
      <w:r>
        <w:rPr>
          <w:rFonts w:ascii="微软雅黑" w:hAnsi="微软雅黑" w:eastAsia="微软雅黑" w:cs="微软雅黑"/>
          <w:spacing w:val="2"/>
          <w:sz w:val="24"/>
          <w:szCs w:val="24"/>
        </w:rPr>
        <w:t>黄金</w:t>
      </w:r>
      <w:r>
        <w:rPr>
          <w:rFonts w:hint="eastAsia" w:ascii="微软雅黑" w:hAnsi="微软雅黑" w:eastAsia="微软雅黑" w:cs="微软雅黑"/>
          <w:spacing w:val="12"/>
          <w:sz w:val="24"/>
          <w:szCs w:val="24"/>
          <w:lang w:val="en-US" w:eastAsia="zh-CN"/>
        </w:rPr>
        <w:t>周度跌幅为</w:t>
      </w:r>
      <w:r>
        <w:rPr>
          <w:rFonts w:hint="eastAsia" w:ascii="微软雅黑" w:hAnsi="微软雅黑" w:eastAsia="微软雅黑" w:cs="微软雅黑"/>
          <w:spacing w:val="2"/>
          <w:sz w:val="24"/>
          <w:szCs w:val="24"/>
          <w:lang w:val="en-US" w:eastAsia="zh-CN"/>
        </w:rPr>
        <w:t>2.79%</w:t>
      </w:r>
      <w:r>
        <w:rPr>
          <w:rFonts w:ascii="微软雅黑" w:hAnsi="微软雅黑" w:eastAsia="微软雅黑" w:cs="微软雅黑"/>
          <w:spacing w:val="2"/>
          <w:sz w:val="24"/>
          <w:szCs w:val="24"/>
        </w:rPr>
        <w:t>，</w:t>
      </w:r>
      <w:r>
        <w:rPr>
          <w:rFonts w:ascii="微软雅黑" w:hAnsi="微软雅黑" w:eastAsia="微软雅黑" w:cs="微软雅黑"/>
          <w:sz w:val="24"/>
          <w:szCs w:val="24"/>
        </w:rPr>
        <w:t>COMEX</w:t>
      </w:r>
      <w:r>
        <w:rPr>
          <w:rFonts w:ascii="微软雅黑" w:hAnsi="微软雅黑" w:eastAsia="微软雅黑" w:cs="微软雅黑"/>
          <w:spacing w:val="2"/>
          <w:sz w:val="24"/>
          <w:szCs w:val="24"/>
        </w:rPr>
        <w:t>白银</w:t>
      </w:r>
      <w:r>
        <w:rPr>
          <w:rFonts w:hint="eastAsia" w:ascii="微软雅黑" w:hAnsi="微软雅黑" w:eastAsia="微软雅黑" w:cs="微软雅黑"/>
          <w:spacing w:val="12"/>
          <w:sz w:val="24"/>
          <w:szCs w:val="24"/>
          <w:lang w:val="en-US" w:eastAsia="zh-CN"/>
        </w:rPr>
        <w:t>周度跌幅为</w:t>
      </w:r>
      <w:r>
        <w:rPr>
          <w:rFonts w:hint="eastAsia" w:ascii="微软雅黑" w:hAnsi="微软雅黑" w:eastAsia="微软雅黑" w:cs="微软雅黑"/>
          <w:spacing w:val="2"/>
          <w:sz w:val="24"/>
          <w:szCs w:val="24"/>
          <w:lang w:val="en-US" w:eastAsia="zh-CN"/>
        </w:rPr>
        <w:t>3.85%</w:t>
      </w:r>
      <w:r>
        <w:rPr>
          <w:rFonts w:ascii="微软雅黑" w:hAnsi="微软雅黑" w:eastAsia="微软雅黑" w:cs="微软雅黑"/>
          <w:spacing w:val="12"/>
          <w:sz w:val="24"/>
          <w:szCs w:val="24"/>
        </w:rPr>
        <w:t>。</w:t>
      </w:r>
      <w:r>
        <w:rPr>
          <w:rFonts w:hint="eastAsia" w:ascii="微软雅黑" w:hAnsi="微软雅黑" w:eastAsia="微软雅黑" w:cs="微软雅黑"/>
          <w:spacing w:val="12"/>
          <w:sz w:val="24"/>
          <w:szCs w:val="24"/>
          <w:lang w:val="en-US" w:eastAsia="zh-CN"/>
        </w:rPr>
        <w:t>7月</w:t>
      </w:r>
      <w:r>
        <w:rPr>
          <w:rFonts w:ascii="微软雅黑" w:hAnsi="微软雅黑" w:eastAsia="微软雅黑" w:cs="微软雅黑"/>
          <w:sz w:val="24"/>
          <w:szCs w:val="24"/>
        </w:rPr>
        <w:t>ICE</w:t>
      </w:r>
      <w:r>
        <w:rPr>
          <w:rFonts w:ascii="微软雅黑" w:hAnsi="微软雅黑" w:eastAsia="微软雅黑" w:cs="微软雅黑"/>
          <w:spacing w:val="12"/>
          <w:sz w:val="24"/>
          <w:szCs w:val="24"/>
        </w:rPr>
        <w:t>原糖期货</w:t>
      </w:r>
      <w:r>
        <w:rPr>
          <w:rFonts w:hint="eastAsia" w:ascii="微软雅黑" w:hAnsi="微软雅黑" w:eastAsia="微软雅黑" w:cs="微软雅黑"/>
          <w:spacing w:val="12"/>
          <w:sz w:val="24"/>
          <w:szCs w:val="24"/>
          <w:lang w:val="en-US" w:eastAsia="zh-CN"/>
        </w:rPr>
        <w:t>周度跌幅为2.30%</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lang w:val="en-US" w:eastAsia="zh-CN"/>
        </w:rPr>
        <w:t>7月</w:t>
      </w:r>
      <w:r>
        <w:rPr>
          <w:rFonts w:ascii="微软雅黑" w:hAnsi="微软雅黑" w:eastAsia="微软雅黑" w:cs="微软雅黑"/>
          <w:sz w:val="24"/>
          <w:szCs w:val="24"/>
        </w:rPr>
        <w:t>ICE</w:t>
      </w:r>
      <w:r>
        <w:rPr>
          <w:rFonts w:ascii="微软雅黑" w:hAnsi="微软雅黑" w:eastAsia="微软雅黑" w:cs="微软雅黑"/>
          <w:spacing w:val="12"/>
          <w:sz w:val="24"/>
          <w:szCs w:val="24"/>
        </w:rPr>
        <w:t>棉</w:t>
      </w:r>
      <w:r>
        <w:rPr>
          <w:rFonts w:hint="eastAsia" w:ascii="微软雅黑" w:hAnsi="微软雅黑" w:eastAsia="微软雅黑" w:cs="微软雅黑"/>
          <w:spacing w:val="12"/>
          <w:sz w:val="24"/>
          <w:szCs w:val="24"/>
          <w:lang w:val="en-US" w:eastAsia="zh-CN"/>
        </w:rPr>
        <w:t>周度涨幅为0.02%</w:t>
      </w:r>
      <w:r>
        <w:rPr>
          <w:rFonts w:ascii="微软雅黑" w:hAnsi="微软雅黑" w:eastAsia="微软雅黑" w:cs="微软雅黑"/>
          <w:spacing w:val="3"/>
          <w:sz w:val="24"/>
          <w:szCs w:val="24"/>
        </w:rPr>
        <w:t>，</w:t>
      </w:r>
      <w:r>
        <w:rPr>
          <w:rFonts w:hint="eastAsia" w:ascii="微软雅黑" w:hAnsi="微软雅黑" w:eastAsia="微软雅黑" w:cs="微软雅黑"/>
          <w:sz w:val="24"/>
          <w:szCs w:val="24"/>
          <w:lang w:val="en-US" w:eastAsia="zh-CN"/>
        </w:rPr>
        <w:t>MB</w:t>
      </w:r>
      <w:r>
        <w:rPr>
          <w:rFonts w:ascii="微软雅黑" w:hAnsi="微软雅黑" w:eastAsia="微软雅黑" w:cs="微软雅黑"/>
          <w:spacing w:val="3"/>
          <w:sz w:val="24"/>
          <w:szCs w:val="24"/>
        </w:rPr>
        <w:t>铁矿石</w:t>
      </w:r>
      <w:r>
        <w:rPr>
          <w:rFonts w:hint="eastAsia" w:ascii="微软雅黑" w:hAnsi="微软雅黑" w:eastAsia="微软雅黑" w:cs="微软雅黑"/>
          <w:spacing w:val="12"/>
          <w:sz w:val="24"/>
          <w:szCs w:val="24"/>
          <w:lang w:val="en-US" w:eastAsia="zh-CN"/>
        </w:rPr>
        <w:t>周度涨幅为</w:t>
      </w:r>
      <w:r>
        <w:rPr>
          <w:rFonts w:hint="eastAsia" w:ascii="微软雅黑" w:hAnsi="微软雅黑" w:eastAsia="微软雅黑" w:cs="微软雅黑"/>
          <w:spacing w:val="3"/>
          <w:sz w:val="24"/>
          <w:szCs w:val="24"/>
          <w:lang w:val="en-US" w:eastAsia="zh-CN"/>
        </w:rPr>
        <w:t>0.19%</w:t>
      </w:r>
      <w:r>
        <w:rPr>
          <w:rFonts w:hint="eastAsia" w:ascii="微软雅黑" w:hAnsi="微软雅黑" w:eastAsia="微软雅黑" w:cs="微软雅黑"/>
          <w:spacing w:val="3"/>
          <w:sz w:val="24"/>
          <w:szCs w:val="24"/>
          <w:lang w:eastAsia="zh-CN"/>
        </w:rPr>
        <w:t>。</w:t>
      </w:r>
    </w:p>
    <w:p>
      <w:pPr>
        <w:spacing w:before="235" w:line="176" w:lineRule="auto"/>
        <w:ind w:firstLine="254" w:firstLineChars="100"/>
        <w:rPr>
          <w:rFonts w:ascii="微软雅黑" w:hAnsi="微软雅黑" w:eastAsia="微软雅黑" w:cs="微软雅黑"/>
          <w:spacing w:val="7"/>
          <w:sz w:val="24"/>
          <w:szCs w:val="24"/>
        </w:rPr>
      </w:pPr>
      <w:r>
        <w:rPr>
          <w:rFonts w:ascii="微软雅黑" w:hAnsi="微软雅黑" w:eastAsia="微软雅黑" w:cs="微软雅黑"/>
          <w:spacing w:val="7"/>
          <w:sz w:val="24"/>
          <w:szCs w:val="24"/>
        </w:rPr>
        <w:t>图表1</w:t>
      </w:r>
      <w:r>
        <w:rPr>
          <w:rFonts w:hint="eastAsia" w:ascii="微软雅黑" w:hAnsi="微软雅黑" w:eastAsia="微软雅黑" w:cs="微软雅黑"/>
          <w:spacing w:val="7"/>
          <w:sz w:val="24"/>
          <w:szCs w:val="24"/>
          <w:lang w:eastAsia="zh-CN"/>
        </w:rPr>
        <w:t>：</w:t>
      </w:r>
      <w:r>
        <w:rPr>
          <w:rFonts w:ascii="微软雅黑" w:hAnsi="微软雅黑" w:eastAsia="微软雅黑" w:cs="微软雅黑"/>
          <w:spacing w:val="7"/>
          <w:sz w:val="24"/>
          <w:szCs w:val="24"/>
        </w:rPr>
        <w:t>全球商品涨跌幅</w:t>
      </w:r>
    </w:p>
    <w:p>
      <w:pPr>
        <w:spacing w:before="235" w:line="176" w:lineRule="auto"/>
        <w:ind w:firstLine="210" w:firstLineChars="100"/>
        <w:jc w:val="both"/>
        <w:rPr>
          <w:rFonts w:hint="eastAsia" w:ascii="微软雅黑" w:hAnsi="微软雅黑" w:eastAsia="微软雅黑" w:cs="微软雅黑"/>
          <w:spacing w:val="3"/>
          <w:sz w:val="24"/>
          <w:szCs w:val="24"/>
          <w:lang w:eastAsia="zh-CN"/>
        </w:rPr>
      </w:pPr>
      <w:r>
        <w:drawing>
          <wp:inline distT="0" distB="0" distL="114300" distR="114300">
            <wp:extent cx="6010275" cy="3285490"/>
            <wp:effectExtent l="0" t="0" r="9525" b="1016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6010275" cy="3285490"/>
                    </a:xfrm>
                    <a:prstGeom prst="rect">
                      <a:avLst/>
                    </a:prstGeom>
                    <a:noFill/>
                    <a:ln>
                      <a:noFill/>
                    </a:ln>
                  </pic:spPr>
                </pic:pic>
              </a:graphicData>
            </a:graphic>
          </wp:inline>
        </w:drawing>
      </w:r>
    </w:p>
    <w:p>
      <w:pPr>
        <w:spacing w:before="235" w:line="176" w:lineRule="auto"/>
        <w:ind w:firstLine="194" w:firstLineChars="100"/>
        <w:rPr>
          <w:rFonts w:hint="default" w:ascii="微软雅黑" w:hAnsi="微软雅黑" w:eastAsia="微软雅黑" w:cs="微软雅黑"/>
          <w:sz w:val="18"/>
          <w:szCs w:val="18"/>
          <w:lang w:val="en-US" w:eastAsia="zh-CN"/>
        </w:rPr>
      </w:pPr>
      <w:r>
        <w:rPr>
          <w:rFonts w:hint="eastAsia" w:ascii="微软雅黑" w:hAnsi="微软雅黑" w:eastAsia="微软雅黑" w:cs="微软雅黑"/>
          <w:spacing w:val="7"/>
          <w:sz w:val="18"/>
          <w:szCs w:val="18"/>
          <w:lang w:val="en-US" w:eastAsia="zh-CN"/>
        </w:rPr>
        <w:t>资料来源：公开资料整理，瑞达国际</w:t>
      </w:r>
    </w:p>
    <w:p>
      <w:pPr>
        <w:pStyle w:val="2"/>
        <w:spacing w:line="282" w:lineRule="auto"/>
      </w:pPr>
    </w:p>
    <w:p>
      <w:pPr>
        <w:pStyle w:val="2"/>
        <w:spacing w:line="282" w:lineRule="auto"/>
      </w:pPr>
    </w:p>
    <w:p>
      <w:pPr>
        <w:pStyle w:val="2"/>
        <w:spacing w:line="282" w:lineRule="auto"/>
      </w:pPr>
    </w:p>
    <w:p>
      <w:pPr>
        <w:spacing w:before="120" w:line="190" w:lineRule="auto"/>
        <w:rPr>
          <w:rFonts w:ascii="微软雅黑" w:hAnsi="微软雅黑" w:eastAsia="微软雅黑" w:cs="微软雅黑"/>
          <w:spacing w:val="4"/>
          <w:sz w:val="24"/>
          <w:szCs w:val="24"/>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周度事件汇总</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【瑞银将A股和港股评级上调至“超配”，将韩国股票评级下调至中性。】</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【香港虚拟货币现货ETF产品正式落地！ 4月24日傍晚，香港证监会官网正式发布虚拟币现货ETF获批名单，华夏（香港）、嘉实国际、博时</w:t>
      </w:r>
      <w:r>
        <w:rPr>
          <w:rFonts w:hint="eastAsia" w:ascii="微软雅黑" w:hAnsi="微软雅黑" w:eastAsia="微软雅黑" w:cs="微软雅黑"/>
          <w:spacing w:val="4"/>
          <w:sz w:val="24"/>
          <w:szCs w:val="24"/>
          <w:lang w:val="en-US" w:eastAsia="zh-CN"/>
        </w:rPr>
        <w:t>基金（</w:t>
      </w:r>
      <w:r>
        <w:rPr>
          <w:rFonts w:hint="eastAsia" w:ascii="微软雅黑" w:hAnsi="微软雅黑" w:eastAsia="微软雅黑" w:cs="微软雅黑"/>
          <w:spacing w:val="4"/>
          <w:sz w:val="24"/>
          <w:szCs w:val="24"/>
          <w:lang w:eastAsia="zh-CN"/>
        </w:rPr>
        <w:t>国际）申</w:t>
      </w:r>
      <w:r>
        <w:rPr>
          <w:rFonts w:hint="eastAsia" w:ascii="微软雅黑" w:hAnsi="微软雅黑" w:eastAsia="微软雅黑" w:cs="微软雅黑"/>
          <w:spacing w:val="4"/>
          <w:sz w:val="24"/>
          <w:szCs w:val="24"/>
          <w:lang w:val="en-US" w:eastAsia="zh-CN"/>
        </w:rPr>
        <w:t>旗下比特币ETF、以太币ETF在港落地，拟定4月29日发行，4月30日在港交所上市。</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【一季度美国实际国内生产总值（GDP）按年率计算增长1.6%，增幅较去年第四季度的3.4%明显收窄，预期2.4%；核心PCE物价指数年化初值环比上升3.7%，预期3.4%，去年四季度终值2.0%。】</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【美国上周初请失业金人数为20.7万人，预期21.5万人，前值21.2万人；4月13日当周续请失业金人数178.1万人，预期180.5万人，前值自181.2万人修正至179.6万人。】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【美国4月标普全球制造业PMI初值49.9，预期52.0，3月终值51.9；服务业PMI初值50.9，预期52.0，3月终值51.7；综合PMI初值50.9，预期52.0，3月终值56.7。】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【欧洲央行管委森特诺表示，今年欧洲央行降息幅度可能超过100个基点，2%的利率目标是一个很好的基准，即使降息100个基点，仍将处于限制性区域。】</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【欧洲议会投票通过《稳定与增长公约》改革法案，欧盟成员国年度财政赤字不得超过其国内生产总值（GDP）的3%，公共债务不得超过GDP的60%。】</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【欧元区4月制造业PMI初值45.6，预期46.6，3月终值46.1；服务业PMI初值52.9，预期51.8，3月终值51.5；综合PMI初值51.4，预期50.7，3月终值50.3。】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【德国4月制造业PMI初值42.2，创近10个月以来新高，预期42.8，3月终值41.9；服务业PMI初值53.3，预期50.5，3月终值50.1；综合PMI初值50.5，创近2个月新高，预期48.5，3月终值47.7。】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【德国经济部长罗伯特·哈贝克召开发布会表示，德国政府将2024年经济增长预测从0.2%略微修正为0.3%。】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【德国5月Gfk消费者信心指数-24.2，预期-26.0，前值由-27.4修正为-27.3。】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【法国4月制造业PMI初值44.9，预期46.9，3月终值46.2；服务业PMI初值50.5，预期48.9，3月终值48.3；综合PMI初值49.9，预期48.8，3月终值48.3。】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【意大利4月Istat消费者信心指数95.2，预期96.9，前值96.5；制造业信心指数87.6，预期89.5，前值88.6。】</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【英国4月制造业PMI初值48.7，预期50.4，3月终值50.3；服务业PMI初值54.9，预期53.0，3月终值53.1；综合PMI初值54.0，预期52.6，3月终值52.8。】</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【英国4月CBI零售销售差值-44，创2020年以来新低，预期-3，前值2；零售销售预期指数-19，前值-25。】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【日本4月制造业PMI初值49.9，3月终值48.2；服务业PMI 54.6，3月终值54.1；综合PMI 52.6，3月终值51.7。】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瑞士央行正在提高国内银行最低准备金要求，并修订《国家银行条例》，自7月1日起生效。今后在计算最低准备金要求时，将与其他相关负债一样，全额计入可取消客户存款所产生的负债。瑞士央行还将最低准备金率从2.5%提高到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【瑞士4月ZEW投资者信心指数17.6，前值11.5；经济现况指数17.7，前值11.1。】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【澳大利亚第一季度CPI同比上涨3.6%，为2021年第四季度以来最小涨幅，预期3.5%，前值4.1%；环比上涨1%，预期0.8%，前值0.6%。】</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【加拿大央行：预计货币政策宽松将是“渐进的”；官员对通胀上行风险更为关注；对于何时会出现需要降息的条件存在分歧；部分委员认为，考虑到通胀下降，保持货币政策过于紧缩存在风险。】</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【韩国第一季度GDP初值同比增长3.4%，预期2.4%，前值2.2%；环比增长1.3%，预期及前值均为0.6%。】</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bookmarkStart w:id="0" w:name="_GoBack"/>
      <w:bookmarkEnd w:id="0"/>
    </w:p>
    <w:p>
      <w:pPr>
        <w:spacing w:before="120" w:line="190" w:lineRule="auto"/>
        <w:rPr>
          <w:rFonts w:hint="eastAsia" w:ascii="微软雅黑" w:hAnsi="微软雅黑" w:eastAsia="微软雅黑" w:cs="微软雅黑"/>
          <w:b/>
          <w:bCs/>
          <w:color w:val="036EB8"/>
          <w:spacing w:val="10"/>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20"/>
            <wp:cNvGraphicFramePr/>
            <a:graphic xmlns:a="http://schemas.openxmlformats.org/drawingml/2006/main">
              <a:graphicData uri="http://schemas.openxmlformats.org/drawingml/2006/picture">
                <pic:pic xmlns:pic="http://schemas.openxmlformats.org/drawingml/2006/picture">
                  <pic:nvPicPr>
                    <pic:cNvPr id="4" name="IM 20"/>
                    <pic:cNvPicPr/>
                  </pic:nvPicPr>
                  <pic:blipFill>
                    <a:blip r:embed="rId13"/>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val="en-US" w:eastAsia="zh-CN"/>
        </w:rPr>
        <w:t xml:space="preserve">品种观点 </w:t>
      </w:r>
    </w:p>
    <w:tbl>
      <w:tblPr>
        <w:tblStyle w:val="7"/>
        <w:tblW w:w="107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Borders>
              <w:top w:val="single" w:color="2169C1" w:sz="4" w:space="0"/>
              <w:left w:val="single" w:color="FFFFFF" w:sz="4" w:space="0"/>
              <w:bottom w:val="dotted" w:color="auto" w:sz="4" w:space="0"/>
              <w:right w:val="dotted" w:color="auto" w:sz="4" w:space="0"/>
            </w:tcBorders>
            <w:shd w:val="clear" w:color="auto" w:fill="729ED8"/>
            <w:vAlign w:val="center"/>
          </w:tcPr>
          <w:p>
            <w:pPr>
              <w:pStyle w:val="9"/>
              <w:widowControl w:val="0"/>
              <w:spacing w:before="221" w:line="182" w:lineRule="auto"/>
              <w:jc w:val="center"/>
              <w:rPr>
                <w:rFonts w:hint="eastAsia" w:ascii="微软雅黑" w:hAnsi="微软雅黑" w:eastAsia="微软雅黑" w:cs="微软雅黑"/>
                <w:snapToGrid w:val="0"/>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t>品种</w:t>
            </w:r>
          </w:p>
        </w:tc>
        <w:tc>
          <w:tcPr>
            <w:tcW w:w="9039" w:type="dxa"/>
            <w:tcBorders>
              <w:top w:val="single" w:color="2169C1" w:sz="4" w:space="0"/>
              <w:left w:val="dotted" w:color="auto" w:sz="4" w:space="0"/>
              <w:bottom w:val="dotted" w:color="auto" w:sz="4" w:space="0"/>
              <w:right w:val="single" w:color="FFFFFF" w:sz="4" w:space="0"/>
            </w:tcBorders>
            <w:shd w:val="clear" w:color="auto" w:fill="729ED8"/>
            <w:vAlign w:val="center"/>
          </w:tcPr>
          <w:p>
            <w:pPr>
              <w:widowControl w:val="0"/>
              <w:spacing w:before="120" w:line="190" w:lineRule="auto"/>
              <w:jc w:val="center"/>
              <w:rPr>
                <w:rFonts w:hint="default"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t>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9"/>
              <w:widowControl w:val="0"/>
              <w:spacing w:before="228" w:line="191" w:lineRule="auto"/>
              <w:jc w:val="center"/>
              <w:rPr>
                <w:rFonts w:hint="eastAsia" w:eastAsia="微软雅黑"/>
                <w:b/>
                <w:bCs/>
                <w:sz w:val="19"/>
                <w:szCs w:val="19"/>
                <w:lang w:eastAsia="zh-CN"/>
              </w:rPr>
            </w:pPr>
            <w:r>
              <w:rPr>
                <w:rFonts w:hint="eastAsia" w:eastAsia="微软雅黑"/>
                <w:b/>
                <w:bCs/>
                <w:sz w:val="19"/>
                <w:szCs w:val="19"/>
                <w:lang w:eastAsia="zh-CN"/>
              </w:rPr>
              <w:t>富时中国A50</w:t>
            </w:r>
          </w:p>
          <w:p>
            <w:pPr>
              <w:pStyle w:val="9"/>
              <w:widowControl w:val="0"/>
              <w:spacing w:before="228" w:line="191" w:lineRule="auto"/>
              <w:ind w:left="449" w:leftChars="0" w:firstLine="190" w:firstLineChars="100"/>
              <w:jc w:val="center"/>
              <w:rPr>
                <w:rFonts w:hint="eastAsia" w:ascii="微软雅黑" w:hAnsi="微软雅黑" w:eastAsia="微软雅黑" w:cs="微软雅黑"/>
                <w:snapToGrid w:val="0"/>
                <w:color w:val="000000"/>
                <w:kern w:val="0"/>
                <w:sz w:val="19"/>
                <w:szCs w:val="19"/>
                <w:lang w:val="en-US" w:eastAsia="zh-CN" w:bidi="ar-SA"/>
              </w:rPr>
            </w:pP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上周富时中国A50指数周涨2.01%至12455.36点；新交所富时A50期指主力合约周涨2.40%至12483点。近期A股市场整体呈现震荡走势，市场缺乏明确的上行或下行方向，上证指数基本围绕3000至3100点范围波动，波动显著放大。或许主要与市场预期尚未稳定有关。一方面可能是担心财报的密集披露期会给市场带来扰动，另一方面或是对国内经济判断存在分歧。在基本面及政策的双重驱动下，市场预期在4月之后或将重归稳定，市场有望震荡上行。策略上，短线逢低做多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9"/>
              <w:widowControl w:val="0"/>
              <w:spacing w:before="230" w:line="191" w:lineRule="auto"/>
              <w:jc w:val="center"/>
              <w:rPr>
                <w:b/>
                <w:bCs/>
                <w:sz w:val="19"/>
                <w:szCs w:val="19"/>
              </w:rPr>
            </w:pPr>
            <w:r>
              <w:rPr>
                <w:rFonts w:hint="eastAsia"/>
                <w:b/>
                <w:bCs/>
                <w:sz w:val="19"/>
                <w:szCs w:val="19"/>
              </w:rPr>
              <w:t>S&amp;P500</w:t>
            </w:r>
          </w:p>
          <w:p>
            <w:pPr>
              <w:pStyle w:val="9"/>
              <w:widowControl w:val="0"/>
              <w:spacing w:before="230" w:line="191" w:lineRule="auto"/>
              <w:jc w:val="center"/>
              <w:rPr>
                <w:rFonts w:hint="eastAsia" w:ascii="微软雅黑" w:hAnsi="微软雅黑" w:eastAsia="微软雅黑" w:cs="微软雅黑"/>
                <w:snapToGrid w:val="0"/>
                <w:color w:val="000000"/>
                <w:kern w:val="0"/>
                <w:sz w:val="19"/>
                <w:szCs w:val="19"/>
                <w:lang w:val="en-US" w:eastAsia="zh-CN" w:bidi="ar-SA"/>
              </w:rPr>
            </w:pP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标普500指数周涨2.67%至5099.96点；迷你标普500主力合约周涨2.56%至5131.75点。标普500指数与纳指均录得11月以来的最大单周涨幅。Alphabet与微软的财报表明推动科技股上涨的人工智能热潮仍在继续。美国3月核心PCE同比增长2.8%高于预期，显示通胀压力仍然居高不下。策略上，短线观望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9"/>
              <w:widowControl w:val="0"/>
              <w:spacing w:before="231" w:line="191" w:lineRule="auto"/>
              <w:ind w:left="449" w:leftChars="0"/>
              <w:jc w:val="both"/>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铁矿石</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上周铁矿石期价继续走高。澳巴铁矿石发运量大幅增加，到港量出现下滑。钢厂利润回升，推高高炉开工率，日均铁水产量连续4周增加，目前回升至230万吨附近，支撑铁矿石期现货价格向上走高。供应端，国内铁矿石港口库存继续增加，目前上升至1.47亿吨，较去年同期增加1872万吨，整体仍显宽松。需求端，因钢厂利润回升，高炉开工率连续上调，日均铁水产量增加。铁矿石现货需求回暖，提振市场信心盖过库存忧虑。操作策略：I2409合约回调择机短多，注意操作节奏及风险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9"/>
              <w:widowControl w:val="0"/>
              <w:spacing w:before="232"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LME铜</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美国3月PCE物价指数年率录得2.7%，核心PCE同比上涨2.8%，美联储在九月份首次降息的可能性增加。全国规模以上工业企业利润总额15055.3亿元，同比增长4.3%，连续三个季度增长。国家统计局表示，下阶段，要落实好大规模设备更新和消费品以旧换新政策措施，加快建设现代化产业体系，着力扩大国内需求，持续提振各类经营主体信心，加力巩固工业经济恢复基础，推动工业经济持续回升向好。操作建议，轻仓逢低短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9"/>
              <w:widowControl w:val="0"/>
              <w:spacing w:before="232"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CBOT大豆</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美豆进入播种季节，近期降雨虽然有可能影响播种的进度，不过会改善土壤墒情。美豆出口继续下滑，不过符合市场的预期，对盘面的影响有限。目前市场等待5月美豆的种植情况以及天气情况对盘面的进一步指引，短期陷入震荡的走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9"/>
              <w:widowControl w:val="0"/>
              <w:spacing w:before="234"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原油</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国际原油市场小幅上涨，布伦特原油6月期货合约结算价报89.5美元/桶，涨幅0.6%；美国WTI原油6月期货合约结算价报83.85元/桶，涨幅0.3%。美国3月PCE物价指数高于预期，市场继续调整美联储降息预期，美元指数回升。欧佩克联盟产油国将自愿减产措施延长到二季度，沙特将自愿减产100万桶/日，俄罗斯将在二季度自愿削减供应47.1万桶/日；EIA美国原油库存大幅下降；乌克兰无人机袭击俄罗斯两个石油储备库，伊朗和以色列无意升级冲突，而以色列加强空袭加沙拉法地区，中东地缘局势仍较动荡，市场权衡地缘局势与美联储降息推迟影响，短线原油期价呈现宽幅震荡。短线上海原油期价呈现宽幅震荡走势，建议短线交易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9"/>
              <w:widowControl w:val="0"/>
              <w:spacing w:before="234" w:line="191" w:lineRule="auto"/>
              <w:jc w:val="center"/>
              <w:rPr>
                <w:rFonts w:hint="eastAsia" w:ascii="微软雅黑" w:hAnsi="微软雅黑" w:eastAsia="微软雅黑" w:cs="微软雅黑"/>
                <w:snapToGrid w:val="0"/>
                <w:color w:val="000000"/>
                <w:kern w:val="0"/>
                <w:sz w:val="19"/>
                <w:szCs w:val="19"/>
                <w:lang w:val="en-US" w:eastAsia="zh-CN" w:bidi="ar-SA"/>
              </w:rPr>
            </w:pPr>
            <w:r>
              <w:rPr>
                <w:b/>
                <w:bCs/>
                <w:sz w:val="19"/>
                <w:szCs w:val="19"/>
              </w:rPr>
              <w:t>ICE原糖</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jc w:val="both"/>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lang w:val="en-US" w:eastAsia="zh-CN"/>
              </w:rPr>
              <w:t>上周美糖7月合约期价继续下跌，周度跌幅2.30%。由于巴西机构预估新榨季种植面积增加4.1%，糖醇比上调，产量增至4629.2万吨，同比增加61.4万吨。巴西新榨季已经开始压榨，且市场预期仍有增产可能，原糖市场仍缺乏有力支撑。巴西航运机构Williams发布的数据显示，截至4月24日当周巴西港口等待装运食糖的船只数量为95艘，此前一周为80艘。港口等待装运的食糖数量为335.31万吨，此前一周为286.86万吨。当周等待装运出口的食糖船只数量继续增加，运输进度减慢。</w:t>
            </w:r>
          </w:p>
          <w:p>
            <w:pPr>
              <w:widowControl w:val="0"/>
              <w:spacing w:before="120" w:line="240" w:lineRule="auto"/>
              <w:jc w:val="both"/>
              <w:rPr>
                <w:rFonts w:hint="eastAsia" w:ascii="宋体" w:hAnsi="宋体" w:eastAsia="宋体" w:cs="宋体"/>
                <w:spacing w:val="25"/>
                <w:sz w:val="19"/>
                <w:szCs w:val="19"/>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9"/>
              <w:widowControl w:val="0"/>
              <w:spacing w:before="234" w:line="191" w:lineRule="auto"/>
              <w:jc w:val="center"/>
              <w:rPr>
                <w:rFonts w:hint="eastAsia" w:ascii="微软雅黑" w:hAnsi="微软雅黑" w:eastAsia="微软雅黑" w:cs="微软雅黑"/>
                <w:b/>
                <w:bCs/>
                <w:snapToGrid w:val="0"/>
                <w:color w:val="000000"/>
                <w:spacing w:val="3"/>
                <w:kern w:val="0"/>
                <w:sz w:val="19"/>
                <w:szCs w:val="19"/>
                <w:lang w:val="en-US" w:eastAsia="zh-CN" w:bidi="ar-SA"/>
              </w:rPr>
            </w:pPr>
            <w:r>
              <w:rPr>
                <w:b/>
                <w:bCs/>
                <w:sz w:val="19"/>
                <w:szCs w:val="19"/>
              </w:rPr>
              <w:t>ICE</w:t>
            </w:r>
            <w:r>
              <w:rPr>
                <w:rFonts w:hint="eastAsia"/>
                <w:b/>
                <w:bCs/>
                <w:sz w:val="19"/>
                <w:szCs w:val="19"/>
                <w:lang w:val="en-US" w:eastAsia="zh-CN"/>
              </w:rPr>
              <w:t>棉花</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lang w:val="en-US" w:eastAsia="zh-CN"/>
              </w:rPr>
              <w:t>上周美棉7月合约价格低位整理，周度涨幅0.02%。主要出口销售报告利好抵消了金融市场低迷情绪和美元走强的打压。据美国农业部(USDA)报告显示，2024年4月12-18日，2023/24年度美国陆地棉出口签约量40202吨，较前月增长21%，较前4周平均水平增长73%；2023/24年度美国陆地棉出口装运量59406吨，较前周下降2%，较前4周平均水平下降18%。美棉签约继续维持增长，装运进度下降，整体数据相对偏多。但价格企稳仍需各方面积极配合，短期内暂无明显上涨动能，预计美棉期价仍弱势震荡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1744" w:type="dxa"/>
            <w:tcBorders>
              <w:top w:val="dotted" w:color="auto" w:sz="4" w:space="0"/>
              <w:left w:val="single" w:color="FFFFFF" w:sz="4" w:space="0"/>
              <w:bottom w:val="dotted" w:color="auto" w:sz="4" w:space="0"/>
              <w:right w:val="dotted" w:color="auto" w:sz="4" w:space="0"/>
            </w:tcBorders>
            <w:shd w:val="clear" w:color="auto" w:fill="B5C7EA" w:themeFill="accent1" w:themeFillTint="66"/>
            <w:vAlign w:val="center"/>
          </w:tcPr>
          <w:p>
            <w:pPr>
              <w:pStyle w:val="9"/>
              <w:widowControl w:val="0"/>
              <w:spacing w:before="234" w:line="191" w:lineRule="auto"/>
              <w:jc w:val="center"/>
              <w:rPr>
                <w:rFonts w:hint="eastAsia" w:ascii="微软雅黑" w:hAnsi="微软雅黑" w:eastAsia="微软雅黑" w:cs="微软雅黑"/>
                <w:b/>
                <w:bCs/>
                <w:snapToGrid w:val="0"/>
                <w:color w:val="000000"/>
                <w:kern w:val="0"/>
                <w:sz w:val="19"/>
                <w:szCs w:val="19"/>
                <w:lang w:val="en-US" w:eastAsia="zh-CN" w:bidi="ar-SA"/>
              </w:rPr>
            </w:pPr>
            <w:r>
              <w:rPr>
                <w:rFonts w:hint="eastAsia"/>
                <w:b/>
                <w:bCs/>
                <w:sz w:val="19"/>
                <w:szCs w:val="19"/>
                <w:lang w:val="en-US" w:eastAsia="zh-CN"/>
              </w:rPr>
              <w:t>美元指数</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lang w:val="en-US" w:eastAsia="zh-CN"/>
              </w:rPr>
              <w:t>近期公布的美国GDP数据虽有所走弱并低于预期，但整体PCE数据回升使市场再次对通胀顽固问题感到担忧。除PCE数据接连超出预期外，当前居民收入以及消费支出皆有所走强，薪资增速在整体就业市场仍旧失衡的情况下或维持强劲，短期内美国价格水平在消费支撑下或持续得到一定支撑。在当前美国与非美国家利率预期持续走阔的情况下美元指数或持续得到一定支撑。</w:t>
            </w:r>
          </w:p>
          <w:p>
            <w:pPr>
              <w:widowControl w:val="0"/>
              <w:spacing w:before="120" w:line="240" w:lineRule="auto"/>
              <w:rPr>
                <w:rFonts w:hint="eastAsia" w:ascii="宋体" w:hAnsi="宋体" w:eastAsia="宋体" w:cs="宋体"/>
                <w:spacing w:val="25"/>
                <w:sz w:val="19"/>
                <w:szCs w:val="19"/>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1744" w:type="dxa"/>
            <w:tcBorders>
              <w:top w:val="dotted" w:color="auto" w:sz="4" w:space="0"/>
              <w:left w:val="single" w:color="FFFFFF" w:sz="4" w:space="0"/>
              <w:bottom w:val="single" w:color="2169C1" w:sz="4" w:space="0"/>
              <w:right w:val="dotted" w:color="auto" w:sz="4" w:space="0"/>
            </w:tcBorders>
            <w:shd w:val="clear" w:color="auto" w:fill="B5C7EA" w:themeFill="accent1" w:themeFillTint="66"/>
            <w:vAlign w:val="center"/>
          </w:tcPr>
          <w:p>
            <w:pPr>
              <w:pStyle w:val="9"/>
              <w:widowControl w:val="0"/>
              <w:spacing w:before="234" w:line="191" w:lineRule="auto"/>
              <w:jc w:val="center"/>
              <w:rPr>
                <w:rFonts w:hint="eastAsia" w:ascii="微软雅黑" w:hAnsi="微软雅黑" w:eastAsia="微软雅黑" w:cs="微软雅黑"/>
                <w:b/>
                <w:bCs/>
                <w:snapToGrid w:val="0"/>
                <w:color w:val="000000"/>
                <w:kern w:val="0"/>
                <w:sz w:val="19"/>
                <w:szCs w:val="19"/>
                <w:lang w:val="en-US" w:eastAsia="zh-CN" w:bidi="ar-SA"/>
              </w:rPr>
            </w:pPr>
            <w:r>
              <w:rPr>
                <w:rFonts w:hint="eastAsia"/>
                <w:b/>
                <w:bCs/>
                <w:sz w:val="19"/>
                <w:szCs w:val="19"/>
                <w:lang w:val="en-US" w:eastAsia="zh-CN"/>
              </w:rPr>
              <w:t>贵金属</w:t>
            </w:r>
          </w:p>
        </w:tc>
        <w:tc>
          <w:tcPr>
            <w:tcW w:w="9039" w:type="dxa"/>
            <w:tcBorders>
              <w:top w:val="dotted" w:color="auto" w:sz="4" w:space="0"/>
              <w:left w:val="dotted" w:color="auto" w:sz="4" w:space="0"/>
              <w:bottom w:val="single" w:color="2169C1" w:sz="4" w:space="0"/>
              <w:right w:val="single" w:color="FFFFFF" w:sz="4" w:space="0"/>
            </w:tcBorders>
            <w:shd w:val="clear" w:color="auto" w:fill="DBE3F4" w:themeFill="accent1" w:themeFillTint="32"/>
          </w:tcPr>
          <w:p>
            <w:pPr>
              <w:widowControl w:val="0"/>
              <w:spacing w:before="120" w:line="240" w:lineRule="auto"/>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lang w:val="en-US" w:eastAsia="zh-CN"/>
              </w:rPr>
              <w:t>上周公布的美国3月PCE物价指数超预期上涨，同时核心PCE物价指数不降反升，数据体现整体通胀压力尚存。与此同时，美国3月个人支出环比升0.8%，超出预期的0.6%并与前值持平；个人收入环比升0.5%，预期升0.5%，前值升0.3%；实际个人消费支出环比升0.5%，预期升0.3%，前值升0.4%。整体居民收入及支出尚未出现显著放缓，或给予未来通胀水平一定支撑。短期内在美国经济数据尚未显著走弱的情况下，市场对未来的通胀预期或难以于短期内显著下降，贵金属价格或得到一定支撑。</w:t>
            </w:r>
          </w:p>
        </w:tc>
      </w:tr>
    </w:tbl>
    <w:p>
      <w:pPr>
        <w:pStyle w:val="2"/>
        <w:spacing w:line="263" w:lineRule="auto"/>
      </w:pPr>
    </w:p>
    <w:p>
      <w:pPr>
        <w:pStyle w:val="2"/>
        <w:spacing w:line="263" w:lineRule="auto"/>
        <w:rPr>
          <w:rFonts w:hint="default" w:ascii="微软雅黑" w:hAnsi="微软雅黑" w:eastAsia="微软雅黑" w:cs="微软雅黑"/>
          <w:color w:val="036EB8"/>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4"/>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val="en-US" w:eastAsia="zh-CN"/>
        </w:rPr>
        <w:t>品种图表</w:t>
      </w:r>
    </w:p>
    <w:tbl>
      <w:tblPr>
        <w:tblStyle w:val="10"/>
        <w:tblW w:w="9416" w:type="dxa"/>
        <w:tblInd w:w="210" w:type="dxa"/>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Layout w:type="fixed"/>
        <w:tblCellMar>
          <w:top w:w="0" w:type="dxa"/>
          <w:left w:w="0" w:type="dxa"/>
          <w:bottom w:w="0" w:type="dxa"/>
          <w:right w:w="0" w:type="dxa"/>
        </w:tblCellMar>
      </w:tblPr>
      <w:tblGrid>
        <w:gridCol w:w="9416"/>
      </w:tblGrid>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3516" w:hRule="atLeast"/>
        </w:trPr>
        <w:tc>
          <w:tcPr>
            <w:tcW w:w="9416" w:type="dxa"/>
            <w:vAlign w:val="top"/>
          </w:tcPr>
          <w:p>
            <w:pPr>
              <w:spacing w:line="4053" w:lineRule="exact"/>
              <w:jc w:val="center"/>
              <w:rPr>
                <w:rFonts w:hint="eastAsia" w:eastAsia="宋体"/>
                <w:lang w:val="en-US" w:eastAsia="zh-CN"/>
              </w:rPr>
            </w:pPr>
            <w:r>
              <w:object>
                <v:shape id="_x0000_i1029" o:spt="75" alt="" type="#_x0000_t75" style="height:139.95pt;width:219.25pt;" o:ole="t" filled="f" o:preferrelative="t" stroked="f" coordsize="21600,21600">
                  <v:path/>
                  <v:fill on="f" focussize="0,0"/>
                  <v:stroke on="f"/>
                  <v:imagedata r:id="rId15" o:title=""/>
                  <o:lock v:ext="edit" aspectratio="f"/>
                  <w10:wrap type="none"/>
                  <w10:anchorlock/>
                </v:shape>
                <o:OLEObject Type="Link" ProgID="Excel.Sheet.12" ShapeID="_x0000_i1029" UpdateMode="Always" DrawAspect="Content" ObjectID="_1468075725" r:id="rId16">
                  <o:LinkType>EnhancedMetaFile</o:LinkType>
                  <o:LockedField>false</o:LockedField>
                </o:OLEObject>
              </w:object>
            </w:r>
            <w:r>
              <w:rPr>
                <w:sz w:val="21"/>
              </w:rPr>
              <mc:AlternateContent>
                <mc:Choice Requires="wps">
                  <w:drawing>
                    <wp:anchor distT="0" distB="0" distL="114300" distR="114300" simplePos="0" relativeHeight="251663360" behindDoc="0" locked="0" layoutInCell="1" allowOverlap="1">
                      <wp:simplePos x="0" y="0"/>
                      <wp:positionH relativeFrom="column">
                        <wp:posOffset>2917825</wp:posOffset>
                      </wp:positionH>
                      <wp:positionV relativeFrom="paragraph">
                        <wp:posOffset>2190750</wp:posOffset>
                      </wp:positionV>
                      <wp:extent cx="2849245" cy="287655"/>
                      <wp:effectExtent l="5080" t="4445" r="22225" b="12700"/>
                      <wp:wrapNone/>
                      <wp:docPr id="39" name="文本框 39"/>
                      <wp:cNvGraphicFramePr/>
                      <a:graphic xmlns:a="http://schemas.openxmlformats.org/drawingml/2006/main">
                        <a:graphicData uri="http://schemas.microsoft.com/office/word/2010/wordprocessingShape">
                          <wps:wsp>
                            <wps:cNvSpPr txBox="1"/>
                            <wps:spPr>
                              <a:xfrm>
                                <a:off x="0" y="0"/>
                                <a:ext cx="2849245"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图2 ：铜主力合约走势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75pt;margin-top:172.5pt;height:22.65pt;width:224.35pt;z-index:251663360;mso-width-relative:page;mso-height-relative:page;" fillcolor="#FFFFFF [3201]" filled="t" stroked="t" coordsize="21600,21600" o:gfxdata="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4Qp302QAAAAsB&#10;AAAPAAAAAAAAAAEAIAAAACIAAABkcnMvZG93bnJldi54bWxQSwECFAAUAAAACACHTuJAEm0SbVMC&#10;AAC6BAAADgAAAAAAAAABACAAAAAoAQAAZHJzL2Uyb0RvYy54bWxQSwUGAAAAAAYABgBZAQAA7QUA&#10;AAAA&#10;">
                      <v:fill on="t" focussize="0,0"/>
                      <v:stroke weight="0.5pt" color="#FFFFFF [3212]" joinstyle="round"/>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图2 ：铜主力合约走势</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107315</wp:posOffset>
                      </wp:positionH>
                      <wp:positionV relativeFrom="paragraph">
                        <wp:posOffset>2211070</wp:posOffset>
                      </wp:positionV>
                      <wp:extent cx="2797175" cy="287655"/>
                      <wp:effectExtent l="0" t="0" r="3175" b="17145"/>
                      <wp:wrapNone/>
                      <wp:docPr id="38" name="文本框 38"/>
                      <wp:cNvGraphicFramePr/>
                      <a:graphic xmlns:a="http://schemas.openxmlformats.org/drawingml/2006/main">
                        <a:graphicData uri="http://schemas.microsoft.com/office/word/2010/wordprocessingShape">
                          <wps:wsp>
                            <wps:cNvSpPr txBox="1"/>
                            <wps:spPr>
                              <a:xfrm>
                                <a:off x="897890" y="4470400"/>
                                <a:ext cx="2797175"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图1 ：铜库存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5pt;margin-top:174.1pt;height:22.65pt;width:220.25pt;z-index:251662336;mso-width-relative:page;mso-height-relative:page;" fillcolor="#FFFFFF [3201]" filled="t" stroked="f" coordsize="21600,21600" o:gfxdata="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3ODUA&#10;1gAAAAoBAAAPAAAAAAAAAAEAIAAAACIAAABkcnMvZG93bnJldi54bWxQSwECFAAUAAAACACHTuJA&#10;tMCLi1wCAACcBAAADgAAAAAAAAABACAAAAAlAQAAZHJzL2Uyb0RvYy54bWxQSwUGAAAAAAYABgBZ&#10;AQAA8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图1 ：铜库存</w:t>
                            </w:r>
                          </w:p>
                        </w:txbxContent>
                      </v:textbox>
                    </v:shape>
                  </w:pict>
                </mc:Fallback>
              </mc:AlternateContent>
            </w:r>
            <w:r>
              <w:rPr>
                <w:rFonts w:hint="eastAsia" w:eastAsia="宋体"/>
                <w:sz w:val="21"/>
                <w:lang w:val="en-US" w:eastAsia="zh-CN"/>
              </w:rPr>
              <w:t xml:space="preserve"> </w:t>
            </w:r>
            <w:r>
              <w:drawing>
                <wp:inline distT="0" distB="0" distL="0" distR="0">
                  <wp:extent cx="2747645" cy="1733550"/>
                  <wp:effectExtent l="0" t="0" r="146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2747645" cy="1740671"/>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center"/>
              <w:rPr>
                <w:rFonts w:hint="eastAsia" w:eastAsia="宋体"/>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3142615</wp:posOffset>
                      </wp:positionH>
                      <wp:positionV relativeFrom="paragraph">
                        <wp:posOffset>2124710</wp:posOffset>
                      </wp:positionV>
                      <wp:extent cx="2573020" cy="287655"/>
                      <wp:effectExtent l="0" t="0" r="17780" b="17145"/>
                      <wp:wrapNone/>
                      <wp:docPr id="43" name="文本框 43"/>
                      <wp:cNvGraphicFramePr/>
                      <a:graphic xmlns:a="http://schemas.openxmlformats.org/drawingml/2006/main">
                        <a:graphicData uri="http://schemas.microsoft.com/office/word/2010/wordprocessingShape">
                          <wps:wsp>
                            <wps:cNvSpPr txBox="1"/>
                            <wps:spPr>
                              <a:xfrm>
                                <a:off x="0" y="0"/>
                                <a:ext cx="25730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图4：中国GDP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45pt;margin-top:167.3pt;height:22.65pt;width:202.6pt;z-index:251665408;mso-width-relative:page;mso-height-relative:page;" fillcolor="#FFFFFF [3201]" filled="t" stroked="f" coordsize="21600,21600" o:gfxdata="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7MB01gAAAAsBAAAPAAAA&#10;AAAAAAEAIAAAACIAAABkcnMvZG93bnJldi54bWxQSwECFAAUAAAACACHTuJAKNdXSVACAACRBAAA&#10;DgAAAAAAAAABACAAAAAlAQAAZHJzL2Uyb0RvYy54bWxQSwUGAAAAAAYABgBZAQAA5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图4：中国GDP</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236855</wp:posOffset>
                      </wp:positionH>
                      <wp:positionV relativeFrom="paragraph">
                        <wp:posOffset>2127885</wp:posOffset>
                      </wp:positionV>
                      <wp:extent cx="2849245" cy="287655"/>
                      <wp:effectExtent l="0" t="0" r="8255" b="17145"/>
                      <wp:wrapNone/>
                      <wp:docPr id="40" name="文本框 40"/>
                      <wp:cNvGraphicFramePr/>
                      <a:graphic xmlns:a="http://schemas.openxmlformats.org/drawingml/2006/main">
                        <a:graphicData uri="http://schemas.microsoft.com/office/word/2010/wordprocessingShape">
                          <wps:wsp>
                            <wps:cNvSpPr txBox="1"/>
                            <wps:spPr>
                              <a:xfrm>
                                <a:off x="0" y="0"/>
                                <a:ext cx="2849245"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图3：美国通胀水平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5pt;margin-top:167.55pt;height:22.65pt;width:224.35pt;z-index:251664384;mso-width-relative:page;mso-height-relative:page;" fillcolor="#FFFFFF [3201]" filled="t" stroked="f" coordsize="21600,21600" o:gfxdata="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u4w29YAAAAKAQAADwAA&#10;AAAAAAABACAAAAAiAAAAZHJzL2Rvd25yZXYueG1sUEsBAhQAFAAAAAgAh07iQDpyiwJRAgAAkQQA&#10;AA4AAAAAAAAAAQAgAAAAJQEAAGRycy9lMm9Eb2MueG1sUEsFBgAAAAAGAAYAWQEAAOg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图3：美国通胀水平</w:t>
                            </w:r>
                          </w:p>
                        </w:txbxContent>
                      </v:textbox>
                    </v:shape>
                  </w:pict>
                </mc:Fallback>
              </mc:AlternateContent>
            </w:r>
            <w:r>
              <w:drawing>
                <wp:inline distT="0" distB="0" distL="0" distR="0">
                  <wp:extent cx="2727325" cy="1905000"/>
                  <wp:effectExtent l="0" t="0" r="1587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2727325" cy="1905000"/>
                          </a:xfrm>
                          <a:prstGeom prst="rect">
                            <a:avLst/>
                          </a:prstGeom>
                        </pic:spPr>
                      </pic:pic>
                    </a:graphicData>
                  </a:graphic>
                </wp:inline>
              </w:drawing>
            </w:r>
            <w:r>
              <w:rPr>
                <w:rFonts w:hint="eastAsia" w:eastAsia="宋体"/>
                <w:lang w:val="en-US" w:eastAsia="zh-CN"/>
              </w:rPr>
              <w:t xml:space="preserve"> </w:t>
            </w:r>
            <w:r>
              <w:drawing>
                <wp:inline distT="0" distB="0" distL="0" distR="0">
                  <wp:extent cx="2807970" cy="1848485"/>
                  <wp:effectExtent l="0" t="0" r="11430" b="184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2807970" cy="1848485"/>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ind w:firstLine="1470" w:firstLineChars="700"/>
              <w:jc w:val="both"/>
              <w:rPr>
                <w:rFonts w:ascii="宋体" w:hAnsi="宋体" w:eastAsia="宋体"/>
                <w:color w:val="000000"/>
                <w:szCs w:val="21"/>
              </w:rPr>
            </w:pPr>
          </w:p>
          <w:p>
            <w:pPr>
              <w:spacing w:line="4053" w:lineRule="exact"/>
              <w:jc w:val="center"/>
              <w:rPr>
                <w:rFonts w:hint="eastAsia" w:eastAsia="宋体"/>
                <w:lang w:val="en-US" w:eastAsia="zh-CN"/>
              </w:rPr>
            </w:pPr>
            <w:r>
              <w:rPr>
                <w:rFonts w:ascii="宋体" w:hAnsi="宋体" w:eastAsia="宋体"/>
              </w:rPr>
              <w:drawing>
                <wp:inline distT="0" distB="0" distL="0" distR="0">
                  <wp:extent cx="2786380" cy="1894205"/>
                  <wp:effectExtent l="0" t="0" r="13970" b="1079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86380" cy="1894205"/>
                          </a:xfrm>
                          <a:prstGeom prst="rect">
                            <a:avLst/>
                          </a:prstGeom>
                          <a:noFill/>
                        </pic:spPr>
                      </pic:pic>
                    </a:graphicData>
                  </a:graphic>
                </wp:inline>
              </w:drawing>
            </w:r>
            <w:r>
              <w:rPr>
                <w:sz w:val="21"/>
              </w:rPr>
              <mc:AlternateContent>
                <mc:Choice Requires="wps">
                  <w:drawing>
                    <wp:anchor distT="0" distB="0" distL="114300" distR="114300" simplePos="0" relativeHeight="251667456" behindDoc="0" locked="0" layoutInCell="1" allowOverlap="1">
                      <wp:simplePos x="0" y="0"/>
                      <wp:positionH relativeFrom="column">
                        <wp:posOffset>3223260</wp:posOffset>
                      </wp:positionH>
                      <wp:positionV relativeFrom="paragraph">
                        <wp:posOffset>2156460</wp:posOffset>
                      </wp:positionV>
                      <wp:extent cx="2580640" cy="302895"/>
                      <wp:effectExtent l="0" t="0" r="10160" b="1905"/>
                      <wp:wrapNone/>
                      <wp:docPr id="66" name="文本框 66"/>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图6：美国炼厂产能利用率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8pt;margin-top:169.8pt;height:23.85pt;width:203.2pt;z-index:251667456;mso-width-relative:page;mso-height-relative:page;" fillcolor="#FFFFFF [3201]" filled="t" stroked="f" coordsize="21600,21600" o:gfxdata="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WE1gAAAAsBAAAPAAAA&#10;AAAAAAEAIAAAACIAAABkcnMvZG93bnJldi54bWxQSwECFAAUAAAACACHTuJAHO/hlFACAACRBAAA&#10;DgAAAAAAAAABACAAAAAlAQAAZHJzL2Uyb0RvYy54bWxQSwUGAAAAAAYABgBZAQAA5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图6：美国炼厂产能利用率</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287020</wp:posOffset>
                      </wp:positionH>
                      <wp:positionV relativeFrom="paragraph">
                        <wp:posOffset>2142490</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1079500" y="9404985"/>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图5：EIA美国商业原油库存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pt;margin-top:168.7pt;height:23.85pt;width:203.2pt;z-index:251666432;mso-width-relative:page;mso-height-relative:page;" fillcolor="#FFFFFF [3201]" filled="t" stroked="f" coordsize="21600,21600" o:gfxdata="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Vy&#10;kv/WAAAACgEAAA8AAAAAAAAAAQAgAAAAIgAAAGRycy9kb3ducmV2LnhtbFBLAQIUABQAAAAIAIdO&#10;4kAwO/XXXgIAAJ0EAAAOAAAAAAAAAAEAIAAAACUBAABkcnMvZTJvRG9jLnhtbFBLBQYAAAAABgAG&#10;AFkBAAD1BQ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图5：EIA美国商业原油库存</w:t>
                            </w:r>
                          </w:p>
                        </w:txbxContent>
                      </v:textbox>
                    </v:shape>
                  </w:pict>
                </mc:Fallback>
              </mc:AlternateContent>
            </w:r>
            <w:r>
              <w:rPr>
                <w:rFonts w:hint="eastAsia" w:eastAsia="宋体"/>
                <w:sz w:val="21"/>
                <w:lang w:val="en-US" w:eastAsia="zh-CN"/>
              </w:rPr>
              <w:t xml:space="preserve"> </w:t>
            </w:r>
            <w:r>
              <w:rPr>
                <w:rFonts w:ascii="宋体" w:hAnsi="宋体" w:eastAsia="宋体"/>
              </w:rPr>
              <w:drawing>
                <wp:inline distT="0" distB="0" distL="0" distR="0">
                  <wp:extent cx="2482215" cy="1928495"/>
                  <wp:effectExtent l="0" t="0" r="13335" b="146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82215" cy="1928495"/>
                          </a:xfrm>
                          <a:prstGeom prst="rect">
                            <a:avLst/>
                          </a:prstGeom>
                          <a:noFill/>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rPr>
                <w:rFonts w:hint="default" w:eastAsia="宋体"/>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03" w:line="256" w:lineRule="auto"/>
                                    <w:ind w:right="743"/>
                                    <w:jc w:val="center"/>
                                    <w:rPr>
                                      <w:rFonts w:hint="eastAsia" w:ascii="微软雅黑" w:hAnsi="微软雅黑" w:eastAsia="微软雅黑" w:cs="微软雅黑"/>
                                      <w:spacing w:val="12"/>
                                      <w:sz w:val="24"/>
                                      <w:szCs w:val="24"/>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图8：ICE</w:t>
                                  </w:r>
                                  <w:r>
                                    <w:rPr>
                                      <w:rFonts w:hint="eastAsia" w:ascii="微软雅黑" w:hAnsi="微软雅黑" w:eastAsia="微软雅黑" w:cs="微软雅黑"/>
                                      <w:snapToGrid w:val="0"/>
                                      <w:color w:val="000000"/>
                                      <w:spacing w:val="25"/>
                                      <w:kern w:val="0"/>
                                      <w:sz w:val="19"/>
                                      <w:szCs w:val="19"/>
                                      <w:lang w:val="zh-CN" w:eastAsia="zh-CN" w:bidi="ar-SA"/>
                                    </w:rPr>
                                    <w:t>原糖期货主力</w:t>
                                  </w:r>
                                  <w:r>
                                    <w:rPr>
                                      <w:rFonts w:hint="eastAsia" w:ascii="微软雅黑" w:hAnsi="微软雅黑" w:eastAsia="微软雅黑" w:cs="微软雅黑"/>
                                      <w:snapToGrid w:val="0"/>
                                      <w:color w:val="000000"/>
                                      <w:spacing w:val="25"/>
                                      <w:kern w:val="0"/>
                                      <w:sz w:val="19"/>
                                      <w:szCs w:val="19"/>
                                      <w:lang w:val="en-US" w:eastAsia="zh-CN" w:bidi="ar-SA"/>
                                    </w:rPr>
                                    <w:t>合约</w:t>
                                  </w:r>
                                  <w:r>
                                    <w:rPr>
                                      <w:rFonts w:hint="eastAsia" w:ascii="微软雅黑" w:hAnsi="微软雅黑" w:eastAsia="微软雅黑" w:cs="微软雅黑"/>
                                      <w:snapToGrid w:val="0"/>
                                      <w:color w:val="000000"/>
                                      <w:spacing w:val="25"/>
                                      <w:kern w:val="0"/>
                                      <w:sz w:val="19"/>
                                      <w:szCs w:val="19"/>
                                      <w:lang w:val="zh-CN" w:eastAsia="zh-CN" w:bidi="ar-SA"/>
                                    </w:rPr>
                                    <w:t>走势</w:t>
                                  </w:r>
                                  <w:r>
                                    <w:rPr>
                                      <w:rFonts w:hint="eastAsia" w:ascii="微软雅黑" w:hAnsi="微软雅黑" w:eastAsia="微软雅黑" w:cs="微软雅黑"/>
                                      <w:snapToGrid w:val="0"/>
                                      <w:color w:val="000000"/>
                                      <w:spacing w:val="25"/>
                                      <w:kern w:val="0"/>
                                      <w:sz w:val="19"/>
                                      <w:szCs w:val="19"/>
                                      <w:lang w:val="en-US" w:eastAsia="zh-CN" w:bidi="ar-SA"/>
                                    </w:rPr>
                                    <w:t>图</w:t>
                                  </w:r>
                                  <w:r>
                                    <w:rPr>
                                      <w:rFonts w:hint="eastAsia" w:ascii="微软雅黑" w:hAnsi="微软雅黑" w:eastAsia="微软雅黑" w:cs="微软雅黑"/>
                                      <w:spacing w:val="7"/>
                                      <w:sz w:val="21"/>
                                      <w:szCs w:val="21"/>
                                      <w:lang w:val="zh-CN" w:eastAsia="zh-CN"/>
                                    </w:rPr>
                                    <w:t>图</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75pt;margin-top:166.1pt;height:33.4pt;width:223.45pt;z-index:251669504;mso-width-relative:page;mso-height-relative:page;" fillcolor="#FFFFFF [3201]" filled="t" stroked="f" coordsize="21600,21600" o:gfxdata="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vTj5dcAAAALAQAA&#10;DwAAAAAAAAABACAAAAAiAAAAZHJzL2Rvd25yZXYueG1sUEsBAhQAFAAAAAgAh07iQHVVI95TAgAA&#10;kQQAAA4AAAAAAAAAAQAgAAAAJgEAAGRycy9lMm9Eb2MueG1sUEsFBgAAAAAGAAYAWQEAAOsFAAAA&#10;AA==&#10;">
                      <v:fill on="t" focussize="0,0"/>
                      <v:stroke on="f" weight="0.5pt"/>
                      <v:imagedata o:title=""/>
                      <o:lock v:ext="edit" aspectratio="f"/>
                      <v:textbox>
                        <w:txbxContent>
                          <w:p>
                            <w:pPr>
                              <w:spacing w:before="103" w:line="256" w:lineRule="auto"/>
                              <w:ind w:right="743"/>
                              <w:jc w:val="center"/>
                              <w:rPr>
                                <w:rFonts w:hint="eastAsia" w:ascii="微软雅黑" w:hAnsi="微软雅黑" w:eastAsia="微软雅黑" w:cs="微软雅黑"/>
                                <w:spacing w:val="12"/>
                                <w:sz w:val="24"/>
                                <w:szCs w:val="24"/>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图8：ICE</w:t>
                            </w:r>
                            <w:r>
                              <w:rPr>
                                <w:rFonts w:hint="eastAsia" w:ascii="微软雅黑" w:hAnsi="微软雅黑" w:eastAsia="微软雅黑" w:cs="微软雅黑"/>
                                <w:snapToGrid w:val="0"/>
                                <w:color w:val="000000"/>
                                <w:spacing w:val="25"/>
                                <w:kern w:val="0"/>
                                <w:sz w:val="19"/>
                                <w:szCs w:val="19"/>
                                <w:lang w:val="zh-CN" w:eastAsia="zh-CN" w:bidi="ar-SA"/>
                              </w:rPr>
                              <w:t>原糖期货主力</w:t>
                            </w:r>
                            <w:r>
                              <w:rPr>
                                <w:rFonts w:hint="eastAsia" w:ascii="微软雅黑" w:hAnsi="微软雅黑" w:eastAsia="微软雅黑" w:cs="微软雅黑"/>
                                <w:snapToGrid w:val="0"/>
                                <w:color w:val="000000"/>
                                <w:spacing w:val="25"/>
                                <w:kern w:val="0"/>
                                <w:sz w:val="19"/>
                                <w:szCs w:val="19"/>
                                <w:lang w:val="en-US" w:eastAsia="zh-CN" w:bidi="ar-SA"/>
                              </w:rPr>
                              <w:t>合约</w:t>
                            </w:r>
                            <w:r>
                              <w:rPr>
                                <w:rFonts w:hint="eastAsia" w:ascii="微软雅黑" w:hAnsi="微软雅黑" w:eastAsia="微软雅黑" w:cs="微软雅黑"/>
                                <w:snapToGrid w:val="0"/>
                                <w:color w:val="000000"/>
                                <w:spacing w:val="25"/>
                                <w:kern w:val="0"/>
                                <w:sz w:val="19"/>
                                <w:szCs w:val="19"/>
                                <w:lang w:val="zh-CN" w:eastAsia="zh-CN" w:bidi="ar-SA"/>
                              </w:rPr>
                              <w:t>走势</w:t>
                            </w:r>
                            <w:r>
                              <w:rPr>
                                <w:rFonts w:hint="eastAsia" w:ascii="微软雅黑" w:hAnsi="微软雅黑" w:eastAsia="微软雅黑" w:cs="微软雅黑"/>
                                <w:snapToGrid w:val="0"/>
                                <w:color w:val="000000"/>
                                <w:spacing w:val="25"/>
                                <w:kern w:val="0"/>
                                <w:sz w:val="19"/>
                                <w:szCs w:val="19"/>
                                <w:lang w:val="en-US" w:eastAsia="zh-CN" w:bidi="ar-SA"/>
                              </w:rPr>
                              <w:t>图</w:t>
                            </w:r>
                            <w:r>
                              <w:rPr>
                                <w:rFonts w:hint="eastAsia" w:ascii="微软雅黑" w:hAnsi="微软雅黑" w:eastAsia="微软雅黑" w:cs="微软雅黑"/>
                                <w:spacing w:val="7"/>
                                <w:sz w:val="21"/>
                                <w:szCs w:val="21"/>
                                <w:lang w:val="zh-CN" w:eastAsia="zh-CN"/>
                              </w:rPr>
                              <w:t>图</w:t>
                            </w:r>
                          </w:p>
                          <w:p>
                            <w:pPr>
                              <w:jc w:val="center"/>
                              <w:rPr>
                                <w:rFonts w:hint="default" w:eastAsia="宋体"/>
                                <w:lang w:val="en-US" w:eastAsia="zh-CN"/>
                              </w:rPr>
                            </w:pP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图7：ICE棉花</w:t>
                                  </w:r>
                                  <w:r>
                                    <w:rPr>
                                      <w:rFonts w:hint="eastAsia" w:ascii="微软雅黑" w:hAnsi="微软雅黑" w:eastAsia="微软雅黑" w:cs="微软雅黑"/>
                                      <w:snapToGrid w:val="0"/>
                                      <w:color w:val="000000"/>
                                      <w:spacing w:val="25"/>
                                      <w:kern w:val="0"/>
                                      <w:sz w:val="19"/>
                                      <w:szCs w:val="19"/>
                                      <w:lang w:val="zh-CN" w:eastAsia="zh-CN" w:bidi="ar-SA"/>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172.3pt;height:23.7pt;width:203.15pt;z-index:251668480;mso-width-relative:page;mso-height-relative:page;" fillcolor="#FFFFFF [3201]" filled="t" stroked="f" coordsize="21600,21600" o:gfxdata="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bVxP&#10;1QAAAAoBAAAPAAAAAAAAAAEAIAAAACIAAABkcnMvZG93bnJldi54bWxQSwECFAAUAAAACACHTuJA&#10;NF5u3F0CAACcBAAADgAAAAAAAAABACAAAAAkAQAAZHJzL2Uyb0RvYy54bWxQSwUGAAAAAAYABgBZ&#10;AQAA8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图7：ICE棉花</w:t>
                            </w:r>
                            <w:r>
                              <w:rPr>
                                <w:rFonts w:hint="eastAsia" w:ascii="微软雅黑" w:hAnsi="微软雅黑" w:eastAsia="微软雅黑" w:cs="微软雅黑"/>
                                <w:snapToGrid w:val="0"/>
                                <w:color w:val="000000"/>
                                <w:spacing w:val="25"/>
                                <w:kern w:val="0"/>
                                <w:sz w:val="19"/>
                                <w:szCs w:val="19"/>
                                <w:lang w:val="zh-CN" w:eastAsia="zh-CN" w:bidi="ar-SA"/>
                              </w:rPr>
                              <w:t>期货主力合约日走势图</w:t>
                            </w:r>
                          </w:p>
                        </w:txbxContent>
                      </v:textbox>
                    </v:shape>
                  </w:pict>
                </mc:Fallback>
              </mc:AlternateContent>
            </w:r>
            <w:r>
              <w:rPr>
                <w:rFonts w:hint="eastAsia" w:eastAsia="宋体"/>
                <w:lang w:val="en-US" w:eastAsia="zh-CN"/>
              </w:rPr>
              <w:t xml:space="preserve">  </w:t>
            </w:r>
            <w:r>
              <w:rPr>
                <w:rFonts w:hint="eastAsia"/>
                <w:lang w:val="en-US" w:eastAsia="zh-CN"/>
              </w:rPr>
              <w:drawing>
                <wp:inline distT="0" distB="0" distL="114300" distR="114300">
                  <wp:extent cx="2818765" cy="1771650"/>
                  <wp:effectExtent l="0" t="0" r="635" b="0"/>
                  <wp:docPr id="17" name="图片 17" descr="QQ截图2024042908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240429080902"/>
                          <pic:cNvPicPr>
                            <a:picLocks noChangeAspect="1"/>
                          </pic:cNvPicPr>
                        </pic:nvPicPr>
                        <pic:blipFill>
                          <a:blip r:embed="rId22"/>
                          <a:stretch>
                            <a:fillRect/>
                          </a:stretch>
                        </pic:blipFill>
                        <pic:spPr>
                          <a:xfrm>
                            <a:off x="0" y="0"/>
                            <a:ext cx="2818765" cy="177165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878455" cy="1750060"/>
                  <wp:effectExtent l="0" t="0" r="17145" b="2540"/>
                  <wp:docPr id="5" name="图片 5" descr="QQ截图2024041913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240419134720"/>
                          <pic:cNvPicPr>
                            <a:picLocks noChangeAspect="1"/>
                          </pic:cNvPicPr>
                        </pic:nvPicPr>
                        <pic:blipFill>
                          <a:blip r:embed="rId23"/>
                          <a:stretch>
                            <a:fillRect/>
                          </a:stretch>
                        </pic:blipFill>
                        <pic:spPr>
                          <a:xfrm>
                            <a:off x="0" y="0"/>
                            <a:ext cx="2878455" cy="1750060"/>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w:t>
                                  </w:r>
                                  <w:r>
                                    <w:rPr>
                                      <w:rFonts w:hint="eastAsia" w:eastAsia="宋体"/>
                                      <w:lang w:val="en-US" w:eastAsia="zh-CN"/>
                                    </w:rPr>
                                    <w:t>9</w:t>
                                  </w:r>
                                  <w:r>
                                    <w:rPr>
                                      <w:rFonts w:hint="eastAsia" w:ascii="微软雅黑" w:hAnsi="微软雅黑" w:eastAsia="微软雅黑" w:cs="微软雅黑"/>
                                      <w:snapToGrid w:val="0"/>
                                      <w:color w:val="000000"/>
                                      <w:spacing w:val="25"/>
                                      <w:kern w:val="0"/>
                                      <w:sz w:val="19"/>
                                      <w:szCs w:val="19"/>
                                      <w:lang w:val="en-US" w:eastAsia="zh-CN" w:bidi="ar-SA"/>
                                    </w:rPr>
                                    <w:t>：钢厂进口铁矿石库存量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5pt;margin-top:168.7pt;height:24.35pt;width:208pt;z-index:251670528;mso-width-relative:page;mso-height-relative:page;" fillcolor="#FFFFFF [3201]" filled="t" stroked="f" coordsize="21600,21600" o:gfxdata="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4CpjdUA&#10;AAAKAQAADwAAAAAAAAABACAAAAAiAAAAZHJzL2Rvd25yZXYueG1sUEsBAhQAFAAAAAgAh07iQNtt&#10;W0ZbAgAAnAQAAA4AAAAAAAAAAQAgAAAAJAEAAGRycy9lMm9Eb2MueG1sUEsFBgAAAAAGAAYAWQEA&#10;APE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w:t>
                            </w:r>
                            <w:r>
                              <w:rPr>
                                <w:rFonts w:hint="eastAsia" w:eastAsia="宋体"/>
                                <w:lang w:val="en-US" w:eastAsia="zh-CN"/>
                              </w:rPr>
                              <w:t>9</w:t>
                            </w:r>
                            <w:r>
                              <w:rPr>
                                <w:rFonts w:hint="eastAsia" w:ascii="微软雅黑" w:hAnsi="微软雅黑" w:eastAsia="微软雅黑" w:cs="微软雅黑"/>
                                <w:snapToGrid w:val="0"/>
                                <w:color w:val="000000"/>
                                <w:spacing w:val="25"/>
                                <w:kern w:val="0"/>
                                <w:sz w:val="19"/>
                                <w:szCs w:val="19"/>
                                <w:lang w:val="en-US" w:eastAsia="zh-CN" w:bidi="ar-SA"/>
                              </w:rPr>
                              <w:t>：钢厂进口铁矿石库存量</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图10：大豆走势图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15pt;margin-top:167.95pt;height:24.35pt;width:208pt;z-index:251671552;mso-width-relative:page;mso-height-relative:page;" fillcolor="#FFFFFF [3201]" filled="t" stroked="f" coordsize="21600,21600" o:gfxdata="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Nn6eNYAAAALAQAADwAA&#10;AAAAAAABACAAAAAiAAAAZHJzL2Rvd25yZXYueG1sUEsBAhQAFAAAAAgAh07iQGH1hZBRAgAAkQQA&#10;AA4AAAAAAAAAAQAgAAAAJQEAAGRycy9lMm9Eb2MueG1sUEsFBgAAAAAGAAYAWQEAAOg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图10：大豆走势图</w:t>
                            </w:r>
                          </w:p>
                        </w:txbxContent>
                      </v:textbox>
                    </v:shape>
                  </w:pict>
                </mc:Fallback>
              </mc:AlternateContent>
            </w:r>
            <w:r>
              <w:rPr>
                <w:rFonts w:hint="eastAsia" w:eastAsia="宋体"/>
                <w:lang w:val="en-US" w:eastAsia="zh-CN"/>
              </w:rPr>
              <w:t xml:space="preserve">  </w:t>
            </w:r>
            <w:r>
              <w:rPr>
                <w:bdr w:val="single" w:color="auto" w:sz="4" w:space="0"/>
              </w:rPr>
              <w:drawing>
                <wp:inline distT="0" distB="0" distL="0" distR="0">
                  <wp:extent cx="2896870" cy="1761490"/>
                  <wp:effectExtent l="0" t="0" r="17780" b="101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2896870" cy="1761490"/>
                          </a:xfrm>
                          <a:prstGeom prst="rect">
                            <a:avLst/>
                          </a:prstGeom>
                        </pic:spPr>
                      </pic:pic>
                    </a:graphicData>
                  </a:graphic>
                </wp:inline>
              </w:drawing>
            </w:r>
            <w:r>
              <w:rPr>
                <w:rFonts w:hint="eastAsia" w:eastAsia="宋体"/>
                <w:lang w:val="en-US" w:eastAsia="zh-CN"/>
              </w:rPr>
              <w:t xml:space="preserve"> </w:t>
            </w:r>
            <w:r>
              <w:rPr>
                <w:rFonts w:hint="eastAsia" w:eastAsia="宋体"/>
                <w:lang w:val="en-US" w:eastAsia="zh-CN"/>
              </w:rPr>
              <w:drawing>
                <wp:inline distT="0" distB="0" distL="114300" distR="114300">
                  <wp:extent cx="2678430" cy="1755775"/>
                  <wp:effectExtent l="0" t="0" r="7620" b="15875"/>
                  <wp:docPr id="35" name="图片 35" descr="73481977f18d2ce9a1d92a7538e3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3481977f18d2ce9a1d92a7538e30cc"/>
                          <pic:cNvPicPr>
                            <a:picLocks noChangeAspect="1"/>
                          </pic:cNvPicPr>
                        </pic:nvPicPr>
                        <pic:blipFill>
                          <a:blip r:embed="rId25"/>
                          <a:stretch>
                            <a:fillRect/>
                          </a:stretch>
                        </pic:blipFill>
                        <pic:spPr>
                          <a:xfrm>
                            <a:off x="0" y="0"/>
                            <a:ext cx="2678430" cy="1755775"/>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val="en-US" w:eastAsia="zh-CN"/>
              </w:rPr>
            </w:pPr>
            <w:r>
              <w:rPr>
                <w:sz w:val="20"/>
              </w:rPr>
              <mc:AlternateContent>
                <mc:Choice Requires="wps">
                  <w:drawing>
                    <wp:anchor distT="0" distB="0" distL="114300" distR="114300" simplePos="0" relativeHeight="251673600" behindDoc="0" locked="0" layoutInCell="1" allowOverlap="1">
                      <wp:simplePos x="0" y="0"/>
                      <wp:positionH relativeFrom="column">
                        <wp:posOffset>3235960</wp:posOffset>
                      </wp:positionH>
                      <wp:positionV relativeFrom="paragraph">
                        <wp:posOffset>2120900</wp:posOffset>
                      </wp:positionV>
                      <wp:extent cx="2190750" cy="318770"/>
                      <wp:effectExtent l="0" t="0" r="0" b="5080"/>
                      <wp:wrapNone/>
                      <wp:docPr id="44" name="文本框 44"/>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图12：白银净多头持仓持续上升</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8pt;margin-top:167pt;height:25.1pt;width:172.5pt;z-index:251673600;mso-width-relative:page;mso-height-relative:page;" fillcolor="#FFFFFF [3201]" filled="t" stroked="f" coordsize="21600,21600" o:gfxdata="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VaggtUAAAALAQAADwAA&#10;AAAAAAABACAAAAAiAAAAZHJzL2Rvd25yZXYueG1sUEsBAhQAFAAAAAgAh07iQIJNdhJSAgAAkQQA&#10;AA4AAAAAAAAAAQAgAAAAJAEAAGRycy9lMm9Eb2MueG1sUEsFBgAAAAAGAAYAWQEAAOg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图12：白银净多头持仓持续上升</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v:textbox>
                    </v:shape>
                  </w:pict>
                </mc:Fallback>
              </mc:AlternateContent>
            </w:r>
            <w:r>
              <w:rPr>
                <w:sz w:val="20"/>
              </w:rPr>
              <mc:AlternateContent>
                <mc:Choice Requires="wps">
                  <w:drawing>
                    <wp:anchor distT="0" distB="0" distL="114300" distR="114300" simplePos="0" relativeHeight="251672576" behindDoc="0" locked="0" layoutInCell="1" allowOverlap="1">
                      <wp:simplePos x="0" y="0"/>
                      <wp:positionH relativeFrom="column">
                        <wp:posOffset>138430</wp:posOffset>
                      </wp:positionH>
                      <wp:positionV relativeFrom="paragraph">
                        <wp:posOffset>2157095</wp:posOffset>
                      </wp:positionV>
                      <wp:extent cx="2190750" cy="337185"/>
                      <wp:effectExtent l="0" t="0" r="0" b="5715"/>
                      <wp:wrapNone/>
                      <wp:docPr id="25" name="文本框 25"/>
                      <wp:cNvGraphicFramePr/>
                      <a:graphic xmlns:a="http://schemas.openxmlformats.org/drawingml/2006/main">
                        <a:graphicData uri="http://schemas.microsoft.com/office/word/2010/wordprocessingShape">
                          <wps:wsp>
                            <wps:cNvSpPr txBox="1"/>
                            <wps:spPr>
                              <a:xfrm>
                                <a:off x="0" y="0"/>
                                <a:ext cx="2190750" cy="3371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图11：美德10年期国债利差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pt;margin-top:169.85pt;height:26.55pt;width:172.5pt;z-index:251672576;mso-width-relative:page;mso-height-relative:page;" fillcolor="#FFFFFF [3201]" filled="t" stroked="f" coordsize="21600,21600" o:gfxdata="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j58PvWAAAACgEAAA8A&#10;AAAAAAAAAQAgAAAAIgAAAGRycy9kb3ducmV2LnhtbFBLAQIUABQAAAAIAIdO4kBAp/fpUgIAAJEE&#10;AAAOAAAAAAAAAAEAIAAAACUBAABkcnMvZTJvRG9jLnhtbFBLBQYAAAAABgAGAFkBAADpBQ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图11：美德10年期国债利差</w:t>
                            </w:r>
                          </w:p>
                        </w:txbxContent>
                      </v:textbox>
                    </v:shape>
                  </w:pict>
                </mc:Fallback>
              </mc:AlternateContent>
            </w:r>
            <w:r>
              <w:rPr>
                <w:rFonts w:hint="eastAsia" w:eastAsia="宋体"/>
                <w:sz w:val="20"/>
                <w:lang w:val="en-US" w:eastAsia="zh-CN"/>
              </w:rPr>
              <w:t xml:space="preserve">  </w:t>
            </w:r>
            <w:r>
              <w:drawing>
                <wp:inline distT="0" distB="0" distL="114300" distR="114300">
                  <wp:extent cx="2799715" cy="1720850"/>
                  <wp:effectExtent l="0" t="0" r="635" b="1270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6"/>
                          <a:stretch>
                            <a:fillRect/>
                          </a:stretch>
                        </pic:blipFill>
                        <pic:spPr>
                          <a:xfrm>
                            <a:off x="0" y="0"/>
                            <a:ext cx="2799715" cy="1720850"/>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2838450" cy="1714500"/>
                  <wp:effectExtent l="0" t="0" r="0" b="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7"/>
                          <a:stretch>
                            <a:fillRect/>
                          </a:stretch>
                        </pic:blipFill>
                        <pic:spPr>
                          <a:xfrm>
                            <a:off x="0" y="0"/>
                            <a:ext cx="2838450" cy="1714500"/>
                          </a:xfrm>
                          <a:prstGeom prst="rect">
                            <a:avLst/>
                          </a:prstGeom>
                          <a:noFill/>
                          <a:ln>
                            <a:noFill/>
                          </a:ln>
                        </pic:spPr>
                      </pic:pic>
                    </a:graphicData>
                  </a:graphic>
                </wp:inline>
              </w:drawing>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8"/>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hint="eastAsia" w:ascii="微软雅黑" w:hAnsi="微软雅黑" w:eastAsia="微软雅黑" w:cs="微软雅黑"/>
          <w:b/>
          <w:bCs/>
          <w:color w:val="036EB8"/>
          <w:spacing w:val="19"/>
          <w:sz w:val="28"/>
          <w:szCs w:val="28"/>
          <w:lang w:val="en-US" w:eastAsia="zh-CN"/>
        </w:rPr>
        <w:t>本</w:t>
      </w:r>
      <w:r>
        <w:rPr>
          <w:rFonts w:hint="eastAsia" w:ascii="微软雅黑" w:hAnsi="微软雅黑" w:eastAsia="微软雅黑" w:cs="微软雅黑"/>
          <w:b/>
          <w:bCs/>
          <w:color w:val="036EB8"/>
          <w:spacing w:val="10"/>
          <w:sz w:val="28"/>
          <w:szCs w:val="28"/>
          <w:lang w:val="en-US" w:eastAsia="zh-CN"/>
        </w:rPr>
        <w:t>周热点日程</w:t>
      </w:r>
    </w:p>
    <w:p>
      <w:pPr>
        <w:spacing w:before="84"/>
      </w:pPr>
    </w:p>
    <w:tbl>
      <w:tblPr>
        <w:tblStyle w:val="10"/>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478"/>
        <w:gridCol w:w="634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3045" w:type="dxa"/>
            <w:gridSpan w:val="2"/>
            <w:shd w:val="clear" w:color="auto" w:fill="3D85C1"/>
            <w:vAlign w:val="top"/>
          </w:tcPr>
          <w:p>
            <w:pPr>
              <w:pStyle w:val="9"/>
              <w:spacing w:before="221" w:line="182" w:lineRule="auto"/>
              <w:ind w:left="1142"/>
              <w:rPr>
                <w:sz w:val="19"/>
                <w:szCs w:val="19"/>
              </w:rPr>
            </w:pPr>
            <w:r>
              <w:rPr>
                <w:b/>
                <w:bCs/>
                <w:color w:val="FFFFFF"/>
                <w:spacing w:val="4"/>
                <w:sz w:val="19"/>
                <w:szCs w:val="19"/>
              </w:rPr>
              <w:t>时间</w:t>
            </w:r>
          </w:p>
        </w:tc>
        <w:tc>
          <w:tcPr>
            <w:tcW w:w="6344" w:type="dxa"/>
            <w:shd w:val="clear" w:color="auto" w:fill="3D85C1"/>
            <w:vAlign w:val="top"/>
          </w:tcPr>
          <w:p>
            <w:pPr>
              <w:pStyle w:val="9"/>
              <w:spacing w:before="221" w:line="195" w:lineRule="auto"/>
              <w:jc w:val="center"/>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9"/>
              <w:spacing w:before="228"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29</w:t>
            </w:r>
          </w:p>
        </w:tc>
        <w:tc>
          <w:tcPr>
            <w:tcW w:w="1478" w:type="dxa"/>
            <w:vAlign w:val="top"/>
          </w:tcPr>
          <w:p>
            <w:pPr>
              <w:pStyle w:val="9"/>
              <w:spacing w:before="243" w:line="172" w:lineRule="auto"/>
              <w:ind w:left="94"/>
              <w:rPr>
                <w:rFonts w:hint="default" w:eastAsia="微软雅黑"/>
                <w:sz w:val="19"/>
                <w:szCs w:val="19"/>
                <w:lang w:val="en-US" w:eastAsia="zh-CN"/>
              </w:rPr>
            </w:pPr>
            <w:r>
              <w:rPr>
                <w:rFonts w:hint="eastAsia"/>
                <w:b/>
                <w:bCs/>
                <w:spacing w:val="6"/>
                <w:sz w:val="19"/>
                <w:szCs w:val="19"/>
                <w:lang w:val="en-US" w:eastAsia="zh-CN"/>
              </w:rPr>
              <w:t>17</w:t>
            </w:r>
            <w:r>
              <w:rPr>
                <w:b/>
                <w:bCs/>
                <w:spacing w:val="6"/>
                <w:sz w:val="19"/>
                <w:szCs w:val="19"/>
              </w:rPr>
              <w:t>:</w:t>
            </w:r>
            <w:r>
              <w:rPr>
                <w:rFonts w:hint="eastAsia"/>
                <w:b/>
                <w:bCs/>
                <w:spacing w:val="6"/>
                <w:sz w:val="19"/>
                <w:szCs w:val="19"/>
                <w:lang w:val="en-US" w:eastAsia="zh-CN"/>
              </w:rPr>
              <w:t>00</w:t>
            </w:r>
          </w:p>
        </w:tc>
        <w:tc>
          <w:tcPr>
            <w:tcW w:w="6344" w:type="dxa"/>
            <w:vAlign w:val="top"/>
          </w:tcPr>
          <w:p>
            <w:pPr>
              <w:pStyle w:val="9"/>
              <w:spacing w:before="221" w:line="180" w:lineRule="auto"/>
              <w:jc w:val="center"/>
              <w:rPr>
                <w:rFonts w:hint="default" w:eastAsia="微软雅黑"/>
                <w:sz w:val="19"/>
                <w:szCs w:val="19"/>
                <w:lang w:val="en-US" w:eastAsia="zh-CN"/>
              </w:rPr>
            </w:pPr>
            <w:r>
              <w:rPr>
                <w:rFonts w:hint="eastAsia"/>
                <w:spacing w:val="25"/>
                <w:sz w:val="19"/>
                <w:szCs w:val="19"/>
                <w:lang w:val="en-US" w:eastAsia="zh-CN"/>
              </w:rPr>
              <w:t>欧元区4月经济景气指数、4月消费者信心指数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0"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29</w:t>
            </w:r>
          </w:p>
        </w:tc>
        <w:tc>
          <w:tcPr>
            <w:tcW w:w="1478" w:type="dxa"/>
            <w:shd w:val="clear" w:color="auto" w:fill="D3EAFF"/>
            <w:vAlign w:val="top"/>
          </w:tcPr>
          <w:p>
            <w:pPr>
              <w:pStyle w:val="9"/>
              <w:spacing w:before="245" w:line="172" w:lineRule="auto"/>
              <w:ind w:left="101"/>
              <w:rPr>
                <w:rFonts w:hint="default" w:eastAsia="微软雅黑"/>
                <w:sz w:val="19"/>
                <w:szCs w:val="19"/>
                <w:lang w:val="en-US" w:eastAsia="zh-CN"/>
              </w:rPr>
            </w:pPr>
            <w:r>
              <w:rPr>
                <w:rFonts w:hint="eastAsia"/>
                <w:b/>
                <w:bCs/>
                <w:spacing w:val="5"/>
                <w:sz w:val="19"/>
                <w:szCs w:val="19"/>
                <w:lang w:val="en-US" w:eastAsia="zh-CN"/>
              </w:rPr>
              <w:t>20</w:t>
            </w:r>
            <w:r>
              <w:rPr>
                <w:b/>
                <w:bCs/>
                <w:spacing w:val="5"/>
                <w:sz w:val="19"/>
                <w:szCs w:val="19"/>
              </w:rPr>
              <w:t>:</w:t>
            </w:r>
            <w:r>
              <w:rPr>
                <w:rFonts w:hint="eastAsia"/>
                <w:b/>
                <w:bCs/>
                <w:spacing w:val="5"/>
                <w:sz w:val="19"/>
                <w:szCs w:val="19"/>
                <w:lang w:val="en-US" w:eastAsia="zh-CN"/>
              </w:rPr>
              <w:t>00</w:t>
            </w:r>
          </w:p>
        </w:tc>
        <w:tc>
          <w:tcPr>
            <w:tcW w:w="6344" w:type="dxa"/>
            <w:shd w:val="clear" w:color="auto" w:fill="D3EAFF"/>
            <w:vAlign w:val="top"/>
          </w:tcPr>
          <w:p>
            <w:pPr>
              <w:pStyle w:val="9"/>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德国4月调和CPI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9"/>
              <w:spacing w:before="232"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478" w:type="dxa"/>
            <w:vAlign w:val="top"/>
          </w:tcPr>
          <w:p>
            <w:pPr>
              <w:pStyle w:val="9"/>
              <w:spacing w:before="246" w:line="172" w:lineRule="auto"/>
              <w:ind w:left="101" w:leftChars="0"/>
              <w:rPr>
                <w:rFonts w:hint="default" w:eastAsia="微软雅黑"/>
                <w:sz w:val="19"/>
                <w:szCs w:val="19"/>
                <w:lang w:val="en-US" w:eastAsia="zh-CN"/>
              </w:rPr>
            </w:pPr>
            <w:r>
              <w:rPr>
                <w:rFonts w:hint="eastAsia"/>
                <w:b/>
                <w:bCs/>
                <w:spacing w:val="5"/>
                <w:sz w:val="19"/>
                <w:szCs w:val="19"/>
                <w:lang w:val="en-US" w:eastAsia="zh-CN"/>
              </w:rPr>
              <w:t>07</w:t>
            </w:r>
            <w:r>
              <w:rPr>
                <w:b/>
                <w:bCs/>
                <w:spacing w:val="5"/>
                <w:sz w:val="19"/>
                <w:szCs w:val="19"/>
              </w:rPr>
              <w:t>:</w:t>
            </w:r>
            <w:r>
              <w:rPr>
                <w:rFonts w:hint="eastAsia"/>
                <w:b/>
                <w:bCs/>
                <w:spacing w:val="5"/>
                <w:sz w:val="19"/>
                <w:szCs w:val="19"/>
                <w:lang w:val="en-US" w:eastAsia="zh-CN"/>
              </w:rPr>
              <w:t>3</w:t>
            </w:r>
            <w:r>
              <w:rPr>
                <w:b/>
                <w:bCs/>
                <w:spacing w:val="5"/>
                <w:sz w:val="19"/>
                <w:szCs w:val="19"/>
              </w:rPr>
              <w:t>0</w:t>
            </w:r>
          </w:p>
        </w:tc>
        <w:tc>
          <w:tcPr>
            <w:tcW w:w="6344" w:type="dxa"/>
            <w:vAlign w:val="top"/>
          </w:tcPr>
          <w:p>
            <w:pPr>
              <w:pStyle w:val="9"/>
              <w:spacing w:before="221" w:line="180" w:lineRule="auto"/>
              <w:jc w:val="center"/>
              <w:rPr>
                <w:rFonts w:hint="default"/>
                <w:spacing w:val="25"/>
                <w:sz w:val="19"/>
                <w:szCs w:val="19"/>
                <w:lang w:val="en-US" w:eastAsia="zh-CN"/>
              </w:rPr>
            </w:pPr>
            <w:r>
              <w:rPr>
                <w:rFonts w:hint="default"/>
                <w:spacing w:val="25"/>
                <w:sz w:val="19"/>
                <w:szCs w:val="19"/>
                <w:lang w:val="en-US" w:eastAsia="zh-CN"/>
              </w:rPr>
              <w:t>日本3月失业率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4"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478" w:type="dxa"/>
            <w:shd w:val="clear" w:color="auto" w:fill="D3EAFF"/>
            <w:vAlign w:val="top"/>
          </w:tcPr>
          <w:p>
            <w:pPr>
              <w:pStyle w:val="9"/>
              <w:spacing w:before="248" w:line="172" w:lineRule="auto"/>
              <w:ind w:left="92" w:leftChars="0"/>
              <w:rPr>
                <w:sz w:val="19"/>
                <w:szCs w:val="19"/>
              </w:rPr>
            </w:pPr>
            <w:r>
              <w:rPr>
                <w:rFonts w:hint="eastAsia"/>
                <w:b/>
                <w:bCs/>
                <w:spacing w:val="3"/>
                <w:sz w:val="19"/>
                <w:szCs w:val="19"/>
                <w:lang w:val="en-US" w:eastAsia="zh-CN"/>
              </w:rPr>
              <w:t>07：50</w:t>
            </w:r>
          </w:p>
        </w:tc>
        <w:tc>
          <w:tcPr>
            <w:tcW w:w="6344" w:type="dxa"/>
            <w:shd w:val="clear" w:color="auto" w:fill="D3EAFF"/>
            <w:vAlign w:val="top"/>
          </w:tcPr>
          <w:p>
            <w:pPr>
              <w:pStyle w:val="9"/>
              <w:spacing w:before="221" w:line="180" w:lineRule="auto"/>
              <w:jc w:val="center"/>
              <w:rPr>
                <w:rFonts w:hint="default"/>
                <w:spacing w:val="25"/>
                <w:sz w:val="19"/>
                <w:szCs w:val="19"/>
                <w:lang w:val="en-US" w:eastAsia="zh-CN"/>
              </w:rPr>
            </w:pPr>
            <w:r>
              <w:rPr>
                <w:rFonts w:hint="default"/>
                <w:spacing w:val="25"/>
                <w:sz w:val="19"/>
                <w:szCs w:val="19"/>
                <w:lang w:val="en-US" w:eastAsia="zh-CN"/>
              </w:rPr>
              <w:t>日本3月工业产出</w:t>
            </w:r>
            <w:r>
              <w:rPr>
                <w:rFonts w:hint="eastAsia"/>
                <w:spacing w:val="25"/>
                <w:sz w:val="19"/>
                <w:szCs w:val="19"/>
                <w:lang w:val="en-US" w:eastAsia="zh-CN"/>
              </w:rPr>
              <w:t>、日本3月零售销售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9"/>
              <w:spacing w:before="232"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478" w:type="dxa"/>
            <w:vAlign w:val="top"/>
          </w:tcPr>
          <w:p>
            <w:pPr>
              <w:pStyle w:val="9"/>
              <w:spacing w:before="246" w:line="172" w:lineRule="auto"/>
              <w:ind w:left="101" w:leftChars="0"/>
              <w:rPr>
                <w:sz w:val="19"/>
                <w:szCs w:val="19"/>
              </w:rPr>
            </w:pPr>
            <w:r>
              <w:rPr>
                <w:rFonts w:hint="eastAsia"/>
                <w:b/>
                <w:bCs/>
                <w:spacing w:val="5"/>
                <w:sz w:val="19"/>
                <w:szCs w:val="19"/>
                <w:lang w:val="en-US" w:eastAsia="zh-CN"/>
              </w:rPr>
              <w:t>09：30</w:t>
            </w:r>
          </w:p>
        </w:tc>
        <w:tc>
          <w:tcPr>
            <w:tcW w:w="6344" w:type="dxa"/>
            <w:vAlign w:val="top"/>
          </w:tcPr>
          <w:p>
            <w:pPr>
              <w:pStyle w:val="9"/>
              <w:spacing w:before="221" w:line="180" w:lineRule="auto"/>
              <w:jc w:val="center"/>
              <w:rPr>
                <w:rFonts w:hint="default"/>
                <w:spacing w:val="25"/>
                <w:sz w:val="19"/>
                <w:szCs w:val="19"/>
                <w:lang w:val="en-US" w:eastAsia="zh-CN"/>
              </w:rPr>
            </w:pPr>
            <w:r>
              <w:rPr>
                <w:rFonts w:hint="default"/>
                <w:spacing w:val="25"/>
                <w:sz w:val="19"/>
                <w:szCs w:val="19"/>
                <w:lang w:val="en-US" w:eastAsia="zh-CN"/>
              </w:rPr>
              <w:t>澳大利亚3月零售销售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4"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478" w:type="dxa"/>
            <w:shd w:val="clear" w:color="auto" w:fill="D3EAFF"/>
            <w:vAlign w:val="top"/>
          </w:tcPr>
          <w:p>
            <w:pPr>
              <w:pStyle w:val="9"/>
              <w:spacing w:before="248" w:line="172" w:lineRule="auto"/>
              <w:ind w:left="92" w:leftChars="0"/>
              <w:rPr>
                <w:rFonts w:hint="default"/>
                <w:sz w:val="19"/>
                <w:szCs w:val="19"/>
                <w:lang w:val="en-US"/>
              </w:rPr>
            </w:pPr>
            <w:r>
              <w:rPr>
                <w:rFonts w:hint="eastAsia"/>
                <w:b/>
                <w:bCs/>
                <w:spacing w:val="3"/>
                <w:sz w:val="19"/>
                <w:szCs w:val="19"/>
                <w:lang w:val="en-US" w:eastAsia="zh-CN"/>
              </w:rPr>
              <w:t>09：30</w:t>
            </w:r>
          </w:p>
        </w:tc>
        <w:tc>
          <w:tcPr>
            <w:tcW w:w="6344" w:type="dxa"/>
            <w:shd w:val="clear" w:color="auto" w:fill="D3EAFF"/>
            <w:vAlign w:val="top"/>
          </w:tcPr>
          <w:p>
            <w:pPr>
              <w:pStyle w:val="9"/>
              <w:spacing w:before="221" w:line="180" w:lineRule="auto"/>
              <w:jc w:val="center"/>
              <w:rPr>
                <w:rFonts w:hint="default"/>
                <w:spacing w:val="25"/>
                <w:sz w:val="19"/>
                <w:szCs w:val="19"/>
                <w:lang w:val="en-US" w:eastAsia="zh-CN"/>
              </w:rPr>
            </w:pPr>
            <w:r>
              <w:rPr>
                <w:rFonts w:hint="default"/>
                <w:spacing w:val="25"/>
                <w:sz w:val="19"/>
                <w:szCs w:val="19"/>
                <w:lang w:val="en-US" w:eastAsia="zh-CN"/>
              </w:rPr>
              <w:t>中国4月官方非制造业PMI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9"/>
              <w:spacing w:before="234"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478" w:type="dxa"/>
            <w:vAlign w:val="top"/>
          </w:tcPr>
          <w:p>
            <w:pPr>
              <w:pStyle w:val="9"/>
              <w:spacing w:before="248" w:line="172" w:lineRule="auto"/>
              <w:ind w:left="92" w:leftChars="0"/>
              <w:rPr>
                <w:rFonts w:hint="default" w:eastAsia="微软雅黑"/>
                <w:sz w:val="19"/>
                <w:szCs w:val="19"/>
                <w:lang w:val="en-US" w:eastAsia="zh-CN"/>
              </w:rPr>
            </w:pPr>
            <w:r>
              <w:rPr>
                <w:rFonts w:hint="eastAsia"/>
                <w:b/>
                <w:bCs/>
                <w:spacing w:val="6"/>
                <w:sz w:val="19"/>
                <w:szCs w:val="19"/>
                <w:lang w:val="en-US" w:eastAsia="zh-CN"/>
              </w:rPr>
              <w:t>09</w:t>
            </w:r>
            <w:r>
              <w:rPr>
                <w:b/>
                <w:bCs/>
                <w:spacing w:val="6"/>
                <w:sz w:val="19"/>
                <w:szCs w:val="19"/>
              </w:rPr>
              <w:t>:</w:t>
            </w:r>
            <w:r>
              <w:rPr>
                <w:rFonts w:hint="eastAsia"/>
                <w:b/>
                <w:bCs/>
                <w:spacing w:val="6"/>
                <w:sz w:val="19"/>
                <w:szCs w:val="19"/>
                <w:lang w:val="en-US" w:eastAsia="zh-CN"/>
              </w:rPr>
              <w:t>45</w:t>
            </w:r>
          </w:p>
        </w:tc>
        <w:tc>
          <w:tcPr>
            <w:tcW w:w="6344" w:type="dxa"/>
            <w:vAlign w:val="top"/>
          </w:tcPr>
          <w:p>
            <w:pPr>
              <w:pStyle w:val="9"/>
              <w:spacing w:before="221" w:line="180" w:lineRule="auto"/>
              <w:jc w:val="center"/>
              <w:rPr>
                <w:rFonts w:hint="default"/>
                <w:spacing w:val="25"/>
                <w:sz w:val="19"/>
                <w:szCs w:val="19"/>
                <w:lang w:val="en-US" w:eastAsia="zh-CN"/>
              </w:rPr>
            </w:pPr>
            <w:r>
              <w:rPr>
                <w:rFonts w:hint="default"/>
                <w:spacing w:val="25"/>
                <w:sz w:val="19"/>
                <w:szCs w:val="19"/>
                <w:lang w:val="en-US" w:eastAsia="zh-CN"/>
              </w:rPr>
              <w:t>中国4月财新制造业PMI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5"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478" w:type="dxa"/>
            <w:shd w:val="clear" w:color="auto" w:fill="D3EAFF"/>
            <w:vAlign w:val="top"/>
          </w:tcPr>
          <w:p>
            <w:pPr>
              <w:pStyle w:val="9"/>
              <w:spacing w:before="252" w:line="170" w:lineRule="auto"/>
              <w:ind w:left="101" w:leftChars="0"/>
              <w:rPr>
                <w:rFonts w:hint="default"/>
                <w:sz w:val="19"/>
                <w:szCs w:val="19"/>
                <w:lang w:val="en-US"/>
              </w:rPr>
            </w:pPr>
            <w:r>
              <w:rPr>
                <w:rFonts w:hint="eastAsia"/>
                <w:b/>
                <w:bCs/>
                <w:spacing w:val="5"/>
                <w:sz w:val="19"/>
                <w:szCs w:val="19"/>
                <w:lang w:val="en-US" w:eastAsia="zh-CN"/>
              </w:rPr>
              <w:t>13</w:t>
            </w:r>
            <w:r>
              <w:rPr>
                <w:b/>
                <w:bCs/>
                <w:spacing w:val="5"/>
                <w:sz w:val="19"/>
                <w:szCs w:val="19"/>
              </w:rPr>
              <w:t>:</w:t>
            </w:r>
            <w:r>
              <w:rPr>
                <w:rFonts w:hint="eastAsia"/>
                <w:b/>
                <w:bCs/>
                <w:spacing w:val="5"/>
                <w:sz w:val="19"/>
                <w:szCs w:val="19"/>
                <w:lang w:val="en-US" w:eastAsia="zh-CN"/>
              </w:rPr>
              <w:t>30</w:t>
            </w:r>
          </w:p>
        </w:tc>
        <w:tc>
          <w:tcPr>
            <w:tcW w:w="6344" w:type="dxa"/>
            <w:shd w:val="clear" w:color="auto" w:fill="D3EAFF"/>
            <w:vAlign w:val="top"/>
          </w:tcPr>
          <w:p>
            <w:pPr>
              <w:pStyle w:val="9"/>
              <w:spacing w:before="221" w:line="180" w:lineRule="auto"/>
              <w:jc w:val="center"/>
              <w:rPr>
                <w:rFonts w:hint="default"/>
                <w:spacing w:val="25"/>
                <w:sz w:val="19"/>
                <w:szCs w:val="19"/>
                <w:lang w:val="en-US" w:eastAsia="zh-CN"/>
              </w:rPr>
            </w:pPr>
            <w:r>
              <w:rPr>
                <w:rFonts w:hint="default"/>
                <w:spacing w:val="25"/>
                <w:sz w:val="19"/>
                <w:szCs w:val="19"/>
                <w:lang w:val="en-US" w:eastAsia="zh-CN"/>
              </w:rPr>
              <w:t>法国一季度GDP</w:t>
            </w:r>
            <w:r>
              <w:rPr>
                <w:rFonts w:hint="eastAsia"/>
                <w:spacing w:val="25"/>
                <w:sz w:val="19"/>
                <w:szCs w:val="19"/>
                <w:lang w:val="en-US" w:eastAsia="zh-CN"/>
              </w:rPr>
              <w:t>、4月CPI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9"/>
              <w:spacing w:before="235"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478" w:type="dxa"/>
            <w:shd w:val="clear" w:color="auto" w:fill="FFFFFF" w:themeFill="background1"/>
            <w:vAlign w:val="top"/>
          </w:tcPr>
          <w:p>
            <w:pPr>
              <w:pStyle w:val="9"/>
              <w:spacing w:before="252" w:line="170" w:lineRule="auto"/>
              <w:ind w:left="101" w:leftChars="0"/>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15</w:t>
            </w:r>
            <w:r>
              <w:rPr>
                <w:b/>
                <w:bCs/>
                <w:spacing w:val="5"/>
                <w:sz w:val="19"/>
                <w:szCs w:val="19"/>
              </w:rPr>
              <w:t>:</w:t>
            </w:r>
            <w:r>
              <w:rPr>
                <w:rFonts w:hint="eastAsia"/>
                <w:b/>
                <w:bCs/>
                <w:spacing w:val="5"/>
                <w:sz w:val="19"/>
                <w:szCs w:val="19"/>
                <w:lang w:val="en-US" w:eastAsia="zh-CN"/>
              </w:rPr>
              <w:t>55</w:t>
            </w:r>
          </w:p>
        </w:tc>
        <w:tc>
          <w:tcPr>
            <w:tcW w:w="6344" w:type="dxa"/>
            <w:shd w:val="clear" w:color="auto" w:fill="FFFFFF" w:themeFill="background1"/>
            <w:vAlign w:val="top"/>
          </w:tcPr>
          <w:p>
            <w:pPr>
              <w:pStyle w:val="9"/>
              <w:spacing w:before="221" w:line="180" w:lineRule="auto"/>
              <w:jc w:val="center"/>
              <w:rPr>
                <w:rFonts w:hint="default"/>
                <w:spacing w:val="25"/>
                <w:sz w:val="19"/>
                <w:szCs w:val="19"/>
                <w:lang w:val="en-US" w:eastAsia="zh-CN"/>
              </w:rPr>
            </w:pPr>
            <w:r>
              <w:rPr>
                <w:rFonts w:hint="eastAsia"/>
                <w:spacing w:val="25"/>
                <w:sz w:val="19"/>
                <w:szCs w:val="19"/>
                <w:lang w:val="en-US" w:eastAsia="zh-CN"/>
              </w:rPr>
              <w:t>德国4月失业率、一季度未季调GDP</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5"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478" w:type="dxa"/>
            <w:shd w:val="clear" w:color="auto" w:fill="D3EAFF"/>
            <w:vAlign w:val="top"/>
          </w:tcPr>
          <w:p>
            <w:pPr>
              <w:pStyle w:val="9"/>
              <w:spacing w:before="252" w:line="170" w:lineRule="auto"/>
              <w:ind w:left="101" w:leftChars="0"/>
              <w:rPr>
                <w:rFonts w:hint="default" w:ascii="微软雅黑" w:hAnsi="微软雅黑" w:eastAsia="微软雅黑" w:cs="微软雅黑"/>
                <w:snapToGrid w:val="0"/>
                <w:color w:val="000000"/>
                <w:kern w:val="0"/>
                <w:sz w:val="19"/>
                <w:szCs w:val="19"/>
                <w:lang w:val="en-US" w:eastAsia="zh-CN" w:bidi="ar-SA"/>
              </w:rPr>
            </w:pPr>
            <w:r>
              <w:rPr>
                <w:rFonts w:hint="eastAsia" w:cs="微软雅黑"/>
                <w:b/>
                <w:bCs/>
                <w:snapToGrid w:val="0"/>
                <w:color w:val="000000"/>
                <w:spacing w:val="5"/>
                <w:kern w:val="0"/>
                <w:sz w:val="19"/>
                <w:szCs w:val="19"/>
                <w:lang w:val="en-US" w:eastAsia="zh-CN" w:bidi="ar-SA"/>
              </w:rPr>
              <w:t>17：00</w:t>
            </w:r>
          </w:p>
        </w:tc>
        <w:tc>
          <w:tcPr>
            <w:tcW w:w="6344" w:type="dxa"/>
            <w:shd w:val="clear" w:color="auto" w:fill="D3EAFF"/>
            <w:vAlign w:val="top"/>
          </w:tcPr>
          <w:p>
            <w:pPr>
              <w:pStyle w:val="9"/>
              <w:spacing w:before="221" w:line="180" w:lineRule="auto"/>
              <w:jc w:val="center"/>
              <w:rPr>
                <w:rFonts w:hint="eastAsia"/>
                <w:spacing w:val="25"/>
                <w:sz w:val="19"/>
                <w:szCs w:val="19"/>
                <w:lang w:val="en-US" w:eastAsia="zh-CN"/>
              </w:rPr>
            </w:pPr>
            <w:r>
              <w:rPr>
                <w:rFonts w:hint="default"/>
                <w:spacing w:val="25"/>
                <w:sz w:val="19"/>
                <w:szCs w:val="19"/>
                <w:lang w:val="en-US" w:eastAsia="zh-CN"/>
              </w:rPr>
              <w:t>意大利4月CPI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9"/>
              <w:spacing w:before="235"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478" w:type="dxa"/>
            <w:shd w:val="clear" w:color="auto" w:fill="FFFFFF" w:themeFill="background1"/>
            <w:vAlign w:val="top"/>
          </w:tcPr>
          <w:p>
            <w:pPr>
              <w:pStyle w:val="9"/>
              <w:spacing w:before="252" w:line="170" w:lineRule="auto"/>
              <w:ind w:left="101" w:leftChars="0"/>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17：00</w:t>
            </w:r>
          </w:p>
        </w:tc>
        <w:tc>
          <w:tcPr>
            <w:tcW w:w="6344" w:type="dxa"/>
            <w:shd w:val="clear" w:color="auto" w:fill="FFFFFF" w:themeFill="background1"/>
            <w:vAlign w:val="top"/>
          </w:tcPr>
          <w:p>
            <w:pPr>
              <w:pStyle w:val="9"/>
              <w:spacing w:before="221" w:line="180" w:lineRule="auto"/>
              <w:jc w:val="center"/>
              <w:rPr>
                <w:rFonts w:hint="default"/>
                <w:spacing w:val="25"/>
                <w:sz w:val="19"/>
                <w:szCs w:val="19"/>
                <w:lang w:val="en-US" w:eastAsia="zh-CN"/>
              </w:rPr>
            </w:pPr>
            <w:r>
              <w:rPr>
                <w:rFonts w:hint="default"/>
                <w:spacing w:val="25"/>
                <w:sz w:val="19"/>
                <w:szCs w:val="19"/>
                <w:lang w:val="en-US" w:eastAsia="zh-CN"/>
              </w:rPr>
              <w:t>欧元区一季度GDP</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478" w:type="dxa"/>
            <w:shd w:val="clear" w:color="auto" w:fill="D3EAFF"/>
            <w:vAlign w:val="top"/>
          </w:tcPr>
          <w:p>
            <w:pPr>
              <w:pStyle w:val="9"/>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21：45</w:t>
            </w:r>
          </w:p>
        </w:tc>
        <w:tc>
          <w:tcPr>
            <w:tcW w:w="6344" w:type="dxa"/>
            <w:shd w:val="clear" w:color="auto" w:fill="D3EAFF"/>
            <w:vAlign w:val="top"/>
          </w:tcPr>
          <w:p>
            <w:pPr>
              <w:pStyle w:val="9"/>
              <w:spacing w:before="221" w:line="180" w:lineRule="auto"/>
              <w:jc w:val="center"/>
              <w:rPr>
                <w:rFonts w:hint="default"/>
                <w:spacing w:val="25"/>
                <w:sz w:val="19"/>
                <w:szCs w:val="19"/>
                <w:lang w:val="en-US" w:eastAsia="zh-CN"/>
              </w:rPr>
            </w:pPr>
            <w:r>
              <w:rPr>
                <w:rFonts w:hint="eastAsia"/>
                <w:spacing w:val="25"/>
                <w:sz w:val="19"/>
                <w:szCs w:val="19"/>
                <w:lang w:val="en-US" w:eastAsia="zh-CN"/>
              </w:rPr>
              <w:t>美国4月芝加哥PMI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9"/>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478" w:type="dxa"/>
            <w:shd w:val="clear" w:color="auto" w:fill="FFFFFF" w:themeFill="background1"/>
            <w:vAlign w:val="top"/>
          </w:tcPr>
          <w:p>
            <w:pPr>
              <w:pStyle w:val="9"/>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22：00</w:t>
            </w:r>
          </w:p>
        </w:tc>
        <w:tc>
          <w:tcPr>
            <w:tcW w:w="6344" w:type="dxa"/>
            <w:shd w:val="clear" w:color="auto" w:fill="FFFFFF" w:themeFill="background1"/>
            <w:vAlign w:val="top"/>
          </w:tcPr>
          <w:p>
            <w:pPr>
              <w:pStyle w:val="9"/>
              <w:spacing w:before="221" w:line="180" w:lineRule="auto"/>
              <w:jc w:val="center"/>
              <w:rPr>
                <w:rFonts w:hint="eastAsia"/>
                <w:spacing w:val="25"/>
                <w:sz w:val="19"/>
                <w:szCs w:val="19"/>
                <w:lang w:val="en-US" w:eastAsia="zh-CN"/>
              </w:rPr>
            </w:pPr>
            <w:r>
              <w:rPr>
                <w:rFonts w:hint="default"/>
                <w:spacing w:val="25"/>
                <w:sz w:val="19"/>
                <w:szCs w:val="19"/>
                <w:lang w:val="en-US" w:eastAsia="zh-CN"/>
              </w:rPr>
              <w:t>美国4月谘商会消费者信心指数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w:t>
            </w:r>
          </w:p>
        </w:tc>
        <w:tc>
          <w:tcPr>
            <w:tcW w:w="1478" w:type="dxa"/>
            <w:shd w:val="clear" w:color="auto" w:fill="D3EAFF"/>
            <w:vAlign w:val="top"/>
          </w:tcPr>
          <w:p>
            <w:pPr>
              <w:pStyle w:val="9"/>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00：00</w:t>
            </w:r>
          </w:p>
        </w:tc>
        <w:tc>
          <w:tcPr>
            <w:tcW w:w="6344" w:type="dxa"/>
            <w:shd w:val="clear" w:color="auto" w:fill="D3EAFF"/>
            <w:vAlign w:val="top"/>
          </w:tcPr>
          <w:p>
            <w:pPr>
              <w:pStyle w:val="9"/>
              <w:spacing w:before="221" w:line="180" w:lineRule="auto"/>
              <w:jc w:val="center"/>
              <w:rPr>
                <w:rFonts w:hint="default"/>
                <w:spacing w:val="25"/>
                <w:sz w:val="19"/>
                <w:szCs w:val="19"/>
                <w:lang w:val="en-US" w:eastAsia="zh-CN"/>
              </w:rPr>
            </w:pPr>
            <w:r>
              <w:rPr>
                <w:rFonts w:hint="eastAsia"/>
                <w:spacing w:val="25"/>
                <w:sz w:val="19"/>
                <w:szCs w:val="19"/>
                <w:lang w:val="en-US" w:eastAsia="zh-CN"/>
              </w:rPr>
              <w:t>美联储召开FOMC会议，次日凌晨公布利率决议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9"/>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w:t>
            </w:r>
          </w:p>
        </w:tc>
        <w:tc>
          <w:tcPr>
            <w:tcW w:w="1478" w:type="dxa"/>
            <w:shd w:val="clear" w:color="auto" w:fill="FFFFFF" w:themeFill="background1"/>
            <w:vAlign w:val="top"/>
          </w:tcPr>
          <w:p>
            <w:pPr>
              <w:pStyle w:val="9"/>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22：00</w:t>
            </w:r>
          </w:p>
        </w:tc>
        <w:tc>
          <w:tcPr>
            <w:tcW w:w="6344" w:type="dxa"/>
            <w:shd w:val="clear" w:color="auto" w:fill="FFFFFF" w:themeFill="background1"/>
            <w:vAlign w:val="top"/>
          </w:tcPr>
          <w:p>
            <w:pPr>
              <w:pStyle w:val="9"/>
              <w:spacing w:before="221" w:line="180" w:lineRule="auto"/>
              <w:jc w:val="center"/>
              <w:rPr>
                <w:rFonts w:hint="eastAsia"/>
                <w:spacing w:val="25"/>
                <w:sz w:val="19"/>
                <w:szCs w:val="19"/>
                <w:lang w:val="en-US" w:eastAsia="zh-CN"/>
              </w:rPr>
            </w:pPr>
            <w:r>
              <w:rPr>
                <w:rFonts w:hint="default"/>
                <w:spacing w:val="25"/>
                <w:sz w:val="19"/>
                <w:szCs w:val="19"/>
                <w:lang w:val="en-US" w:eastAsia="zh-CN"/>
              </w:rPr>
              <w:t>美国4月ISM制造业指数</w:t>
            </w:r>
            <w:r>
              <w:rPr>
                <w:rFonts w:hint="eastAsia"/>
                <w:spacing w:val="25"/>
                <w:sz w:val="19"/>
                <w:szCs w:val="19"/>
                <w:lang w:val="en-US" w:eastAsia="zh-CN"/>
              </w:rPr>
              <w:t>、3月营建支出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9" w:hRule="atLeast"/>
        </w:trPr>
        <w:tc>
          <w:tcPr>
            <w:tcW w:w="1567" w:type="dxa"/>
            <w:shd w:val="clear" w:color="auto" w:fill="D3EAFF"/>
            <w:vAlign w:val="top"/>
          </w:tcPr>
          <w:p>
            <w:pPr>
              <w:pStyle w:val="9"/>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w:t>
            </w:r>
          </w:p>
        </w:tc>
        <w:tc>
          <w:tcPr>
            <w:tcW w:w="1478" w:type="dxa"/>
            <w:shd w:val="clear" w:color="auto" w:fill="D3EAFF"/>
            <w:vAlign w:val="top"/>
          </w:tcPr>
          <w:p>
            <w:pPr>
              <w:pStyle w:val="9"/>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02：00</w:t>
            </w:r>
          </w:p>
        </w:tc>
        <w:tc>
          <w:tcPr>
            <w:tcW w:w="6344" w:type="dxa"/>
            <w:shd w:val="clear" w:color="auto" w:fill="D3EAFF"/>
            <w:vAlign w:val="top"/>
          </w:tcPr>
          <w:p>
            <w:pPr>
              <w:pStyle w:val="9"/>
              <w:spacing w:before="221" w:line="180" w:lineRule="auto"/>
              <w:jc w:val="center"/>
              <w:rPr>
                <w:rFonts w:hint="default"/>
                <w:spacing w:val="25"/>
                <w:sz w:val="19"/>
                <w:szCs w:val="19"/>
                <w:lang w:val="en-US" w:eastAsia="zh-CN"/>
              </w:rPr>
            </w:pPr>
            <w:r>
              <w:rPr>
                <w:rFonts w:hint="eastAsia"/>
                <w:spacing w:val="25"/>
                <w:sz w:val="19"/>
                <w:szCs w:val="19"/>
                <w:lang w:val="en-US" w:eastAsia="zh-CN"/>
              </w:rPr>
              <w:t>美国FOMC利率决策</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9"/>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w:t>
            </w:r>
          </w:p>
        </w:tc>
        <w:tc>
          <w:tcPr>
            <w:tcW w:w="1478" w:type="dxa"/>
            <w:shd w:val="clear" w:color="auto" w:fill="FFFFFF" w:themeFill="background1"/>
            <w:vAlign w:val="top"/>
          </w:tcPr>
          <w:p>
            <w:pPr>
              <w:pStyle w:val="9"/>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08：30</w:t>
            </w:r>
          </w:p>
        </w:tc>
        <w:tc>
          <w:tcPr>
            <w:tcW w:w="6344" w:type="dxa"/>
            <w:shd w:val="clear" w:color="auto" w:fill="FFFFFF" w:themeFill="background1"/>
            <w:vAlign w:val="top"/>
          </w:tcPr>
          <w:p>
            <w:pPr>
              <w:pStyle w:val="9"/>
              <w:spacing w:before="221" w:line="180" w:lineRule="auto"/>
              <w:jc w:val="center"/>
              <w:rPr>
                <w:rFonts w:hint="eastAsia"/>
                <w:spacing w:val="25"/>
                <w:sz w:val="19"/>
                <w:szCs w:val="19"/>
                <w:lang w:val="en-US" w:eastAsia="zh-CN"/>
              </w:rPr>
            </w:pPr>
            <w:r>
              <w:rPr>
                <w:rFonts w:hint="default"/>
                <w:spacing w:val="25"/>
                <w:sz w:val="19"/>
                <w:szCs w:val="19"/>
                <w:lang w:val="en-US" w:eastAsia="zh-CN"/>
              </w:rPr>
              <w:t>越南4月标普全球越南制造业PMI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3</w:t>
            </w:r>
          </w:p>
        </w:tc>
        <w:tc>
          <w:tcPr>
            <w:tcW w:w="1478" w:type="dxa"/>
            <w:shd w:val="clear" w:color="auto" w:fill="D3EAFF"/>
            <w:vAlign w:val="top"/>
          </w:tcPr>
          <w:p>
            <w:pPr>
              <w:pStyle w:val="9"/>
              <w:spacing w:before="252" w:line="170" w:lineRule="auto"/>
              <w:ind w:left="101" w:leftChars="0"/>
              <w:rPr>
                <w:rFonts w:hint="eastAsia"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16：30</w:t>
            </w:r>
          </w:p>
        </w:tc>
        <w:tc>
          <w:tcPr>
            <w:tcW w:w="6344" w:type="dxa"/>
            <w:shd w:val="clear" w:color="auto" w:fill="D3EAFF"/>
            <w:vAlign w:val="top"/>
          </w:tcPr>
          <w:p>
            <w:pPr>
              <w:pStyle w:val="9"/>
              <w:spacing w:before="221" w:line="180" w:lineRule="auto"/>
              <w:jc w:val="center"/>
              <w:rPr>
                <w:rFonts w:hint="default"/>
                <w:spacing w:val="25"/>
                <w:sz w:val="19"/>
                <w:szCs w:val="19"/>
                <w:lang w:val="en-US" w:eastAsia="zh-CN"/>
              </w:rPr>
            </w:pPr>
            <w:r>
              <w:rPr>
                <w:rFonts w:hint="default"/>
                <w:spacing w:val="25"/>
                <w:sz w:val="19"/>
                <w:szCs w:val="19"/>
                <w:lang w:val="en-US" w:eastAsia="zh-CN"/>
              </w:rPr>
              <w:t>英国4月综合PMI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9"/>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3</w:t>
            </w:r>
          </w:p>
        </w:tc>
        <w:tc>
          <w:tcPr>
            <w:tcW w:w="1478" w:type="dxa"/>
            <w:shd w:val="clear" w:color="auto" w:fill="FFFFFF" w:themeFill="background1"/>
            <w:vAlign w:val="top"/>
          </w:tcPr>
          <w:p>
            <w:pPr>
              <w:pStyle w:val="9"/>
              <w:spacing w:before="252" w:line="170" w:lineRule="auto"/>
              <w:ind w:left="101" w:leftChars="0"/>
              <w:rPr>
                <w:rFonts w:hint="eastAsia"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17：00</w:t>
            </w:r>
          </w:p>
        </w:tc>
        <w:tc>
          <w:tcPr>
            <w:tcW w:w="6344" w:type="dxa"/>
            <w:shd w:val="clear" w:color="auto" w:fill="FFFFFF" w:themeFill="background1"/>
            <w:vAlign w:val="top"/>
          </w:tcPr>
          <w:p>
            <w:pPr>
              <w:pStyle w:val="9"/>
              <w:spacing w:before="221" w:line="180" w:lineRule="auto"/>
              <w:jc w:val="center"/>
              <w:rPr>
                <w:rFonts w:hint="default"/>
                <w:spacing w:val="25"/>
                <w:sz w:val="19"/>
                <w:szCs w:val="19"/>
                <w:lang w:val="en-US" w:eastAsia="zh-CN"/>
              </w:rPr>
            </w:pPr>
            <w:r>
              <w:rPr>
                <w:rFonts w:hint="default"/>
                <w:spacing w:val="25"/>
                <w:sz w:val="19"/>
                <w:szCs w:val="19"/>
                <w:lang w:val="en-US" w:eastAsia="zh-CN"/>
              </w:rPr>
              <w:t>欧元区3月失业率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3</w:t>
            </w:r>
          </w:p>
        </w:tc>
        <w:tc>
          <w:tcPr>
            <w:tcW w:w="1478" w:type="dxa"/>
            <w:shd w:val="clear" w:color="auto" w:fill="D3EAFF"/>
            <w:vAlign w:val="top"/>
          </w:tcPr>
          <w:p>
            <w:pPr>
              <w:pStyle w:val="9"/>
              <w:spacing w:before="252" w:line="170" w:lineRule="auto"/>
              <w:ind w:left="101" w:leftChars="0"/>
              <w:rPr>
                <w:rFonts w:hint="eastAsia"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20：30</w:t>
            </w:r>
          </w:p>
        </w:tc>
        <w:tc>
          <w:tcPr>
            <w:tcW w:w="6344" w:type="dxa"/>
            <w:shd w:val="clear" w:color="auto" w:fill="D3EAFF"/>
            <w:vAlign w:val="top"/>
          </w:tcPr>
          <w:p>
            <w:pPr>
              <w:pStyle w:val="9"/>
              <w:spacing w:before="221" w:line="180" w:lineRule="auto"/>
              <w:jc w:val="center"/>
              <w:rPr>
                <w:rFonts w:hint="default"/>
                <w:spacing w:val="25"/>
                <w:sz w:val="19"/>
                <w:szCs w:val="19"/>
                <w:lang w:val="en-US" w:eastAsia="zh-CN"/>
              </w:rPr>
            </w:pPr>
            <w:r>
              <w:rPr>
                <w:rFonts w:hint="default"/>
                <w:spacing w:val="25"/>
                <w:sz w:val="19"/>
                <w:szCs w:val="19"/>
                <w:lang w:val="en-US" w:eastAsia="zh-CN"/>
              </w:rPr>
              <w:t>美国4月失业率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9"/>
              <w:spacing w:before="235" w:line="191" w:lineRule="auto"/>
              <w:ind w:left="449" w:leftChars="0"/>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3</w:t>
            </w:r>
          </w:p>
        </w:tc>
        <w:tc>
          <w:tcPr>
            <w:tcW w:w="1478" w:type="dxa"/>
            <w:shd w:val="clear" w:color="auto" w:fill="FFFFFF" w:themeFill="background1"/>
            <w:vAlign w:val="top"/>
          </w:tcPr>
          <w:p>
            <w:pPr>
              <w:pStyle w:val="9"/>
              <w:spacing w:before="252" w:line="170" w:lineRule="auto"/>
              <w:ind w:left="101" w:leftChars="0"/>
              <w:rPr>
                <w:rFonts w:hint="eastAsia"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20：30</w:t>
            </w:r>
          </w:p>
        </w:tc>
        <w:tc>
          <w:tcPr>
            <w:tcW w:w="6344" w:type="dxa"/>
            <w:shd w:val="clear" w:color="auto" w:fill="FFFFFF" w:themeFill="background1"/>
            <w:vAlign w:val="top"/>
          </w:tcPr>
          <w:p>
            <w:pPr>
              <w:pStyle w:val="9"/>
              <w:spacing w:before="221" w:line="180" w:lineRule="auto"/>
              <w:jc w:val="center"/>
              <w:rPr>
                <w:rFonts w:hint="default"/>
                <w:spacing w:val="25"/>
                <w:sz w:val="19"/>
                <w:szCs w:val="19"/>
                <w:lang w:val="en-US" w:eastAsia="zh-CN"/>
              </w:rPr>
            </w:pPr>
            <w:r>
              <w:rPr>
                <w:rFonts w:hint="eastAsia"/>
                <w:spacing w:val="25"/>
                <w:sz w:val="19"/>
                <w:szCs w:val="19"/>
                <w:lang w:val="en-US" w:eastAsia="zh-CN"/>
              </w:rPr>
              <w:t>美</w:t>
            </w:r>
            <w:r>
              <w:rPr>
                <w:rFonts w:hint="default"/>
                <w:spacing w:val="25"/>
                <w:sz w:val="19"/>
                <w:szCs w:val="19"/>
                <w:lang w:val="en-US" w:eastAsia="zh-CN"/>
              </w:rPr>
              <w:t>国4月非农就业人口变动(万人)</w:t>
            </w:r>
            <w:r>
              <w:rPr>
                <w:rFonts w:hint="eastAsia"/>
                <w:spacing w:val="25"/>
                <w:sz w:val="19"/>
                <w:szCs w:val="19"/>
                <w:lang w:val="en-US" w:eastAsia="zh-CN"/>
              </w:rPr>
              <w:t>、</w:t>
            </w:r>
            <w:r>
              <w:rPr>
                <w:rFonts w:hint="default"/>
                <w:spacing w:val="25"/>
                <w:sz w:val="19"/>
                <w:szCs w:val="19"/>
                <w:lang w:val="en-US" w:eastAsia="zh-CN"/>
              </w:rPr>
              <w:t>4月ISM非制造业指数</w:t>
            </w:r>
          </w:p>
        </w:tc>
      </w:tr>
    </w:tbl>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9"/>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思源黑体 CN Bold">
    <w:altName w:val="黑体"/>
    <w:panose1 w:val="020B0800000000000000"/>
    <w:charset w:val="86"/>
    <w:family w:val="auto"/>
    <w:pitch w:val="default"/>
    <w:sig w:usb0="00000000" w:usb1="00000000" w:usb2="00000016" w:usb3="00000000" w:csb0="60060107" w:csb1="00000000"/>
  </w:font>
  <w:font w:name="新宋体">
    <w:panose1 w:val="02010609030101010101"/>
    <w:charset w:val="86"/>
    <w:family w:val="modern"/>
    <w:pitch w:val="default"/>
    <w:sig w:usb0="00000283" w:usb1="288F0000" w:usb2="00000006" w:usb3="00000000" w:csb0="00040001" w:csb1="00000000"/>
  </w:font>
  <w:font w:name="Microsoft YaHei UI">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amp;quot">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right"/>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19E86119"/>
    <w:rsid w:val="014E455E"/>
    <w:rsid w:val="01D34AC7"/>
    <w:rsid w:val="02145620"/>
    <w:rsid w:val="03237D85"/>
    <w:rsid w:val="039F6E80"/>
    <w:rsid w:val="03AA5DB1"/>
    <w:rsid w:val="03C350C4"/>
    <w:rsid w:val="04540896"/>
    <w:rsid w:val="04812FB5"/>
    <w:rsid w:val="04901954"/>
    <w:rsid w:val="04B13B8F"/>
    <w:rsid w:val="04D330E5"/>
    <w:rsid w:val="05066240"/>
    <w:rsid w:val="054B35C3"/>
    <w:rsid w:val="056401E1"/>
    <w:rsid w:val="05684426"/>
    <w:rsid w:val="05761F9D"/>
    <w:rsid w:val="05DB66F5"/>
    <w:rsid w:val="062D7A3B"/>
    <w:rsid w:val="0639691E"/>
    <w:rsid w:val="06467B5F"/>
    <w:rsid w:val="068D4577"/>
    <w:rsid w:val="068E5516"/>
    <w:rsid w:val="06EB560A"/>
    <w:rsid w:val="071F2612"/>
    <w:rsid w:val="074B1659"/>
    <w:rsid w:val="08ED29CD"/>
    <w:rsid w:val="0925770E"/>
    <w:rsid w:val="094E71DE"/>
    <w:rsid w:val="09A82D92"/>
    <w:rsid w:val="0A1A1394"/>
    <w:rsid w:val="0A8A2498"/>
    <w:rsid w:val="0B2C15EF"/>
    <w:rsid w:val="0BCA5D9B"/>
    <w:rsid w:val="0BD7170D"/>
    <w:rsid w:val="0C2E40B0"/>
    <w:rsid w:val="0CC750C1"/>
    <w:rsid w:val="0CD93263"/>
    <w:rsid w:val="0CDC3E2A"/>
    <w:rsid w:val="0CDD0FA5"/>
    <w:rsid w:val="0CF23C6F"/>
    <w:rsid w:val="0E5232CD"/>
    <w:rsid w:val="0E9262B2"/>
    <w:rsid w:val="0F2B249C"/>
    <w:rsid w:val="101F18D4"/>
    <w:rsid w:val="104430E9"/>
    <w:rsid w:val="10C123D9"/>
    <w:rsid w:val="10E60342"/>
    <w:rsid w:val="11274EE5"/>
    <w:rsid w:val="11F74E4B"/>
    <w:rsid w:val="12C2196C"/>
    <w:rsid w:val="12CC5D44"/>
    <w:rsid w:val="12E50BB3"/>
    <w:rsid w:val="134C478E"/>
    <w:rsid w:val="13506BAF"/>
    <w:rsid w:val="14060DE1"/>
    <w:rsid w:val="150A2B53"/>
    <w:rsid w:val="150B73C1"/>
    <w:rsid w:val="15D44F75"/>
    <w:rsid w:val="15D53161"/>
    <w:rsid w:val="15F630B4"/>
    <w:rsid w:val="16243D50"/>
    <w:rsid w:val="16B40FC8"/>
    <w:rsid w:val="17154F7E"/>
    <w:rsid w:val="17236F07"/>
    <w:rsid w:val="17C25FFF"/>
    <w:rsid w:val="17E45B43"/>
    <w:rsid w:val="183710AD"/>
    <w:rsid w:val="189B3AC2"/>
    <w:rsid w:val="19193365"/>
    <w:rsid w:val="193D5CAC"/>
    <w:rsid w:val="198F7ACB"/>
    <w:rsid w:val="19B17A41"/>
    <w:rsid w:val="19C90A10"/>
    <w:rsid w:val="19E86119"/>
    <w:rsid w:val="1A071979"/>
    <w:rsid w:val="1AE14356"/>
    <w:rsid w:val="1AF776D6"/>
    <w:rsid w:val="1B8A054A"/>
    <w:rsid w:val="1BA3785E"/>
    <w:rsid w:val="1C4C30B4"/>
    <w:rsid w:val="1C525A3A"/>
    <w:rsid w:val="1E581DD0"/>
    <w:rsid w:val="1E931DB8"/>
    <w:rsid w:val="1E934127"/>
    <w:rsid w:val="1FAA0F8D"/>
    <w:rsid w:val="1FAB6CE1"/>
    <w:rsid w:val="2052571F"/>
    <w:rsid w:val="21D249F9"/>
    <w:rsid w:val="221706F2"/>
    <w:rsid w:val="222A213F"/>
    <w:rsid w:val="22543660"/>
    <w:rsid w:val="22D36C7A"/>
    <w:rsid w:val="22FB3ADB"/>
    <w:rsid w:val="232F685D"/>
    <w:rsid w:val="23395957"/>
    <w:rsid w:val="233B65CE"/>
    <w:rsid w:val="23B51EDC"/>
    <w:rsid w:val="23F724F4"/>
    <w:rsid w:val="24207C9D"/>
    <w:rsid w:val="24400A52"/>
    <w:rsid w:val="248B2649"/>
    <w:rsid w:val="248C6288"/>
    <w:rsid w:val="2498264B"/>
    <w:rsid w:val="24A97118"/>
    <w:rsid w:val="24D9609E"/>
    <w:rsid w:val="250C1FD0"/>
    <w:rsid w:val="25115838"/>
    <w:rsid w:val="25270BB7"/>
    <w:rsid w:val="253A5D4E"/>
    <w:rsid w:val="25C4497A"/>
    <w:rsid w:val="25F747AF"/>
    <w:rsid w:val="26413EFB"/>
    <w:rsid w:val="26F471BF"/>
    <w:rsid w:val="2729330D"/>
    <w:rsid w:val="274F030F"/>
    <w:rsid w:val="27736336"/>
    <w:rsid w:val="27787DF0"/>
    <w:rsid w:val="27FF6A99"/>
    <w:rsid w:val="28026FB4"/>
    <w:rsid w:val="284101E2"/>
    <w:rsid w:val="288264C6"/>
    <w:rsid w:val="2A383867"/>
    <w:rsid w:val="2A5C7555"/>
    <w:rsid w:val="2A697EC4"/>
    <w:rsid w:val="2B25203D"/>
    <w:rsid w:val="2C2045B2"/>
    <w:rsid w:val="2C4A2D0A"/>
    <w:rsid w:val="2CC80A91"/>
    <w:rsid w:val="2CC94C4A"/>
    <w:rsid w:val="2D0B0DBF"/>
    <w:rsid w:val="2D2B53F9"/>
    <w:rsid w:val="2D7B5F44"/>
    <w:rsid w:val="2D8017AD"/>
    <w:rsid w:val="2DF9330D"/>
    <w:rsid w:val="2EAE2655"/>
    <w:rsid w:val="2EC456C9"/>
    <w:rsid w:val="2F1523C9"/>
    <w:rsid w:val="30055F99"/>
    <w:rsid w:val="302B515F"/>
    <w:rsid w:val="30703A47"/>
    <w:rsid w:val="30BA6D84"/>
    <w:rsid w:val="30D86127"/>
    <w:rsid w:val="310D20A5"/>
    <w:rsid w:val="31130176"/>
    <w:rsid w:val="31BC297D"/>
    <w:rsid w:val="320B4F05"/>
    <w:rsid w:val="32317519"/>
    <w:rsid w:val="324803BF"/>
    <w:rsid w:val="32633591"/>
    <w:rsid w:val="32785148"/>
    <w:rsid w:val="32E8157B"/>
    <w:rsid w:val="32F81DE5"/>
    <w:rsid w:val="33396201"/>
    <w:rsid w:val="335A2AA0"/>
    <w:rsid w:val="342F27ED"/>
    <w:rsid w:val="3485313E"/>
    <w:rsid w:val="349A5478"/>
    <w:rsid w:val="34EC3C2E"/>
    <w:rsid w:val="364D34CF"/>
    <w:rsid w:val="36513CE6"/>
    <w:rsid w:val="37476E97"/>
    <w:rsid w:val="37E91D98"/>
    <w:rsid w:val="394A2C6F"/>
    <w:rsid w:val="394C2E8B"/>
    <w:rsid w:val="3A4818A4"/>
    <w:rsid w:val="3AA0348E"/>
    <w:rsid w:val="3AE47F1E"/>
    <w:rsid w:val="3AF37A62"/>
    <w:rsid w:val="3B7572E6"/>
    <w:rsid w:val="3B903503"/>
    <w:rsid w:val="3BDD426E"/>
    <w:rsid w:val="3C0C409C"/>
    <w:rsid w:val="3C1063F2"/>
    <w:rsid w:val="3C3C2D43"/>
    <w:rsid w:val="3C6B3628"/>
    <w:rsid w:val="3C964B49"/>
    <w:rsid w:val="3CD218F9"/>
    <w:rsid w:val="3EB35031"/>
    <w:rsid w:val="3EDC080D"/>
    <w:rsid w:val="3F101445"/>
    <w:rsid w:val="3F5E1222"/>
    <w:rsid w:val="3FA07762"/>
    <w:rsid w:val="40330901"/>
    <w:rsid w:val="404E1296"/>
    <w:rsid w:val="409C46F8"/>
    <w:rsid w:val="40EA5463"/>
    <w:rsid w:val="415C79E3"/>
    <w:rsid w:val="41BE4CC7"/>
    <w:rsid w:val="42051E29"/>
    <w:rsid w:val="42240501"/>
    <w:rsid w:val="42492EE1"/>
    <w:rsid w:val="428A31FD"/>
    <w:rsid w:val="42C763A1"/>
    <w:rsid w:val="43476B9D"/>
    <w:rsid w:val="43CB67C0"/>
    <w:rsid w:val="43E4263E"/>
    <w:rsid w:val="43F3462F"/>
    <w:rsid w:val="44823C05"/>
    <w:rsid w:val="44A8366B"/>
    <w:rsid w:val="44AF0444"/>
    <w:rsid w:val="4589124E"/>
    <w:rsid w:val="45AE54CB"/>
    <w:rsid w:val="45F23AC6"/>
    <w:rsid w:val="46205483"/>
    <w:rsid w:val="47770CBC"/>
    <w:rsid w:val="48912EFC"/>
    <w:rsid w:val="48F50E49"/>
    <w:rsid w:val="4928096E"/>
    <w:rsid w:val="49AA301B"/>
    <w:rsid w:val="49CA7BE0"/>
    <w:rsid w:val="4A565917"/>
    <w:rsid w:val="4A5751EC"/>
    <w:rsid w:val="4ACA5DC9"/>
    <w:rsid w:val="4B93196B"/>
    <w:rsid w:val="4C0D0258"/>
    <w:rsid w:val="4D522188"/>
    <w:rsid w:val="4DCF5AD7"/>
    <w:rsid w:val="4DD67AE9"/>
    <w:rsid w:val="4E3917D8"/>
    <w:rsid w:val="4F742E4C"/>
    <w:rsid w:val="4FCD042A"/>
    <w:rsid w:val="500D2AC8"/>
    <w:rsid w:val="50616DC4"/>
    <w:rsid w:val="507C1E50"/>
    <w:rsid w:val="508F1B83"/>
    <w:rsid w:val="50B415EA"/>
    <w:rsid w:val="521C2FA3"/>
    <w:rsid w:val="523D6FB3"/>
    <w:rsid w:val="53DD2C05"/>
    <w:rsid w:val="54501629"/>
    <w:rsid w:val="549A0AF6"/>
    <w:rsid w:val="54C16083"/>
    <w:rsid w:val="556F788D"/>
    <w:rsid w:val="558F3104"/>
    <w:rsid w:val="55E464CD"/>
    <w:rsid w:val="55E55DA1"/>
    <w:rsid w:val="561A2735"/>
    <w:rsid w:val="56B714EC"/>
    <w:rsid w:val="579932E7"/>
    <w:rsid w:val="581F1A3E"/>
    <w:rsid w:val="587F072F"/>
    <w:rsid w:val="58907D59"/>
    <w:rsid w:val="58BC103B"/>
    <w:rsid w:val="58CE429C"/>
    <w:rsid w:val="5A1D0200"/>
    <w:rsid w:val="5A2F0DB8"/>
    <w:rsid w:val="5A73339A"/>
    <w:rsid w:val="5AD417B9"/>
    <w:rsid w:val="5B24111A"/>
    <w:rsid w:val="5B5F167B"/>
    <w:rsid w:val="5C0F5926"/>
    <w:rsid w:val="5C653798"/>
    <w:rsid w:val="5C6C0FCA"/>
    <w:rsid w:val="5DC22821"/>
    <w:rsid w:val="5EE07779"/>
    <w:rsid w:val="5F021772"/>
    <w:rsid w:val="5F334021"/>
    <w:rsid w:val="5F622211"/>
    <w:rsid w:val="5F920D48"/>
    <w:rsid w:val="5FFC403D"/>
    <w:rsid w:val="60031C46"/>
    <w:rsid w:val="60C87626"/>
    <w:rsid w:val="60E2185B"/>
    <w:rsid w:val="612904DC"/>
    <w:rsid w:val="61882D10"/>
    <w:rsid w:val="619958DF"/>
    <w:rsid w:val="61C40F61"/>
    <w:rsid w:val="623A4BAB"/>
    <w:rsid w:val="63C65464"/>
    <w:rsid w:val="63F634EE"/>
    <w:rsid w:val="641A130C"/>
    <w:rsid w:val="64454BE7"/>
    <w:rsid w:val="65D379C4"/>
    <w:rsid w:val="66815672"/>
    <w:rsid w:val="66902CF8"/>
    <w:rsid w:val="66CA7EB9"/>
    <w:rsid w:val="66CF2882"/>
    <w:rsid w:val="673F160B"/>
    <w:rsid w:val="67A1421E"/>
    <w:rsid w:val="68227FB0"/>
    <w:rsid w:val="688F1809"/>
    <w:rsid w:val="689B4294"/>
    <w:rsid w:val="690600B1"/>
    <w:rsid w:val="698E432E"/>
    <w:rsid w:val="69AB3E1D"/>
    <w:rsid w:val="6A255213"/>
    <w:rsid w:val="6A884BFC"/>
    <w:rsid w:val="6ABD22B6"/>
    <w:rsid w:val="6B673089"/>
    <w:rsid w:val="6BAB6B04"/>
    <w:rsid w:val="6BC73B27"/>
    <w:rsid w:val="6C2B67AC"/>
    <w:rsid w:val="6C2C7522"/>
    <w:rsid w:val="6DD639F5"/>
    <w:rsid w:val="6E303F2A"/>
    <w:rsid w:val="6E7C12C8"/>
    <w:rsid w:val="6E9510D6"/>
    <w:rsid w:val="6EC922AC"/>
    <w:rsid w:val="6EF94940"/>
    <w:rsid w:val="6F715770"/>
    <w:rsid w:val="70057314"/>
    <w:rsid w:val="70460245"/>
    <w:rsid w:val="70A02B99"/>
    <w:rsid w:val="71B903B6"/>
    <w:rsid w:val="71C46789"/>
    <w:rsid w:val="730E028E"/>
    <w:rsid w:val="73187BAB"/>
    <w:rsid w:val="7333597E"/>
    <w:rsid w:val="73845205"/>
    <w:rsid w:val="73D2750D"/>
    <w:rsid w:val="742F3313"/>
    <w:rsid w:val="74510D7A"/>
    <w:rsid w:val="74EF0832"/>
    <w:rsid w:val="74F02341"/>
    <w:rsid w:val="75F9148C"/>
    <w:rsid w:val="772C162A"/>
    <w:rsid w:val="77EB3293"/>
    <w:rsid w:val="78A6284A"/>
    <w:rsid w:val="79222CE5"/>
    <w:rsid w:val="7A1940E8"/>
    <w:rsid w:val="7AB12772"/>
    <w:rsid w:val="7B5B3B34"/>
    <w:rsid w:val="7B86755B"/>
    <w:rsid w:val="7B8A1C81"/>
    <w:rsid w:val="7BAE260E"/>
    <w:rsid w:val="7BCD518A"/>
    <w:rsid w:val="7D6513F2"/>
    <w:rsid w:val="7E505B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0">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oleObject" Target="file:///D:\SUGA&#24037;&#20316;\SUGA&#24037;&#20316;\2&#38108;\&#21697;&#31181;--&#25968;&#25454;&#24211;\&#25968;&#25454;&#24211;\4&#20135;&#19994;.xlsx!&#20132;&#26131;&#25152;&#24211;&#23384;!%5b4&#20135;&#19994;.xlsx%5d&#20132;&#26131;&#25152;&#24211;&#23384;%20&#22270;&#34920;%201" TargetMode="External"/><Relationship Id="rId15" Type="http://schemas.openxmlformats.org/officeDocument/2006/relationships/image" Target="media/image9.emf"/><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2024-04-15T00:04:00Z</dcterms:created>
  <dc:creator>WPS_1180513195</dc:creator>
  <cp:lastModifiedBy>WPS_1180513195</cp:lastModifiedBy>
  <dcterms:modified xsi:type="dcterms:W3CDTF">2024-04-29T01:38:34Z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059DC34C93C247A3B7744A883535FBC6_11</vt:lpwstr>
  </property>
</Properties>
</file>