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g4TsGrIBAABe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ascii="微软雅黑" w:hAnsi="微软雅黑" w:eastAsia="微软雅黑" w:cs="微软雅黑"/>
          <w:b/>
          <w:bCs/>
          <w:color w:val="FFFFFF"/>
          <w:spacing w:val="6"/>
          <w:sz w:val="96"/>
          <w:szCs w:val="96"/>
        </w:rPr>
        <w:t>周度市场报告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6</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pStyle w:val="3"/>
        <w:spacing w:line="253" w:lineRule="auto"/>
      </w:pPr>
      <w:r>
        <w:rPr>
          <w:sz w:val="21"/>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4.15pt;margin-top:10.1pt;height:38.45pt;width:132.85pt;z-index:251661312;v-text-anchor:middle;mso-width-relative:page;mso-height-relative:page;" fillcolor="#4F80BD" filled="t" stroked="f" coordsize="21600,21600" o:gfxdata="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tGQz1wAAAAgBAAAP&#10;AAAAAAAAAAEAIAAAACIAAABkcnMvZG93bnJldi54bWxQSwECFAAUAAAACACHTuJA9wkLTlICAAB9&#10;BAAADgAAAAAAAAABACAAAAAmAQAAZHJzL2Uyb0RvYy54bWxQSwUGAAAAAAYABgBZAQAA6gUAAAAA&#10;" adj="18475">
                <v:fill on="t" focussize="0,0"/>
                <v:stroke on="f"/>
                <v:imagedata o:title=""/>
                <o:lock v:ext="edit" aspectratio="f"/>
                <v:textbo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v:textbox>
              </v:shape>
            </w:pict>
          </mc:Fallback>
        </mc:AlternateContent>
      </w:r>
    </w:p>
    <w:p>
      <w:pPr>
        <w:pStyle w:val="3"/>
        <w:spacing w:line="253" w:lineRule="auto"/>
      </w:pPr>
    </w:p>
    <w:p>
      <w:pPr>
        <w:spacing w:before="103" w:line="256" w:lineRule="auto"/>
        <w:ind w:right="584"/>
        <w:jc w:val="both"/>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t xml:space="preserve"> </w:t>
      </w:r>
    </w:p>
    <w:p>
      <w:pPr>
        <w:spacing w:before="103" w:line="256" w:lineRule="auto"/>
        <w:ind w:left="287" w:right="584" w:firstLine="620"/>
        <w:jc w:val="both"/>
        <w:rPr>
          <w:rFonts w:hint="eastAsia" w:ascii="微软雅黑" w:hAnsi="微软雅黑" w:eastAsia="微软雅黑" w:cs="微软雅黑"/>
          <w:spacing w:val="3"/>
          <w:sz w:val="24"/>
          <w:szCs w:val="24"/>
          <w:lang w:eastAsia="zh-CN"/>
        </w:rPr>
      </w:pPr>
      <w:r>
        <w:rPr>
          <w:rFonts w:hint="eastAsia" w:ascii="微软雅黑" w:hAnsi="微软雅黑" w:eastAsia="微软雅黑" w:cs="微软雅黑"/>
          <w:spacing w:val="3"/>
          <w:sz w:val="24"/>
          <w:szCs w:val="24"/>
          <w:lang w:eastAsia="zh-CN"/>
        </w:rPr>
        <w:t>上周富时中国A50指数周涨0.47%至12513.37点，标准普尔500指数周度涨幅0.55%，报5127.79。美元兑离岸人民币跌约1.06%报7.1916人民币/美元，LME期铜周度跌幅为1.35%，报9855美元/吨。COMEX黄金周度跌幅为1.37%，报2301美元/盎司，COMEX白银周度跌幅为2.32%，报26.5美元/盎司。7月ICE原糖期货周度涨幅为1.2%，报19.32美分/磅，7月ICE棉周度跌幅为3.68%，报77.92美分/磅，MB铁矿石周度跌幅为0.32%，报117.6美元/公吨。</w:t>
      </w:r>
    </w:p>
    <w:p>
      <w:pPr>
        <w:spacing w:before="235" w:line="176" w:lineRule="auto"/>
        <w:ind w:firstLine="254" w:firstLineChars="100"/>
        <w:rPr>
          <w:rFonts w:ascii="微软雅黑" w:hAnsi="微软雅黑" w:eastAsia="微软雅黑" w:cs="微软雅黑"/>
          <w:spacing w:val="7"/>
          <w:sz w:val="24"/>
          <w:szCs w:val="24"/>
        </w:rPr>
      </w:pPr>
      <w:r>
        <w:rPr>
          <w:rFonts w:ascii="微软雅黑" w:hAnsi="微软雅黑" w:eastAsia="微软雅黑" w:cs="微软雅黑"/>
          <w:spacing w:val="7"/>
          <w:sz w:val="24"/>
          <w:szCs w:val="24"/>
        </w:rPr>
        <w:t>图表1</w:t>
      </w:r>
      <w:r>
        <w:rPr>
          <w:rFonts w:hint="eastAsia" w:ascii="微软雅黑" w:hAnsi="微软雅黑" w:eastAsia="微软雅黑" w:cs="微软雅黑"/>
          <w:spacing w:val="7"/>
          <w:sz w:val="24"/>
          <w:szCs w:val="24"/>
          <w:lang w:eastAsia="zh-CN"/>
        </w:rPr>
        <w:t>：</w:t>
      </w:r>
      <w:r>
        <w:rPr>
          <w:rFonts w:ascii="微软雅黑" w:hAnsi="微软雅黑" w:eastAsia="微软雅黑" w:cs="微软雅黑"/>
          <w:spacing w:val="7"/>
          <w:sz w:val="24"/>
          <w:szCs w:val="24"/>
        </w:rPr>
        <w:t>全球商品涨跌幅</w:t>
      </w:r>
    </w:p>
    <w:p>
      <w:pPr>
        <w:spacing w:before="235" w:line="176" w:lineRule="auto"/>
        <w:ind w:firstLine="246" w:firstLineChars="100"/>
        <w:jc w:val="both"/>
        <w:rPr>
          <w:rFonts w:hint="eastAsia" w:ascii="微软雅黑" w:hAnsi="微软雅黑" w:eastAsia="微软雅黑" w:cs="微软雅黑"/>
          <w:spacing w:val="3"/>
          <w:sz w:val="24"/>
          <w:szCs w:val="24"/>
          <w:lang w:eastAsia="zh-CN"/>
        </w:rPr>
      </w:pPr>
      <w:r>
        <w:rPr>
          <w:rFonts w:hint="eastAsia" w:ascii="微软雅黑" w:hAnsi="微软雅黑" w:eastAsia="微软雅黑" w:cs="微软雅黑"/>
          <w:spacing w:val="3"/>
          <w:sz w:val="24"/>
          <w:szCs w:val="24"/>
          <w:lang w:eastAsia="zh-CN"/>
        </w:rPr>
        <w:drawing>
          <wp:inline distT="0" distB="0" distL="114300" distR="114300">
            <wp:extent cx="5847715" cy="3122295"/>
            <wp:effectExtent l="0" t="0" r="4445" b="1905"/>
            <wp:docPr id="10" name="图片 10" descr="83586257e74c0be4f832e6ef31be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3586257e74c0be4f832e6ef31be5e4"/>
                    <pic:cNvPicPr>
                      <a:picLocks noChangeAspect="1"/>
                    </pic:cNvPicPr>
                  </pic:nvPicPr>
                  <pic:blipFill>
                    <a:blip r:embed="rId11"/>
                    <a:stretch>
                      <a:fillRect/>
                    </a:stretch>
                  </pic:blipFill>
                  <pic:spPr>
                    <a:xfrm>
                      <a:off x="0" y="0"/>
                      <a:ext cx="5847715" cy="3122295"/>
                    </a:xfrm>
                    <a:prstGeom prst="rect">
                      <a:avLst/>
                    </a:prstGeom>
                  </pic:spPr>
                </pic:pic>
              </a:graphicData>
            </a:graphic>
          </wp:inline>
        </w:drawing>
      </w:r>
    </w:p>
    <w:p>
      <w:pPr>
        <w:spacing w:before="235" w:line="176" w:lineRule="auto"/>
        <w:ind w:firstLine="194" w:firstLineChars="100"/>
        <w:rPr>
          <w:rFonts w:hint="default" w:ascii="微软雅黑" w:hAnsi="微软雅黑" w:eastAsia="微软雅黑" w:cs="微软雅黑"/>
          <w:sz w:val="18"/>
          <w:szCs w:val="18"/>
          <w:lang w:val="en-US" w:eastAsia="zh-CN"/>
        </w:rPr>
      </w:pPr>
      <w:r>
        <w:rPr>
          <w:rFonts w:hint="eastAsia" w:ascii="微软雅黑" w:hAnsi="微软雅黑" w:eastAsia="微软雅黑" w:cs="微软雅黑"/>
          <w:spacing w:val="7"/>
          <w:sz w:val="18"/>
          <w:szCs w:val="18"/>
          <w:lang w:val="en-US" w:eastAsia="zh-CN"/>
        </w:rPr>
        <w:t>资料来源：公开资料整理，瑞达国际</w:t>
      </w:r>
    </w:p>
    <w:p>
      <w:pPr>
        <w:pStyle w:val="3"/>
        <w:spacing w:line="282" w:lineRule="auto"/>
      </w:pPr>
    </w:p>
    <w:p>
      <w:pPr>
        <w:pStyle w:val="3"/>
        <w:spacing w:line="282" w:lineRule="auto"/>
      </w:pPr>
    </w:p>
    <w:p>
      <w:pPr>
        <w:pStyle w:val="3"/>
        <w:spacing w:line="282" w:lineRule="auto"/>
      </w:pPr>
    </w:p>
    <w:p>
      <w:pPr>
        <w:spacing w:before="120" w:line="190" w:lineRule="auto"/>
        <w:rPr>
          <w:rFonts w:ascii="微软雅黑" w:hAnsi="微软雅黑" w:eastAsia="微软雅黑" w:cs="微软雅黑"/>
          <w:spacing w:val="4"/>
          <w:sz w:val="24"/>
          <w:szCs w:val="24"/>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周度事件汇总</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spacing w:val="4"/>
          <w:sz w:val="24"/>
          <w:szCs w:val="24"/>
          <w:lang w:val="en-US" w:eastAsia="zh-CN"/>
        </w:rPr>
        <w:t>据央视新闻，巴勒斯坦通讯社当地时间5月5日晚间报道，以军战机对加沙南部城市拉法萨拉姆社区的一座房屋进行轰炸，导致多人伤亡。</w:t>
      </w:r>
      <w:r>
        <w:rPr>
          <w:rFonts w:hint="eastAsia" w:ascii="微软雅黑" w:hAnsi="微软雅黑" w:eastAsia="微软雅黑" w:cs="微软雅黑"/>
          <w:b w:val="0"/>
          <w:bCs w:val="0"/>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spacing w:val="4"/>
          <w:sz w:val="24"/>
          <w:szCs w:val="24"/>
          <w:lang w:val="en-US" w:eastAsia="zh-CN"/>
        </w:rPr>
        <w:t>美联储宣布将联邦基金利率目标区间维持在5.25%至5.50%的水平不变，将从6月开始将美债减持速度从每月600亿美元降至250亿美元。</w:t>
      </w:r>
      <w:r>
        <w:rPr>
          <w:rFonts w:hint="eastAsia" w:ascii="微软雅黑" w:hAnsi="微软雅黑" w:eastAsia="微软雅黑" w:cs="微软雅黑"/>
          <w:b w:val="0"/>
          <w:bCs w:val="0"/>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val="en-US"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spacing w:val="4"/>
          <w:sz w:val="24"/>
          <w:szCs w:val="24"/>
          <w:lang w:val="en-US" w:eastAsia="zh-CN"/>
        </w:rPr>
        <w:t>美国4月季调后非农就业人口增17.5万人，预期增24.3万人，前值从增30.3万人上修至增31.5万人。出乎市场预期，失业率从3月份的3.8%升至3.9%，达到2022年1月以来最高水平。工资涨幅也低于预期，较上年同期增长3.9%，而3月份的增幅为4.1%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世界黄金协会发布《全球黄金需求趋势报告》显示，今年一季度全球央行增持黄金储备290吨，其中中国人民银行为最大买家，一季度累计购入27吨，已连续17个月增持黄金。在黄金消费端，中国一季度金条和金币需求更是高达110吨，创下21年来新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【美国4月ISM非制造业PMI为49.4，预期52，前值51.4。】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【美国4月标普全球制造业PMI终值50，预期49.9，初值49.9，3月终值51.9。】</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【美国4月季调后非农就业人口增17.5万人，预期增24.3万人，前值从增30.3万人上修至增31.5万人。保健、社会救助、运输和仓储等行业就业增加。自2023年8月以来，失业率一直保持在3.7%至3.9%的窄幅区间。】</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【美国上周初请失业金人数为20.8万人，预期21.2万人，前值20.7万人；四周均值21万人，前值21.33万人。截至4月20日当周续请失业金人数177.4万人，预期179.7万人，前值178.1万人。】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【美国4月谘商会消费者信心指数97，预期104，前值从104.7修正为103.1；消费者现况指数142.9，前值151；消费者预期指数66.4，前值73.8。】</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【5月2日，欧洲央行管委斯图纳拉斯表示，欧洲央行更有可能在2024年降息三次。】</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【欧元区第一季度GDP初值同比升0.4%，预期升0.2%，2023年第四季度终值升0.1%，初值升0.1%；环比升0.3%，预期升0.2%，2023年第四季度终值降0.1%，初值持平。】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【欧元区4月制造业PMI终值45.7，预期45.6，初值45.6，3月终值46.1。】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【德国第一季度未季调GDP初值同比降0.9%，预期降0.8%，2023年第四季度终值降0.4%，初值降0.4%；环比升0.2%，预期升0.1%，2023年第四季度终值降0.3%，初值降0.3%。】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【德国4月季调后失业人数增1.0万人，预期增0.9万人，前值增0.4万人。季调后失业总人数为273.2万人，前值271.9万人；未季调失业总人数275.0万人，前值276.9万人。】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【德国4月制造业PMI终值42.5，预期42.2，初值42.2，3月终值41.9。】</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【中国香港第一季度GDP初值同比升2.7%，预期升0.9%，2023年第四季度终值升4.3%，初值升4.3%；环比升2.3%，预期升0.9%，2023年第四季度终值升0.4%，初值升0.5%。】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4月30日，日本财务省公布最新外汇干预操作，3月28日-4月25日总干预金额为0日元。值得注意的是，该数据并未包含29日（周一）的情况。日本央行数据显示，4月29日日本可能干预了外汇市场；外汇干预总额可能为5.51─5.26万亿日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4月财新中国制造业采购经理指数（PMI）为51.4，再度创2023年3月来新高，反映制造业生产经营活动继续加快扩张。3月财新中国制造业采购经理指数为51.1。国家统计局同日公布的3月制造业PMI录得50.4，低于前值0.4个百分点，连续第二个月高于荣枯线。】</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【5月3日，离岸人民币对美元一度升破7.19关口，创3月份以来新高。】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【假期期间，中国资产大幅拉涨，港股表现最为亮眼。截至5月3日，香港恒生指数已连续9个交易日收涨，创2018年以来最长连涨纪录。】</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rPr>
          <w:rFonts w:hint="eastAsia" w:ascii="微软雅黑" w:hAnsi="微软雅黑" w:eastAsia="微软雅黑" w:cs="微软雅黑"/>
          <w:b/>
          <w:bCs/>
          <w:color w:val="036EB8"/>
          <w:spacing w:val="10"/>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3"/>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 xml:space="preserve">品种观点 </w:t>
      </w:r>
    </w:p>
    <w:tbl>
      <w:tblPr>
        <w:tblStyle w:val="8"/>
        <w:tblW w:w="10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Borders>
              <w:top w:val="single" w:color="2169C1" w:sz="4" w:space="0"/>
              <w:left w:val="single" w:color="FFFFFF" w:sz="4" w:space="0"/>
              <w:bottom w:val="dotted" w:color="auto" w:sz="4" w:space="0"/>
              <w:right w:val="dotted" w:color="auto" w:sz="4" w:space="0"/>
            </w:tcBorders>
            <w:shd w:val="clear" w:color="auto" w:fill="729ED8"/>
            <w:vAlign w:val="center"/>
          </w:tcPr>
          <w:p>
            <w:pPr>
              <w:pStyle w:val="10"/>
              <w:widowControl w:val="0"/>
              <w:spacing w:before="221" w:line="182" w:lineRule="auto"/>
              <w:jc w:val="center"/>
              <w:rPr>
                <w:rFonts w:hint="eastAsia" w:ascii="微软雅黑" w:hAnsi="微软雅黑" w:eastAsia="微软雅黑" w:cs="微软雅黑"/>
                <w:snapToGrid w:val="0"/>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品种</w:t>
            </w:r>
          </w:p>
        </w:tc>
        <w:tc>
          <w:tcPr>
            <w:tcW w:w="9039" w:type="dxa"/>
            <w:tcBorders>
              <w:top w:val="single" w:color="2169C1" w:sz="4" w:space="0"/>
              <w:left w:val="dotted" w:color="auto" w:sz="4" w:space="0"/>
              <w:bottom w:val="dotted" w:color="auto" w:sz="4" w:space="0"/>
              <w:right w:val="single" w:color="FFFFFF" w:sz="4" w:space="0"/>
            </w:tcBorders>
            <w:shd w:val="clear" w:color="auto" w:fill="729ED8"/>
            <w:vAlign w:val="center"/>
          </w:tcPr>
          <w:p>
            <w:pPr>
              <w:widowControl w:val="0"/>
              <w:spacing w:before="120" w:line="190" w:lineRule="auto"/>
              <w:jc w:val="center"/>
              <w:rPr>
                <w:rFonts w:hint="default"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28" w:line="191" w:lineRule="auto"/>
              <w:jc w:val="center"/>
              <w:rPr>
                <w:rFonts w:hint="eastAsia" w:eastAsia="微软雅黑"/>
                <w:b/>
                <w:bCs/>
                <w:sz w:val="19"/>
                <w:szCs w:val="19"/>
                <w:lang w:eastAsia="zh-CN"/>
              </w:rPr>
            </w:pPr>
            <w:r>
              <w:rPr>
                <w:rFonts w:hint="eastAsia" w:eastAsia="微软雅黑"/>
                <w:b/>
                <w:bCs/>
                <w:sz w:val="19"/>
                <w:szCs w:val="19"/>
                <w:lang w:eastAsia="zh-CN"/>
              </w:rPr>
              <w:t>富时中国A50</w:t>
            </w:r>
          </w:p>
          <w:p>
            <w:pPr>
              <w:pStyle w:val="10"/>
              <w:widowControl w:val="0"/>
              <w:spacing w:before="228" w:line="191" w:lineRule="auto"/>
              <w:ind w:left="449" w:leftChars="0" w:firstLine="190" w:firstLineChars="100"/>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新宋体" w:hAnsi="新宋体" w:eastAsia="新宋体"/>
                <w:lang w:val="en-US" w:eastAsia="zh-CN"/>
              </w:rPr>
            </w:pPr>
            <w:r>
              <w:rPr>
                <w:rFonts w:hint="eastAsia" w:ascii="新宋体" w:hAnsi="新宋体" w:eastAsia="新宋体"/>
                <w:lang w:val="en-US" w:eastAsia="zh-CN"/>
              </w:rPr>
              <w:t>截至4月30日，富时中国A50指数周涨0.47%至12513.37点；截至5月3日，新交所富时A50期指主力合约收涨2.24%至12763点。五一节前，沪深京三大交易所发布重要政策意见，内容涉及退市、IPO、分红、重组多项相关规则修订。五一假期期间，全球市场波动放大，其中中国资产表现强势。纳斯达克中国金龙指数、人民币大涨。恒生指数实现9连涨，一定程度上利好节后市场情绪。策略上，短线逢低做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0" w:line="191" w:lineRule="auto"/>
              <w:jc w:val="center"/>
              <w:rPr>
                <w:b/>
                <w:bCs/>
                <w:sz w:val="19"/>
                <w:szCs w:val="19"/>
              </w:rPr>
            </w:pPr>
            <w:r>
              <w:rPr>
                <w:rFonts w:hint="eastAsia"/>
                <w:b/>
                <w:bCs/>
                <w:sz w:val="19"/>
                <w:szCs w:val="19"/>
              </w:rPr>
              <w:t>S&amp;P500</w:t>
            </w:r>
          </w:p>
          <w:p>
            <w:pPr>
              <w:pStyle w:val="10"/>
              <w:widowControl w:val="0"/>
              <w:spacing w:before="230" w:line="191" w:lineRule="auto"/>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rPr>
                <w:rFonts w:hint="eastAsia" w:ascii="新宋体" w:hAnsi="新宋体" w:eastAsia="新宋体"/>
                <w:lang w:val="en-US" w:eastAsia="zh-CN"/>
              </w:rPr>
            </w:pPr>
            <w:r>
              <w:rPr>
                <w:rFonts w:hint="eastAsia" w:ascii="新宋体" w:hAnsi="新宋体" w:eastAsia="新宋体"/>
                <w:lang w:val="en-US" w:eastAsia="zh-CN"/>
              </w:rPr>
              <w:t>截至5月4日，标普500指数周涨0.55%至5127.79点；迷你标普500主力合约收涨0.58%至5161.50点。美股周五收高，三大股指本周均录得涨幅。美国4月非农就业数据远逊预期，失业率上升、薪酬增长放缓，使市场对美联储今年降息的预期重新升温。策略上，短线观望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1" w:line="191" w:lineRule="auto"/>
              <w:ind w:left="449" w:leftChars="0"/>
              <w:jc w:val="both"/>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铁矿石</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line="240" w:lineRule="auto"/>
              <w:jc w:val="left"/>
              <w:rPr>
                <w:rFonts w:hint="eastAsia" w:ascii="新宋体" w:hAnsi="新宋体" w:eastAsia="新宋体" w:cs="新宋体"/>
                <w:lang w:val="en-US" w:eastAsia="zh-CN"/>
              </w:rPr>
            </w:pPr>
            <w:r>
              <w:rPr>
                <w:rFonts w:hint="eastAsia" w:ascii="新宋体" w:hAnsi="新宋体" w:eastAsia="新宋体" w:cs="新宋体"/>
                <w:lang w:val="en-US" w:eastAsia="zh-CN"/>
              </w:rPr>
              <w:t>节前，钢厂增加炉料采购，支撑矿价震荡偏强。本周铁矿石期价或延续偏强格局，近期钢厂高炉开工率持续回升，对铁矿石期现货价格构成支撑，同时市场预计，因节前钢厂加速提货，港口疏港量或维持上升趋势，45港铁矿石库存或将呈现去库趋势。操作策略：I2409合约回调择机短多，注意操作节奏及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LME铜</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line="240" w:lineRule="auto"/>
              <w:rPr>
                <w:rFonts w:hint="eastAsia" w:ascii="新宋体" w:hAnsi="新宋体" w:eastAsia="新宋体" w:cs="新宋体"/>
                <w:color w:val="000000" w:themeColor="text1"/>
                <w:lang w:val="en-US" w:eastAsia="zh-CN"/>
                <w14:textFill>
                  <w14:solidFill>
                    <w14:schemeClr w14:val="tx1"/>
                  </w14:solidFill>
                </w14:textFill>
              </w:rPr>
            </w:pPr>
            <w:r>
              <w:rPr>
                <w:rFonts w:hint="eastAsia" w:ascii="新宋体" w:hAnsi="新宋体" w:eastAsia="新宋体" w:cs="新宋体"/>
                <w:color w:val="000000" w:themeColor="text1"/>
                <w:lang w:val="en-US" w:eastAsia="zh-CN"/>
                <w14:textFill>
                  <w14:solidFill>
                    <w14:schemeClr w14:val="tx1"/>
                  </w14:solidFill>
                </w14:textFill>
              </w:rPr>
              <w:t>国际方面，美国4月份非农就业人数新增17.5万人，为六个月来最小增幅，远低于市场预期，失业率上升至3.9%，3月非农新增就业人数共下修2.2万人。市场将美联储首次降息时间预期从11月提前至9月。美国劳动力市场数据降温，美联储5月议息维持利率不变，承认近期通胀进展不顺，鲍威尔表示，下次会议不太可能加息，降息与否具体取决于数据，降息的时间比之前预期的要长，目前来看推迟降息可能是合适的。整体来看美联储释放情绪偏鸽，降息预期回暖，美元指数走弱周跌幅-0.86%。国内方面，国家发改委：将强化政策预研储备并根据形势需要及时推动出台、全面取消制造业领域外资准入限制措施、通过财税等优惠政策，更好满足消费者对新能源汽车的需求。库存方面，截至本周最新数据，LME总库存为111300吨，较上周环比-7250吨；COMEX总库为23637短吨，较上周环比-1420吨；SHFE库存为288340吨，较上周环比+842吨。 三大交易所库存周环比均有去库。操作建议，轻仓逢低短多，仅供参考。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CBOT大豆</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节日期间，巴西大豆种植区域迎来大暴雨，使得市场对巴西的收割产生担忧，市场预计巴西的产量可能会进一步下降100-300万吨，提振美豆的走势。另外，阿根廷的收割进度也总体偏慢，市场担忧有所加剧。目前市场等待5月美豆的种植情况以及天气情况对盘面的进一步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原油</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国际原油市场下跌，布伦特原油7月期货合约结算价报82.96美元/桶，假期累计跌幅约3.9%；美国WTI原油6月期货合约结算价报78.11元/桶，累计跌幅4.7%。美国4月就业增长放缓幅度超过预期，且薪资同比涨幅降温，市场预期美联储今年将降息两次，美元指数回落至三周低位。欧佩克联盟产油国将自愿减产措施延长到二季度，沙特将自愿减产100万桶/日，俄罗斯在二季度自愿削减供应47.1万桶/日；EIA美国原油库存大幅增加；以色列和哈马斯进行停火谈判，缓解中东冲突升级担忧</w:t>
            </w:r>
            <w:bookmarkStart w:id="0" w:name="_GoBack"/>
            <w:bookmarkEnd w:id="0"/>
            <w:r>
              <w:rPr>
                <w:rFonts w:hint="eastAsia" w:ascii="新宋体" w:hAnsi="新宋体" w:eastAsia="新宋体" w:cs="新宋体"/>
                <w:sz w:val="21"/>
                <w:szCs w:val="21"/>
                <w:lang w:val="en-US" w:eastAsia="zh-CN"/>
              </w:rPr>
              <w:t>，市场权衡地缘局势与美联储降息推迟影响，短线原油期价呈现震荡整理。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b/>
                <w:bCs/>
                <w:sz w:val="19"/>
                <w:szCs w:val="19"/>
              </w:rPr>
              <w:t>ICE原糖</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rPr>
                <w:rFonts w:hint="eastAsia" w:ascii="新宋体" w:hAnsi="新宋体" w:eastAsia="新宋体" w:cs="新宋体"/>
                <w:spacing w:val="25"/>
                <w:sz w:val="21"/>
                <w:szCs w:val="21"/>
                <w:lang w:val="en-US" w:eastAsia="zh-CN"/>
              </w:rPr>
            </w:pPr>
            <w:r>
              <w:rPr>
                <w:rFonts w:hint="eastAsia" w:ascii="新宋体" w:hAnsi="新宋体" w:eastAsia="新宋体" w:cs="新宋体"/>
                <w:sz w:val="21"/>
                <w:szCs w:val="21"/>
                <w:lang w:val="en-US" w:eastAsia="zh-CN"/>
              </w:rPr>
              <w:t>五一假期期间，洲际期货交易所（ICE）原糖期货主力小幅下跌，跌幅约0.6%，由于巴西压榨迎来集中期，供应充足，原糖期价暂且无上行动力。巴西航运机构Williams发布的数据显示，截至4月30日当周，巴西港口等待装运食糖的船只数量为120艘，此前一周为95艘。港口等待装运的食糖数量为449.57万吨，此前一周为335.31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4" w:line="191" w:lineRule="auto"/>
              <w:jc w:val="center"/>
              <w:rPr>
                <w:rFonts w:hint="eastAsia" w:ascii="微软雅黑" w:hAnsi="微软雅黑" w:eastAsia="微软雅黑" w:cs="微软雅黑"/>
                <w:b/>
                <w:bCs/>
                <w:snapToGrid w:val="0"/>
                <w:color w:val="000000"/>
                <w:spacing w:val="3"/>
                <w:kern w:val="0"/>
                <w:sz w:val="19"/>
                <w:szCs w:val="19"/>
                <w:lang w:val="en-US" w:eastAsia="zh-CN" w:bidi="ar-SA"/>
              </w:rPr>
            </w:pPr>
            <w:r>
              <w:rPr>
                <w:b/>
                <w:bCs/>
                <w:sz w:val="19"/>
                <w:szCs w:val="19"/>
              </w:rPr>
              <w:t>ICE</w:t>
            </w:r>
            <w:r>
              <w:rPr>
                <w:rFonts w:hint="eastAsia"/>
                <w:b/>
                <w:bCs/>
                <w:sz w:val="19"/>
                <w:szCs w:val="19"/>
                <w:lang w:val="en-US" w:eastAsia="zh-CN"/>
              </w:rPr>
              <w:t>棉花</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五一假期期间，洲际交易所(ICE)棉花期货主力继续创新低，跌幅超2.0%，由于美联储推迟降息，美元继续走强的背景下，美国棉花增产预期强烈，利空市场。美棉销售数据欠佳。据美国农业部(USDA)报告显示，截止4月25日当周，美国当前年度棉花出口销售净增9.74万包，较之前一周减少45%，较前四周均值减少20%，对中国出口销售净增1.5万包。当周 美国棉花出口装船18万包，较之前一周减少31%，低于四周均值39%。美棉签约下降。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1744" w:type="dxa"/>
            <w:tcBorders>
              <w:top w:val="dotted" w:color="auto" w:sz="4" w:space="0"/>
              <w:left w:val="single" w:color="FFFFFF" w:sz="4" w:space="0"/>
              <w:bottom w:val="dotted" w:color="auto" w:sz="4" w:space="0"/>
              <w:right w:val="dotted" w:color="auto" w:sz="4" w:space="0"/>
            </w:tcBorders>
            <w:shd w:val="clear" w:color="auto" w:fill="B5C7EA" w:themeFill="accent1" w:themeFillTint="66"/>
            <w:vAlign w:val="center"/>
          </w:tcPr>
          <w:p>
            <w:pPr>
              <w:pStyle w:val="10"/>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美元指数</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近期公布的美国经济数据均显示整体经济或有所放缓，前期ISM制造业以及服务业PMI均低于市场预期，同时服务业PMI录得2022年12月以来新低并意外落入萎缩区间，或暗示整体服务需求有所走弱。新增就业非农就业人数同样低于市场预期，失业率同步走高，整体薪资增速有所放缓，侧面反映整体劳动力市场或逐渐走向供需平衡的状态。往后看，短期内美国经济数据走弱带动利率预期下降或给予美元指数一定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1744" w:type="dxa"/>
            <w:tcBorders>
              <w:top w:val="dotted" w:color="auto" w:sz="4" w:space="0"/>
              <w:left w:val="single" w:color="FFFFFF" w:sz="4" w:space="0"/>
              <w:bottom w:val="single" w:color="2169C1" w:sz="4" w:space="0"/>
              <w:right w:val="dotted" w:color="auto" w:sz="4" w:space="0"/>
            </w:tcBorders>
            <w:shd w:val="clear" w:color="auto" w:fill="B5C7EA" w:themeFill="accent1" w:themeFillTint="66"/>
            <w:vAlign w:val="center"/>
          </w:tcPr>
          <w:p>
            <w:pPr>
              <w:pStyle w:val="10"/>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贵金属</w:t>
            </w:r>
          </w:p>
        </w:tc>
        <w:tc>
          <w:tcPr>
            <w:tcW w:w="9039" w:type="dxa"/>
            <w:tcBorders>
              <w:top w:val="dotted" w:color="auto" w:sz="4" w:space="0"/>
              <w:left w:val="dotted" w:color="auto" w:sz="4" w:space="0"/>
              <w:bottom w:val="single" w:color="2169C1" w:sz="4" w:space="0"/>
              <w:right w:val="single" w:color="FFFFFF" w:sz="4" w:space="0"/>
            </w:tcBorders>
            <w:shd w:val="clear" w:color="auto" w:fill="DBE3F4" w:themeFill="accent1" w:themeFillTint="32"/>
          </w:tcPr>
          <w:p>
            <w:pPr>
              <w:widowControl w:val="0"/>
              <w:spacing w:before="120" w:line="240" w:lineRule="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近期美国经济数据接连超预期走弱，制造业及服务业PMI均低于市场预期且服务业PMI超预期进入萎缩区间，非农新增就业人数意外低于预期且失业率回升，整体经济增速在高利率环境下或有所放缓。欧元区及英国整体经济虽仍较薄弱，但情况持续好转。往后看，短期内美国经济增速预期走弱或降低市场对整体需求的预期，通胀预期或随之回落或使贵金属相对承压，但美元走弱以及地缘不确定性尚存或给予其相应支撑，贵金属价格于短期内或多于高位震荡。</w:t>
            </w:r>
          </w:p>
        </w:tc>
      </w:tr>
    </w:tbl>
    <w:p>
      <w:pPr>
        <w:spacing w:before="120" w:line="190" w:lineRule="auto"/>
        <w:rPr>
          <w:rFonts w:hint="eastAsia" w:ascii="微软雅黑" w:hAnsi="微软雅黑" w:eastAsia="微软雅黑" w:cs="微软雅黑"/>
          <w:b/>
          <w:bCs/>
          <w:color w:val="036EB8"/>
          <w:spacing w:val="10"/>
          <w:sz w:val="28"/>
          <w:szCs w:val="28"/>
          <w:lang w:val="en-US" w:eastAsia="zh-CN"/>
        </w:rPr>
      </w:pPr>
    </w:p>
    <w:p>
      <w:pPr>
        <w:pStyle w:val="3"/>
        <w:spacing w:line="263" w:lineRule="auto"/>
      </w:pPr>
    </w:p>
    <w:p>
      <w:pPr>
        <w:pStyle w:val="3"/>
        <w:spacing w:line="263" w:lineRule="auto"/>
      </w:pPr>
    </w:p>
    <w:p>
      <w:pPr>
        <w:pStyle w:val="3"/>
        <w:spacing w:line="263" w:lineRule="auto"/>
      </w:pPr>
    </w:p>
    <w:p>
      <w:pPr>
        <w:pStyle w:val="3"/>
        <w:spacing w:line="263" w:lineRule="auto"/>
        <w:rPr>
          <w:rFonts w:hint="default" w:ascii="微软雅黑" w:hAnsi="微软雅黑" w:eastAsia="微软雅黑" w:cs="微软雅黑"/>
          <w:color w:val="036EB8"/>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4"/>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品种图表</w:t>
      </w:r>
    </w:p>
    <w:tbl>
      <w:tblPr>
        <w:tblStyle w:val="11"/>
        <w:tblW w:w="9416" w:type="dxa"/>
        <w:tblInd w:w="210" w:type="dxa"/>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Layout w:type="fixed"/>
        <w:tblCellMar>
          <w:top w:w="0" w:type="dxa"/>
          <w:left w:w="0" w:type="dxa"/>
          <w:bottom w:w="0" w:type="dxa"/>
          <w:right w:w="0" w:type="dxa"/>
        </w:tblCellMar>
      </w:tblPr>
      <w:tblGrid>
        <w:gridCol w:w="9416"/>
      </w:tblGrid>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3516" w:hRule="atLeast"/>
        </w:trPr>
        <w:tc>
          <w:tcPr>
            <w:tcW w:w="9416" w:type="dxa"/>
            <w:vAlign w:val="top"/>
          </w:tcPr>
          <w:p>
            <w:pPr>
              <w:spacing w:line="4053" w:lineRule="exact"/>
              <w:jc w:val="both"/>
              <w:rPr>
                <w:rFonts w:hint="eastAsia" w:eastAsia="宋体"/>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图2：美国CPI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15pt;margin-top:164.9pt;height:22.65pt;width:175.6pt;z-index:251663360;mso-width-relative:page;mso-height-relative:page;" fillcolor="#FFFFFF [3201]" filled="t" stroked="f" coordsize="21600,21600" o:gfxdata="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OrY1LWAAAACwEAAA8AAAAA&#10;AAAAAQAgAAAAIgAAAGRycy9kb3ducmV2LnhtbFBLAQIUABQAAAAIAIdO4kC2OfOTTwIAAJEEAAAO&#10;AAAAAAAAAAEAIAAAACUBAABkcnMvZTJvRG9jLnhtbFBLBQYAAAAABgAGAFkBAADmBQ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图2：美国CPI</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 ：纽约铜主力合约走势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pt;margin-top:166.5pt;height:22.65pt;width:201.9pt;z-index:251662336;mso-width-relative:page;mso-height-relative:page;" fillcolor="#FFFFFF [3201]" filled="t" stroked="t" coordsize="21600,21600" o:gfxdata="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JptrtgAAAAKAQAA&#10;DwAAAAAAAAABACAAAAAiAAAAZHJzL2Rvd25yZXYueG1sUEsBAhQAFAAAAAgAh07iQOT9VftSAgAA&#10;ugQAAA4AAAAAAAAAAQAgAAAAJwEAAGRycy9lMm9Eb2MueG1sUEsFBgAAAAAGAAYAWQEAAOsFAAAA&#10;AA==&#10;">
                      <v:fill on="t" focussize="0,0"/>
                      <v:stroke weight="0.5pt" color="#FFFFFF [3212]" joinstyle="round"/>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 ：纽约铜主力合约走势</w:t>
                            </w:r>
                          </w:p>
                        </w:txbxContent>
                      </v:textbox>
                    </v:shape>
                  </w:pict>
                </mc:Fallback>
              </mc:AlternateContent>
            </w:r>
            <w:r>
              <w:rPr>
                <w:rFonts w:hint="eastAsia" w:eastAsia="宋体"/>
                <w:sz w:val="21"/>
                <w:lang w:val="en-US" w:eastAsia="zh-CN"/>
              </w:rPr>
              <w:t xml:space="preserve"> </w:t>
            </w:r>
            <w:r>
              <w:drawing>
                <wp:inline distT="0" distB="0" distL="0" distR="0">
                  <wp:extent cx="3036570" cy="1769110"/>
                  <wp:effectExtent l="0" t="0" r="1143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3036570" cy="1769110"/>
                          </a:xfrm>
                          <a:prstGeom prst="rect">
                            <a:avLst/>
                          </a:prstGeom>
                        </pic:spPr>
                      </pic:pic>
                    </a:graphicData>
                  </a:graphic>
                </wp:inline>
              </w:drawing>
            </w:r>
            <w:r>
              <w:rPr>
                <w:rFonts w:hint="eastAsia" w:eastAsia="宋体"/>
                <w:lang w:val="en-US" w:eastAsia="zh-CN"/>
              </w:rPr>
              <w:t xml:space="preserve"> </w:t>
            </w:r>
            <w:r>
              <w:drawing>
                <wp:inline distT="0" distB="0" distL="0" distR="0">
                  <wp:extent cx="2743835" cy="1752600"/>
                  <wp:effectExtent l="0" t="0" r="184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2743835" cy="175260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2744470</wp:posOffset>
                      </wp:positionH>
                      <wp:positionV relativeFrom="paragraph">
                        <wp:posOffset>2066290</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图4：EIA美国商业原油库存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1pt;margin-top:162.7pt;height:23.85pt;width:203.2pt;z-index:251671552;mso-width-relative:page;mso-height-relative:page;" fillcolor="#FFFFFF [3201]" filled="t" stroked="f" coordsize="21600,21600" o:gfxdata="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Yx5+tUAAAALAQAADwAA&#10;AAAAAAABACAAAAAiAAAAZHJzL2Rvd25yZXYueG1sUEsBAhQAFAAAAAgAh07iQOMpvNhSAgAAkQQA&#10;AA4AAAAAAAAAAQAgAAAAJA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图4：EIA美国商业原油库存</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1811020" cy="287655"/>
                      <wp:effectExtent l="0" t="0" r="17780" b="17145"/>
                      <wp:wrapNone/>
                      <wp:docPr id="43" name="文本框 43"/>
                      <wp:cNvGraphicFramePr/>
                      <a:graphic xmlns:a="http://schemas.openxmlformats.org/drawingml/2006/main">
                        <a:graphicData uri="http://schemas.microsoft.com/office/word/2010/wordprocessingShape">
                          <wps:wsp>
                            <wps:cNvSpPr txBox="1"/>
                            <wps:spPr>
                              <a:xfrm>
                                <a:off x="0" y="0"/>
                                <a:ext cx="18110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图3：中国GDP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pt;margin-top:165.8pt;height:22.65pt;width:142.6pt;z-index:251664384;mso-width-relative:page;mso-height-relative:page;" fillcolor="#FFFFFF [3201]" filled="t" stroked="f" coordsize="21600,21600" o:gfxdata="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2ADFH1gAAAAoBAAAPAAAA&#10;AAAAAAEAIAAAACIAAABkcnMvZG93bnJldi54bWxQSwECFAAUAAAACACHTuJAkpS8ClACAACRBAAA&#10;DgAAAAAAAAABACAAAAAlAQAAZHJzL2Uyb0RvYy54bWxQSwUGAAAAAAYABgBZAQAA5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图3：中国GDP</w:t>
                            </w:r>
                          </w:p>
                        </w:txbxContent>
                      </v:textbox>
                    </v:shape>
                  </w:pict>
                </mc:Fallback>
              </mc:AlternateContent>
            </w:r>
            <w:r>
              <w:rPr>
                <w:rFonts w:hint="eastAsia" w:eastAsia="宋体"/>
                <w:lang w:val="en-US" w:eastAsia="zh-CN"/>
              </w:rPr>
              <w:t xml:space="preserve">  </w:t>
            </w:r>
            <w:r>
              <w:drawing>
                <wp:inline distT="0" distB="0" distL="0" distR="0">
                  <wp:extent cx="2590165" cy="17145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2590165" cy="1714500"/>
                          </a:xfrm>
                          <a:prstGeom prst="rect">
                            <a:avLst/>
                          </a:prstGeom>
                        </pic:spPr>
                      </pic:pic>
                    </a:graphicData>
                  </a:graphic>
                </wp:inline>
              </w:drawing>
            </w:r>
            <w:r>
              <w:rPr>
                <w:rFonts w:hint="eastAsia" w:eastAsia="宋体"/>
                <w:lang w:val="en-US" w:eastAsia="zh-CN"/>
              </w:rPr>
              <w:t xml:space="preserve"> </w:t>
            </w:r>
            <w:r>
              <w:rPr>
                <w:rFonts w:ascii="宋体" w:hAnsi="宋体" w:eastAsia="宋体"/>
              </w:rPr>
              <w:drawing>
                <wp:inline distT="0" distB="0" distL="0" distR="0">
                  <wp:extent cx="2780030" cy="1814195"/>
                  <wp:effectExtent l="0" t="0" r="1270"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80030" cy="1814195"/>
                          </a:xfrm>
                          <a:prstGeom prst="rect">
                            <a:avLst/>
                          </a:prstGeom>
                          <a:noFill/>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rPr>
                <w:rFonts w:hint="default" w:eastAsia="宋体"/>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图6：ICE</w:t>
                                  </w:r>
                                  <w:r>
                                    <w:rPr>
                                      <w:rFonts w:hint="eastAsia" w:ascii="微软雅黑" w:hAnsi="微软雅黑" w:eastAsia="微软雅黑" w:cs="微软雅黑"/>
                                      <w:snapToGrid w:val="0"/>
                                      <w:color w:val="000000"/>
                                      <w:spacing w:val="25"/>
                                      <w:kern w:val="0"/>
                                      <w:sz w:val="19"/>
                                      <w:szCs w:val="19"/>
                                      <w:lang w:val="zh-CN" w:eastAsia="zh-CN" w:bidi="ar-SA"/>
                                    </w:rPr>
                                    <w:t>原糖期货主力</w:t>
                                  </w:r>
                                  <w:r>
                                    <w:rPr>
                                      <w:rFonts w:hint="eastAsia" w:ascii="微软雅黑" w:hAnsi="微软雅黑" w:eastAsia="微软雅黑" w:cs="微软雅黑"/>
                                      <w:snapToGrid w:val="0"/>
                                      <w:color w:val="000000"/>
                                      <w:spacing w:val="25"/>
                                      <w:kern w:val="0"/>
                                      <w:sz w:val="19"/>
                                      <w:szCs w:val="19"/>
                                      <w:lang w:val="en-US" w:eastAsia="zh-CN" w:bidi="ar-SA"/>
                                    </w:rPr>
                                    <w:t>合约</w:t>
                                  </w:r>
                                  <w:r>
                                    <w:rPr>
                                      <w:rFonts w:hint="eastAsia" w:ascii="微软雅黑" w:hAnsi="微软雅黑" w:eastAsia="微软雅黑" w:cs="微软雅黑"/>
                                      <w:snapToGrid w:val="0"/>
                                      <w:color w:val="000000"/>
                                      <w:spacing w:val="25"/>
                                      <w:kern w:val="0"/>
                                      <w:sz w:val="19"/>
                                      <w:szCs w:val="19"/>
                                      <w:lang w:val="zh-CN" w:eastAsia="zh-CN" w:bidi="ar-SA"/>
                                    </w:rPr>
                                    <w:t>走势</w:t>
                                  </w: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5pt;margin-top:166.1pt;height:33.4pt;width:223.45pt;z-index:251666432;mso-width-relative:page;mso-height-relative:page;" fillcolor="#FFFFFF [3201]" filled="t" stroked="f" coordsize="21600,21600" o:gfxdata="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vTj5dcAAAALAQAA&#10;DwAAAAAAAAABACAAAAAiAAAAZHJzL2Rvd25yZXYueG1sUEsBAhQAFAAAAAgAh07iQHVVI95TAgAA&#10;kQQAAA4AAAAAAAAAAQAgAAAAJgEAAGRycy9lMm9Eb2MueG1sUEsFBgAAAAAGAAYAWQEAAOsFAAAA&#10;AA==&#10;">
                      <v:fill on="t" focussize="0,0"/>
                      <v:stroke on="f" weight="0.5pt"/>
                      <v:imagedata o:title=""/>
                      <o:lock v:ext="edit" aspectratio="f"/>
                      <v:textbo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图6：ICE</w:t>
                            </w:r>
                            <w:r>
                              <w:rPr>
                                <w:rFonts w:hint="eastAsia" w:ascii="微软雅黑" w:hAnsi="微软雅黑" w:eastAsia="微软雅黑" w:cs="微软雅黑"/>
                                <w:snapToGrid w:val="0"/>
                                <w:color w:val="000000"/>
                                <w:spacing w:val="25"/>
                                <w:kern w:val="0"/>
                                <w:sz w:val="19"/>
                                <w:szCs w:val="19"/>
                                <w:lang w:val="zh-CN" w:eastAsia="zh-CN" w:bidi="ar-SA"/>
                              </w:rPr>
                              <w:t>原糖期货主力</w:t>
                            </w:r>
                            <w:r>
                              <w:rPr>
                                <w:rFonts w:hint="eastAsia" w:ascii="微软雅黑" w:hAnsi="微软雅黑" w:eastAsia="微软雅黑" w:cs="微软雅黑"/>
                                <w:snapToGrid w:val="0"/>
                                <w:color w:val="000000"/>
                                <w:spacing w:val="25"/>
                                <w:kern w:val="0"/>
                                <w:sz w:val="19"/>
                                <w:szCs w:val="19"/>
                                <w:lang w:val="en-US" w:eastAsia="zh-CN" w:bidi="ar-SA"/>
                              </w:rPr>
                              <w:t>合约</w:t>
                            </w:r>
                            <w:r>
                              <w:rPr>
                                <w:rFonts w:hint="eastAsia" w:ascii="微软雅黑" w:hAnsi="微软雅黑" w:eastAsia="微软雅黑" w:cs="微软雅黑"/>
                                <w:snapToGrid w:val="0"/>
                                <w:color w:val="000000"/>
                                <w:spacing w:val="25"/>
                                <w:kern w:val="0"/>
                                <w:sz w:val="19"/>
                                <w:szCs w:val="19"/>
                                <w:lang w:val="zh-CN" w:eastAsia="zh-CN" w:bidi="ar-SA"/>
                              </w:rPr>
                              <w:t>走势</w:t>
                            </w: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图5：ICE棉花</w:t>
                                  </w:r>
                                  <w:r>
                                    <w:rPr>
                                      <w:rFonts w:hint="eastAsia" w:ascii="微软雅黑" w:hAnsi="微软雅黑" w:eastAsia="微软雅黑" w:cs="微软雅黑"/>
                                      <w:snapToGrid w:val="0"/>
                                      <w:color w:val="000000"/>
                                      <w:spacing w:val="25"/>
                                      <w:kern w:val="0"/>
                                      <w:sz w:val="19"/>
                                      <w:szCs w:val="19"/>
                                      <w:lang w:val="zh-CN" w:eastAsia="zh-CN" w:bidi="ar-SA"/>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172.3pt;height:23.7pt;width:203.15pt;z-index:251665408;mso-width-relative:page;mso-height-relative:page;" fillcolor="#FFFFFF [3201]" filled="t" stroked="f" coordsize="21600,21600" o:gfxdata="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bVxP&#10;1QAAAAoBAAAPAAAAAAAAAAEAIAAAACIAAABkcnMvZG93bnJldi54bWxQSwECFAAUAAAACACHTuJA&#10;NF5u3F0CAACcBAAADgAAAAAAAAABACAAAAAkAQAAZHJzL2Uyb0RvYy54bWxQSwUGAAAAAAYABgBZ&#10;AQAA8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图5：ICE棉花</w:t>
                            </w:r>
                            <w:r>
                              <w:rPr>
                                <w:rFonts w:hint="eastAsia" w:ascii="微软雅黑" w:hAnsi="微软雅黑" w:eastAsia="微软雅黑" w:cs="微软雅黑"/>
                                <w:snapToGrid w:val="0"/>
                                <w:color w:val="000000"/>
                                <w:spacing w:val="25"/>
                                <w:kern w:val="0"/>
                                <w:sz w:val="19"/>
                                <w:szCs w:val="19"/>
                                <w:lang w:val="zh-CN" w:eastAsia="zh-CN" w:bidi="ar-SA"/>
                              </w:rPr>
                              <w:t>期货主力合约日走势图</w:t>
                            </w:r>
                          </w:p>
                        </w:txbxContent>
                      </v:textbox>
                    </v:shape>
                  </w:pict>
                </mc:Fallback>
              </mc:AlternateContent>
            </w:r>
            <w:r>
              <w:rPr>
                <w:rFonts w:hint="eastAsia" w:eastAsia="宋体"/>
                <w:lang w:val="en-US" w:eastAsia="zh-CN"/>
              </w:rPr>
              <w:t xml:space="preserve">  </w:t>
            </w:r>
            <w:r>
              <w:rPr>
                <w:rFonts w:hint="default"/>
                <w:lang w:val="en-US" w:eastAsia="zh-CN"/>
              </w:rPr>
              <w:drawing>
                <wp:inline distT="0" distB="0" distL="114300" distR="114300">
                  <wp:extent cx="2826385" cy="1766570"/>
                  <wp:effectExtent l="0" t="0" r="12065" b="5080"/>
                  <wp:docPr id="16" name="图片 16" descr="QQ截图2024050608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240506080559"/>
                          <pic:cNvPicPr>
                            <a:picLocks noChangeAspect="1"/>
                          </pic:cNvPicPr>
                        </pic:nvPicPr>
                        <pic:blipFill>
                          <a:blip r:embed="rId19"/>
                          <a:stretch>
                            <a:fillRect/>
                          </a:stretch>
                        </pic:blipFill>
                        <pic:spPr>
                          <a:xfrm>
                            <a:off x="0" y="0"/>
                            <a:ext cx="2826385" cy="176657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684780" cy="1762125"/>
                  <wp:effectExtent l="0" t="0" r="1270" b="9525"/>
                  <wp:docPr id="15" name="图片 15" descr="QQ截图2024050608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40506080528"/>
                          <pic:cNvPicPr>
                            <a:picLocks noChangeAspect="1"/>
                          </pic:cNvPicPr>
                        </pic:nvPicPr>
                        <pic:blipFill>
                          <a:blip r:embed="rId20"/>
                          <a:stretch>
                            <a:fillRect/>
                          </a:stretch>
                        </pic:blipFill>
                        <pic:spPr>
                          <a:xfrm>
                            <a:off x="0" y="0"/>
                            <a:ext cx="2684780" cy="1762125"/>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图7：钢厂高炉开工率及产能利用率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5pt;margin-top:168.7pt;height:24.35pt;width:208pt;z-index:251667456;mso-width-relative:page;mso-height-relative:page;" fillcolor="#FFFFFF [3201]" filled="t" stroked="f" coordsize="21600,21600" o:gfxdata="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4CpjdUA&#10;AAAKAQAADwAAAAAAAAABACAAAAAiAAAAZHJzL2Rvd25yZXYueG1sUEsBAhQAFAAAAAgAh07iQNtt&#10;W0ZbAgAAnAQAAA4AAAAAAAAAAQAgAAAAJAEAAGRycy9lMm9Eb2MueG1sUEsFBgAAAAAGAAYAWQEA&#10;APE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图7：钢厂高炉开工率及产能利用率</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图8：大豆走势图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15pt;margin-top:167.95pt;height:24.35pt;width:208pt;z-index:251668480;mso-width-relative:page;mso-height-relative:page;" fillcolor="#FFFFFF [3201]" filled="t" stroked="f" coordsize="21600,21600" o:gfxdata="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Nn6eNYAAAALAQAADwAA&#10;AAAAAAABACAAAAAiAAAAZHJzL2Rvd25yZXYueG1sUEsBAhQAFAAAAAgAh07iQGH1hZBRAgAAkQQA&#10;AA4AAAAAAAAAAQAgAAAAJQ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图8：大豆走势图</w:t>
                            </w:r>
                          </w:p>
                        </w:txbxContent>
                      </v:textbox>
                    </v:shape>
                  </w:pict>
                </mc:Fallback>
              </mc:AlternateContent>
            </w:r>
            <w:r>
              <w:rPr>
                <w:rFonts w:hint="eastAsia" w:eastAsia="宋体"/>
                <w:lang w:val="en-US" w:eastAsia="zh-CN"/>
              </w:rPr>
              <w:t xml:space="preserve"> </w:t>
            </w:r>
            <w:r>
              <w:drawing>
                <wp:inline distT="0" distB="0" distL="0" distR="0">
                  <wp:extent cx="2868295" cy="1772285"/>
                  <wp:effectExtent l="9525" t="9525" r="17780" b="279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2868295" cy="1772285"/>
                          </a:xfrm>
                          <a:prstGeom prst="rect">
                            <a:avLst/>
                          </a:prstGeom>
                          <a:ln>
                            <a:solidFill>
                              <a:schemeClr val="tx1"/>
                            </a:solidFill>
                          </a:ln>
                        </pic:spPr>
                      </pic:pic>
                    </a:graphicData>
                  </a:graphic>
                </wp:inline>
              </w:drawing>
            </w:r>
            <w:r>
              <w:rPr>
                <w:rFonts w:hint="eastAsia" w:eastAsia="宋体"/>
                <w:lang w:val="en-US" w:eastAsia="zh-CN"/>
              </w:rPr>
              <w:t xml:space="preserve"> </w:t>
            </w:r>
            <w:r>
              <w:rPr>
                <w:rFonts w:hint="eastAsia" w:eastAsia="宋体"/>
                <w:lang w:val="en-US" w:eastAsia="zh-CN"/>
              </w:rPr>
              <w:drawing>
                <wp:inline distT="0" distB="0" distL="114300" distR="114300">
                  <wp:extent cx="2693035" cy="1823085"/>
                  <wp:effectExtent l="0" t="0" r="12065" b="5715"/>
                  <wp:docPr id="13" name="图片 13" descr="a7ece92e143d2b2505d8bc3f0e7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7ece92e143d2b2505d8bc3f0e71558"/>
                          <pic:cNvPicPr>
                            <a:picLocks noChangeAspect="1"/>
                          </pic:cNvPicPr>
                        </pic:nvPicPr>
                        <pic:blipFill>
                          <a:blip r:embed="rId22"/>
                          <a:stretch>
                            <a:fillRect/>
                          </a:stretch>
                        </pic:blipFill>
                        <pic:spPr>
                          <a:xfrm>
                            <a:off x="0" y="0"/>
                            <a:ext cx="2693035" cy="1823085"/>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sz w:val="20"/>
              </w:rPr>
            </w:pPr>
            <w:r>
              <w:rPr>
                <w:sz w:val="20"/>
              </w:rPr>
              <mc:AlternateContent>
                <mc:Choice Requires="wps">
                  <w:drawing>
                    <wp:anchor distT="0" distB="0" distL="114300" distR="114300" simplePos="0" relativeHeight="251670528" behindDoc="0" locked="0" layoutInCell="1" allowOverlap="1">
                      <wp:simplePos x="0" y="0"/>
                      <wp:positionH relativeFrom="column">
                        <wp:posOffset>3026410</wp:posOffset>
                      </wp:positionH>
                      <wp:positionV relativeFrom="paragraph">
                        <wp:posOffset>2093595</wp:posOffset>
                      </wp:positionV>
                      <wp:extent cx="2190750" cy="318770"/>
                      <wp:effectExtent l="0" t="0" r="0" b="5080"/>
                      <wp:wrapNone/>
                      <wp:docPr id="19" name="文本框 1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图10：美国劳动力市场走弱</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3pt;margin-top:164.85pt;height:25.1pt;width:172.5pt;z-index:251670528;mso-width-relative:page;mso-height-relative:page;" fillcolor="#FFFFFF [3201]" filled="t" stroked="f" coordsize="21600,21600" o:gfxdata="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lBsNP1gAAAAsBAAAPAAAA&#10;AAAAAAEAIAAAACIAAABkcnMvZG93bnJldi54bWxQSwECFAAUAAAACACHTuJAt8RotFACAACRBAAA&#10;DgAAAAAAAAABACAAAAAlAQAAZHJzL2Uyb0RvYy54bWxQSwUGAAAAAAYABgBZAQAA5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图10：美国劳动力市场走弱</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v:textbox>
                    </v:shape>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273685</wp:posOffset>
                      </wp:positionH>
                      <wp:positionV relativeFrom="paragraph">
                        <wp:posOffset>2150745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图9：白银净持仓减少</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5pt;margin-top:169.35pt;height:25.1pt;width:172.5pt;z-index:251669504;mso-width-relative:page;mso-height-relative:page;" fillcolor="#FFFFFF [3201]" filled="t" stroked="f" coordsize="21600,21600" o:gfxdata="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mxPeD1AAAAAoBAAAPAAAA&#10;AAAAAAEAIAAAACIAAABkcnMvZG93bnJldi54bWxQSwECFAAUAAAACACHTuJA/HYmmVICAACRBAAA&#10;DgAAAAAAAAABACAAAAAjAQAAZHJzL2Uyb0RvYy54bWxQSwUGAAAAAAYABgBZAQAA5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图9：白银净持仓减少</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v:textbox>
                    </v:shape>
                  </w:pict>
                </mc:Fallback>
              </mc:AlternateContent>
            </w:r>
            <w:r>
              <w:rPr>
                <w:rFonts w:hint="eastAsia" w:eastAsia="宋体"/>
                <w:lang w:val="en-US" w:eastAsia="zh-CN"/>
              </w:rPr>
              <w:t xml:space="preserve"> </w:t>
            </w:r>
            <w:r>
              <w:drawing>
                <wp:inline distT="0" distB="0" distL="114300" distR="114300">
                  <wp:extent cx="2845435" cy="1711960"/>
                  <wp:effectExtent l="0" t="0" r="1206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2845435" cy="1711960"/>
                          </a:xfrm>
                          <a:prstGeom prst="rect">
                            <a:avLst/>
                          </a:prstGeom>
                          <a:noFill/>
                          <a:ln>
                            <a:noFill/>
                          </a:ln>
                        </pic:spPr>
                      </pic:pic>
                    </a:graphicData>
                  </a:graphic>
                </wp:inline>
              </w:drawing>
            </w:r>
            <w:r>
              <w:drawing>
                <wp:inline distT="0" distB="0" distL="114300" distR="114300">
                  <wp:extent cx="2831465" cy="1763395"/>
                  <wp:effectExtent l="0" t="0" r="698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2831465" cy="1763395"/>
                          </a:xfrm>
                          <a:prstGeom prst="rect">
                            <a:avLst/>
                          </a:prstGeom>
                          <a:noFill/>
                          <a:ln>
                            <a:noFill/>
                          </a:ln>
                        </pic:spPr>
                      </pic:pic>
                    </a:graphicData>
                  </a:graphic>
                </wp:inline>
              </w:drawing>
            </w:r>
          </w:p>
        </w:tc>
      </w:tr>
    </w:tbl>
    <w:p>
      <w:pPr>
        <w:spacing w:before="235" w:line="176" w:lineRule="auto"/>
        <w:ind w:firstLine="194" w:firstLineChars="100"/>
        <w:rPr>
          <w:rFonts w:hint="default" w:ascii="微软雅黑" w:hAnsi="微软雅黑" w:eastAsia="微软雅黑" w:cs="微软雅黑"/>
          <w:spacing w:val="7"/>
          <w:sz w:val="18"/>
          <w:szCs w:val="18"/>
          <w:lang w:val="en-US" w:eastAsia="zh-CN"/>
        </w:rPr>
        <w:sectPr>
          <w:headerReference r:id="rId6" w:type="default"/>
          <w:footerReference r:id="rId7" w:type="default"/>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pPr>
      <w:r>
        <w:rPr>
          <w:rFonts w:hint="eastAsia" w:ascii="微软雅黑" w:hAnsi="微软雅黑" w:eastAsia="微软雅黑" w:cs="微软雅黑"/>
          <w:spacing w:val="7"/>
          <w:sz w:val="18"/>
          <w:szCs w:val="18"/>
          <w:lang w:val="en-US" w:eastAsia="zh-CN"/>
        </w:rPr>
        <w:t>资料源：公开资料整理，瑞达国</w:t>
      </w:r>
    </w:p>
    <w:p>
      <w:pPr>
        <w:spacing w:before="120" w:line="190" w:lineRule="auto"/>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hint="eastAsia" w:ascii="微软雅黑" w:hAnsi="微软雅黑" w:eastAsia="微软雅黑" w:cs="微软雅黑"/>
          <w:b/>
          <w:bCs/>
          <w:color w:val="036EB8"/>
          <w:spacing w:val="10"/>
          <w:sz w:val="28"/>
          <w:szCs w:val="28"/>
          <w:lang w:val="en-US" w:eastAsia="zh-CN"/>
        </w:rPr>
        <w:t>下周热点日程</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478"/>
        <w:gridCol w:w="63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3045"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344" w:type="dxa"/>
            <w:shd w:val="clear" w:color="auto" w:fill="3D85C1"/>
            <w:vAlign w:val="top"/>
          </w:tcPr>
          <w:p>
            <w:pPr>
              <w:pStyle w:val="10"/>
              <w:spacing w:before="221" w:line="195" w:lineRule="auto"/>
              <w:jc w:val="center"/>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6</w:t>
            </w:r>
          </w:p>
        </w:tc>
        <w:tc>
          <w:tcPr>
            <w:tcW w:w="1478" w:type="dxa"/>
            <w:vAlign w:val="top"/>
          </w:tcPr>
          <w:p>
            <w:pPr>
              <w:pStyle w:val="10"/>
              <w:spacing w:before="243" w:line="172" w:lineRule="auto"/>
              <w:ind w:left="94"/>
              <w:rPr>
                <w:rFonts w:hint="default" w:eastAsia="微软雅黑"/>
                <w:sz w:val="19"/>
                <w:szCs w:val="19"/>
                <w:lang w:val="en-US" w:eastAsia="zh-CN"/>
              </w:rPr>
            </w:pPr>
            <w:r>
              <w:rPr>
                <w:rFonts w:hint="eastAsia"/>
                <w:b/>
                <w:bCs/>
                <w:spacing w:val="6"/>
                <w:sz w:val="19"/>
                <w:szCs w:val="19"/>
                <w:lang w:val="en-US" w:eastAsia="zh-CN"/>
              </w:rPr>
              <w:t>15</w:t>
            </w:r>
            <w:r>
              <w:rPr>
                <w:b/>
                <w:bCs/>
                <w:spacing w:val="6"/>
                <w:sz w:val="19"/>
                <w:szCs w:val="19"/>
              </w:rPr>
              <w:t>:</w:t>
            </w:r>
            <w:r>
              <w:rPr>
                <w:rFonts w:hint="eastAsia"/>
                <w:b/>
                <w:bCs/>
                <w:spacing w:val="6"/>
                <w:sz w:val="19"/>
                <w:szCs w:val="19"/>
                <w:lang w:val="en-US" w:eastAsia="zh-CN"/>
              </w:rPr>
              <w:t>55</w:t>
            </w:r>
          </w:p>
        </w:tc>
        <w:tc>
          <w:tcPr>
            <w:tcW w:w="6344" w:type="dxa"/>
            <w:vAlign w:val="top"/>
          </w:tcPr>
          <w:p>
            <w:pPr>
              <w:pStyle w:val="10"/>
              <w:spacing w:before="221" w:line="180" w:lineRule="auto"/>
              <w:jc w:val="center"/>
              <w:rPr>
                <w:rFonts w:hint="default" w:eastAsia="微软雅黑"/>
                <w:sz w:val="19"/>
                <w:szCs w:val="19"/>
                <w:lang w:val="en-US" w:eastAsia="zh-CN"/>
              </w:rPr>
            </w:pPr>
            <w:r>
              <w:rPr>
                <w:rFonts w:hint="default" w:eastAsia="微软雅黑"/>
                <w:sz w:val="19"/>
                <w:szCs w:val="19"/>
                <w:lang w:val="en-US" w:eastAsia="zh-CN"/>
              </w:rPr>
              <w:t>德国4月综合PMI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6</w:t>
            </w:r>
          </w:p>
        </w:tc>
        <w:tc>
          <w:tcPr>
            <w:tcW w:w="1478" w:type="dxa"/>
            <w:shd w:val="clear" w:color="auto" w:fill="D3EAFF"/>
            <w:vAlign w:val="top"/>
          </w:tcPr>
          <w:p>
            <w:pPr>
              <w:pStyle w:val="10"/>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16:00</w:t>
            </w:r>
          </w:p>
        </w:tc>
        <w:tc>
          <w:tcPr>
            <w:tcW w:w="6344" w:type="dxa"/>
            <w:shd w:val="clear" w:color="auto" w:fill="D3EAFF"/>
            <w:vAlign w:val="top"/>
          </w:tcPr>
          <w:p>
            <w:pPr>
              <w:pStyle w:val="10"/>
              <w:spacing w:before="221" w:line="180" w:lineRule="auto"/>
              <w:jc w:val="center"/>
              <w:rPr>
                <w:rFonts w:hint="default" w:eastAsia="微软雅黑"/>
                <w:sz w:val="19"/>
                <w:szCs w:val="19"/>
                <w:lang w:val="en-US" w:eastAsia="zh-CN"/>
              </w:rPr>
            </w:pPr>
            <w:r>
              <w:rPr>
                <w:rFonts w:hint="eastAsia"/>
                <w:spacing w:val="25"/>
                <w:sz w:val="19"/>
                <w:szCs w:val="19"/>
                <w:lang w:val="en-US" w:eastAsia="zh-CN"/>
              </w:rPr>
              <w:t>欧元区4月综合PMI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1"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6</w:t>
            </w:r>
          </w:p>
        </w:tc>
        <w:tc>
          <w:tcPr>
            <w:tcW w:w="1478" w:type="dxa"/>
            <w:vAlign w:val="top"/>
          </w:tcPr>
          <w:p>
            <w:pPr>
              <w:pStyle w:val="10"/>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17:00</w:t>
            </w:r>
          </w:p>
        </w:tc>
        <w:tc>
          <w:tcPr>
            <w:tcW w:w="6344" w:type="dxa"/>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欧元区3月PP</w:t>
            </w:r>
            <w:r>
              <w:rPr>
                <w:rFonts w:hint="eastAsia"/>
                <w:spacing w:val="25"/>
                <w:sz w:val="19"/>
                <w:szCs w:val="19"/>
                <w:lang w:val="en-US" w:eastAsia="zh-CN"/>
              </w:rPr>
              <w:t>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2"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7</w:t>
            </w:r>
          </w:p>
        </w:tc>
        <w:tc>
          <w:tcPr>
            <w:tcW w:w="1478" w:type="dxa"/>
            <w:shd w:val="clear" w:color="auto" w:fill="D3EAFF"/>
            <w:vAlign w:val="top"/>
          </w:tcPr>
          <w:p>
            <w:pPr>
              <w:pStyle w:val="10"/>
              <w:spacing w:before="246" w:line="172" w:lineRule="auto"/>
              <w:ind w:left="101"/>
              <w:rPr>
                <w:sz w:val="19"/>
                <w:szCs w:val="19"/>
              </w:rPr>
            </w:pPr>
            <w:r>
              <w:rPr>
                <w:rFonts w:hint="eastAsia"/>
                <w:b/>
                <w:bCs/>
                <w:spacing w:val="5"/>
                <w:sz w:val="19"/>
                <w:szCs w:val="19"/>
                <w:lang w:val="en-US" w:eastAsia="zh-CN"/>
              </w:rPr>
              <w:t>08</w:t>
            </w:r>
            <w:r>
              <w:rPr>
                <w:b/>
                <w:bCs/>
                <w:spacing w:val="5"/>
                <w:sz w:val="19"/>
                <w:szCs w:val="19"/>
              </w:rPr>
              <w:t>:</w:t>
            </w:r>
            <w:r>
              <w:rPr>
                <w:rFonts w:hint="eastAsia"/>
                <w:b/>
                <w:bCs/>
                <w:spacing w:val="5"/>
                <w:sz w:val="19"/>
                <w:szCs w:val="19"/>
                <w:lang w:val="en-US" w:eastAsia="zh-CN"/>
              </w:rPr>
              <w:t>3</w:t>
            </w:r>
            <w:r>
              <w:rPr>
                <w:b/>
                <w:bCs/>
                <w:spacing w:val="5"/>
                <w:sz w:val="19"/>
                <w:szCs w:val="19"/>
              </w:rPr>
              <w:t>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日本4月综合PMI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4"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7</w:t>
            </w:r>
          </w:p>
        </w:tc>
        <w:tc>
          <w:tcPr>
            <w:tcW w:w="1478" w:type="dxa"/>
            <w:vAlign w:val="top"/>
          </w:tcPr>
          <w:p>
            <w:pPr>
              <w:pStyle w:val="10"/>
              <w:spacing w:before="248" w:line="172" w:lineRule="auto"/>
              <w:ind w:left="92"/>
              <w:rPr>
                <w:rFonts w:hint="default"/>
                <w:sz w:val="19"/>
                <w:szCs w:val="19"/>
                <w:lang w:val="en-US"/>
              </w:rPr>
            </w:pPr>
            <w:r>
              <w:rPr>
                <w:rFonts w:hint="eastAsia"/>
                <w:b/>
                <w:bCs/>
                <w:spacing w:val="3"/>
                <w:sz w:val="19"/>
                <w:szCs w:val="19"/>
                <w:lang w:val="en-US" w:eastAsia="zh-CN"/>
              </w:rPr>
              <w:t>17:00</w:t>
            </w:r>
          </w:p>
        </w:tc>
        <w:tc>
          <w:tcPr>
            <w:tcW w:w="6344" w:type="dxa"/>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欧元区3月零售销售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2"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8</w:t>
            </w:r>
          </w:p>
        </w:tc>
        <w:tc>
          <w:tcPr>
            <w:tcW w:w="1478" w:type="dxa"/>
            <w:shd w:val="clear" w:color="auto" w:fill="D3EAFF"/>
            <w:vAlign w:val="top"/>
          </w:tcPr>
          <w:p>
            <w:pPr>
              <w:pStyle w:val="10"/>
              <w:spacing w:before="246" w:line="172" w:lineRule="auto"/>
              <w:ind w:left="101"/>
              <w:rPr>
                <w:rFonts w:hint="default" w:eastAsia="微软雅黑"/>
                <w:b/>
                <w:bCs/>
                <w:sz w:val="19"/>
                <w:szCs w:val="19"/>
                <w:lang w:val="en-US" w:eastAsia="zh-CN"/>
              </w:rPr>
            </w:pPr>
            <w:r>
              <w:rPr>
                <w:rFonts w:hint="eastAsia"/>
                <w:b/>
                <w:bCs/>
                <w:sz w:val="19"/>
                <w:szCs w:val="19"/>
                <w:lang w:val="en-US" w:eastAsia="zh-CN"/>
              </w:rPr>
              <w:t>03:00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美国3月消费信贷变动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4" w:line="191" w:lineRule="auto"/>
              <w:ind w:left="449" w:leftChars="0"/>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8</w:t>
            </w:r>
          </w:p>
        </w:tc>
        <w:tc>
          <w:tcPr>
            <w:tcW w:w="1478" w:type="dxa"/>
            <w:vAlign w:val="top"/>
          </w:tcPr>
          <w:p>
            <w:pPr>
              <w:pStyle w:val="10"/>
              <w:spacing w:before="248" w:line="172" w:lineRule="auto"/>
              <w:ind w:left="92" w:leftChars="0"/>
              <w:rPr>
                <w:rFonts w:hint="default" w:eastAsia="微软雅黑"/>
                <w:sz w:val="19"/>
                <w:szCs w:val="19"/>
                <w:lang w:val="en-US" w:eastAsia="zh-CN"/>
              </w:rPr>
            </w:pPr>
            <w:r>
              <w:rPr>
                <w:rFonts w:hint="eastAsia"/>
                <w:b/>
                <w:bCs/>
                <w:spacing w:val="6"/>
                <w:sz w:val="19"/>
                <w:szCs w:val="19"/>
                <w:lang w:val="en-US" w:eastAsia="zh-CN"/>
              </w:rPr>
              <w:t>14:00</w:t>
            </w:r>
          </w:p>
        </w:tc>
        <w:tc>
          <w:tcPr>
            <w:tcW w:w="6344" w:type="dxa"/>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德国3月工业产出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4"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8</w:t>
            </w:r>
          </w:p>
        </w:tc>
        <w:tc>
          <w:tcPr>
            <w:tcW w:w="1478" w:type="dxa"/>
            <w:shd w:val="clear" w:color="auto" w:fill="D3EAFF"/>
            <w:vAlign w:val="top"/>
          </w:tcPr>
          <w:p>
            <w:pPr>
              <w:pStyle w:val="10"/>
              <w:spacing w:before="248" w:line="172" w:lineRule="auto"/>
              <w:ind w:left="92" w:leftChars="0"/>
              <w:rPr>
                <w:rFonts w:hint="default"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22:</w:t>
            </w:r>
            <w:r>
              <w:rPr>
                <w:rFonts w:hint="eastAsia"/>
                <w:b/>
                <w:bCs/>
                <w:spacing w:val="3"/>
                <w:sz w:val="19"/>
                <w:szCs w:val="19"/>
                <w:lang w:val="en-US" w:eastAsia="zh-CN"/>
              </w:rPr>
              <w:t>00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美国3月批发库存环比终值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10"/>
              <w:spacing w:before="234"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9</w:t>
            </w:r>
          </w:p>
        </w:tc>
        <w:tc>
          <w:tcPr>
            <w:tcW w:w="1478" w:type="dxa"/>
            <w:shd w:val="clear" w:color="auto" w:fill="FFFFFF" w:themeFill="background1"/>
            <w:vAlign w:val="top"/>
          </w:tcPr>
          <w:p>
            <w:pPr>
              <w:pStyle w:val="10"/>
              <w:spacing w:before="248" w:line="172" w:lineRule="auto"/>
              <w:ind w:left="92" w:leftChars="0"/>
              <w:rPr>
                <w:rFonts w:hint="default" w:ascii="微软雅黑" w:hAnsi="微软雅黑" w:eastAsia="微软雅黑" w:cs="微软雅黑"/>
                <w:b/>
                <w:bCs/>
                <w:snapToGrid w:val="0"/>
                <w:color w:val="000000"/>
                <w:kern w:val="0"/>
                <w:sz w:val="19"/>
                <w:szCs w:val="19"/>
                <w:lang w:val="en-US" w:eastAsia="zh-CN" w:bidi="ar-SA"/>
              </w:rPr>
            </w:pPr>
            <w:r>
              <w:rPr>
                <w:rFonts w:hint="eastAsia"/>
                <w:b/>
                <w:bCs/>
                <w:spacing w:val="3"/>
                <w:sz w:val="19"/>
                <w:szCs w:val="19"/>
                <w:lang w:val="en-US" w:eastAsia="zh-CN"/>
              </w:rPr>
              <w:t>待定</w:t>
            </w:r>
          </w:p>
        </w:tc>
        <w:tc>
          <w:tcPr>
            <w:tcW w:w="6344" w:type="dxa"/>
            <w:shd w:val="clear" w:color="auto" w:fill="FFFFFF" w:themeFill="background1"/>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中国4月进口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leftChars="0"/>
              <w:rPr>
                <w:rFonts w:hint="eastAsia" w:eastAsia="微软雅黑"/>
                <w:b/>
                <w:bCs/>
                <w:spacing w:val="3"/>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9</w:t>
            </w:r>
          </w:p>
        </w:tc>
        <w:tc>
          <w:tcPr>
            <w:tcW w:w="1478" w:type="dxa"/>
            <w:shd w:val="clear" w:color="auto" w:fill="D3EAFF"/>
            <w:vAlign w:val="top"/>
          </w:tcPr>
          <w:p>
            <w:pPr>
              <w:pStyle w:val="10"/>
              <w:spacing w:before="252" w:line="170" w:lineRule="auto"/>
              <w:ind w:left="101" w:leftChars="0"/>
              <w:rPr>
                <w:rFonts w:hint="default"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12:12</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英国央行公布利率决议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leftChars="0"/>
              <w:rPr>
                <w:rFonts w:hint="eastAsia" w:eastAsia="微软雅黑"/>
                <w:b/>
                <w:bCs/>
                <w:spacing w:val="3"/>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9</w:t>
            </w:r>
          </w:p>
        </w:tc>
        <w:tc>
          <w:tcPr>
            <w:tcW w:w="1478" w:type="dxa"/>
            <w:shd w:val="clear" w:color="auto" w:fill="D3EAFF"/>
            <w:vAlign w:val="top"/>
          </w:tcPr>
          <w:p>
            <w:pPr>
              <w:pStyle w:val="10"/>
              <w:spacing w:before="252" w:line="170" w:lineRule="auto"/>
              <w:ind w:left="101" w:leftChars="0"/>
              <w:rPr>
                <w:rFonts w:hint="eastAsia"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20:30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美国4月27日当周续请失业救济人数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auto"/>
            <w:vAlign w:val="top"/>
          </w:tcPr>
          <w:p>
            <w:pPr>
              <w:pStyle w:val="10"/>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10</w:t>
            </w:r>
          </w:p>
        </w:tc>
        <w:tc>
          <w:tcPr>
            <w:tcW w:w="1478" w:type="dxa"/>
            <w:shd w:val="clear" w:color="auto" w:fill="auto"/>
            <w:vAlign w:val="top"/>
          </w:tcPr>
          <w:p>
            <w:pPr>
              <w:pStyle w:val="10"/>
              <w:spacing w:before="252" w:line="170" w:lineRule="auto"/>
              <w:ind w:left="101" w:leftChars="0"/>
              <w:rPr>
                <w:rFonts w:hint="default"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14:00</w:t>
            </w:r>
          </w:p>
        </w:tc>
        <w:tc>
          <w:tcPr>
            <w:tcW w:w="6344" w:type="dxa"/>
            <w:shd w:val="clear" w:color="auto" w:fill="auto"/>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英国3月整体商品和服务贸易帐</w:t>
            </w:r>
            <w:r>
              <w:rPr>
                <w:rFonts w:hint="eastAsia"/>
                <w:spacing w:val="25"/>
                <w:sz w:val="19"/>
                <w:szCs w:val="19"/>
                <w:lang w:val="en-US" w:eastAsia="zh-CN"/>
              </w:rPr>
              <w:t>、3月工业产出、3月GDP</w:t>
            </w:r>
          </w:p>
        </w:tc>
      </w:tr>
    </w:tbl>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sectPr>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before="34" w:line="569" w:lineRule="exact"/>
      </w:pPr>
    </w:p>
    <w:p>
      <w:pPr>
        <w:spacing w:before="34" w:line="569" w:lineRule="exact"/>
      </w:pPr>
    </w:p>
    <w:p>
      <w:pPr>
        <w:spacing w:before="34" w:line="569" w:lineRule="exact"/>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Bold">
    <w:altName w:val="黑体"/>
    <w:panose1 w:val="020B0800000000000000"/>
    <w:charset w:val="86"/>
    <w:family w:val="auto"/>
    <w:pitch w:val="default"/>
    <w:sig w:usb0="00000000" w:usb1="00000000" w:usb2="00000016" w:usb3="00000000" w:csb0="60060107"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right"/>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14E455E"/>
    <w:rsid w:val="01AC16B9"/>
    <w:rsid w:val="01D34AC7"/>
    <w:rsid w:val="02357FE5"/>
    <w:rsid w:val="02647ECA"/>
    <w:rsid w:val="03237D85"/>
    <w:rsid w:val="03A56279"/>
    <w:rsid w:val="03AA5DB1"/>
    <w:rsid w:val="04540896"/>
    <w:rsid w:val="04695C6C"/>
    <w:rsid w:val="04812FB5"/>
    <w:rsid w:val="04BC3FEE"/>
    <w:rsid w:val="054B35C3"/>
    <w:rsid w:val="054C3DC9"/>
    <w:rsid w:val="056401E1"/>
    <w:rsid w:val="056D52E8"/>
    <w:rsid w:val="05761F9D"/>
    <w:rsid w:val="05DB66F5"/>
    <w:rsid w:val="06481D1A"/>
    <w:rsid w:val="068D4577"/>
    <w:rsid w:val="068E5516"/>
    <w:rsid w:val="06EB560A"/>
    <w:rsid w:val="07035F04"/>
    <w:rsid w:val="071F2612"/>
    <w:rsid w:val="074B1659"/>
    <w:rsid w:val="076444C8"/>
    <w:rsid w:val="08955281"/>
    <w:rsid w:val="092D370C"/>
    <w:rsid w:val="09540C99"/>
    <w:rsid w:val="099512B1"/>
    <w:rsid w:val="09A82D92"/>
    <w:rsid w:val="09F14739"/>
    <w:rsid w:val="0A6A44EC"/>
    <w:rsid w:val="0A8A2498"/>
    <w:rsid w:val="0B2C15EF"/>
    <w:rsid w:val="0BC32105"/>
    <w:rsid w:val="0BCA5D9B"/>
    <w:rsid w:val="0BD7170D"/>
    <w:rsid w:val="0C2D186C"/>
    <w:rsid w:val="0C2E40B0"/>
    <w:rsid w:val="0CD93263"/>
    <w:rsid w:val="0CDD0FA5"/>
    <w:rsid w:val="0D036C35"/>
    <w:rsid w:val="0D181FDD"/>
    <w:rsid w:val="0E5232CD"/>
    <w:rsid w:val="0EE54141"/>
    <w:rsid w:val="0EEF3211"/>
    <w:rsid w:val="0F087A90"/>
    <w:rsid w:val="101F18D4"/>
    <w:rsid w:val="104430E9"/>
    <w:rsid w:val="104D4694"/>
    <w:rsid w:val="10C123D9"/>
    <w:rsid w:val="11713562"/>
    <w:rsid w:val="12E50BB3"/>
    <w:rsid w:val="130A686C"/>
    <w:rsid w:val="132469CD"/>
    <w:rsid w:val="134C478E"/>
    <w:rsid w:val="13506BAF"/>
    <w:rsid w:val="14060DE1"/>
    <w:rsid w:val="142B4CEC"/>
    <w:rsid w:val="150A2B53"/>
    <w:rsid w:val="154A2F50"/>
    <w:rsid w:val="15A01728"/>
    <w:rsid w:val="15D53161"/>
    <w:rsid w:val="15DD0268"/>
    <w:rsid w:val="16243D50"/>
    <w:rsid w:val="167F131F"/>
    <w:rsid w:val="17E31439"/>
    <w:rsid w:val="183710AD"/>
    <w:rsid w:val="189B3AC2"/>
    <w:rsid w:val="18D747CA"/>
    <w:rsid w:val="18E5190D"/>
    <w:rsid w:val="19193365"/>
    <w:rsid w:val="19726F19"/>
    <w:rsid w:val="19806B8B"/>
    <w:rsid w:val="198F7ACB"/>
    <w:rsid w:val="19E86119"/>
    <w:rsid w:val="1A071979"/>
    <w:rsid w:val="1A9B205C"/>
    <w:rsid w:val="1AF776D6"/>
    <w:rsid w:val="1B8A054A"/>
    <w:rsid w:val="1BA3785E"/>
    <w:rsid w:val="1C525A3A"/>
    <w:rsid w:val="1C6D7B68"/>
    <w:rsid w:val="1D1D719C"/>
    <w:rsid w:val="1E581DD0"/>
    <w:rsid w:val="1E931DB8"/>
    <w:rsid w:val="1E934127"/>
    <w:rsid w:val="1EBD1673"/>
    <w:rsid w:val="1FAB6CE1"/>
    <w:rsid w:val="209A3575"/>
    <w:rsid w:val="20CD34A4"/>
    <w:rsid w:val="210D3CC1"/>
    <w:rsid w:val="21D249F9"/>
    <w:rsid w:val="21F20BF7"/>
    <w:rsid w:val="22D36C7A"/>
    <w:rsid w:val="22FB3ADB"/>
    <w:rsid w:val="232F685D"/>
    <w:rsid w:val="23395957"/>
    <w:rsid w:val="233B65CE"/>
    <w:rsid w:val="23B51EDC"/>
    <w:rsid w:val="23F724F4"/>
    <w:rsid w:val="23FE1AD5"/>
    <w:rsid w:val="24207C9D"/>
    <w:rsid w:val="248B2649"/>
    <w:rsid w:val="2498264B"/>
    <w:rsid w:val="24D9609E"/>
    <w:rsid w:val="24DA1A42"/>
    <w:rsid w:val="24DD5B8E"/>
    <w:rsid w:val="250C1FD0"/>
    <w:rsid w:val="25115838"/>
    <w:rsid w:val="25270BB7"/>
    <w:rsid w:val="25290DD3"/>
    <w:rsid w:val="257A23D4"/>
    <w:rsid w:val="25B54415"/>
    <w:rsid w:val="25F747AF"/>
    <w:rsid w:val="26413EFB"/>
    <w:rsid w:val="26F471BF"/>
    <w:rsid w:val="274F030F"/>
    <w:rsid w:val="27653C19"/>
    <w:rsid w:val="27736336"/>
    <w:rsid w:val="28026FB4"/>
    <w:rsid w:val="284101E2"/>
    <w:rsid w:val="288264C6"/>
    <w:rsid w:val="2A5C7555"/>
    <w:rsid w:val="2A622692"/>
    <w:rsid w:val="2A697EC4"/>
    <w:rsid w:val="2AA1765E"/>
    <w:rsid w:val="2B25203D"/>
    <w:rsid w:val="2B460886"/>
    <w:rsid w:val="2BD870AF"/>
    <w:rsid w:val="2BEF7F55"/>
    <w:rsid w:val="2C2045B2"/>
    <w:rsid w:val="2CC80A91"/>
    <w:rsid w:val="2CC94C4A"/>
    <w:rsid w:val="2CE27401"/>
    <w:rsid w:val="2D0B0DBF"/>
    <w:rsid w:val="2D8017AD"/>
    <w:rsid w:val="2DF9330D"/>
    <w:rsid w:val="2EC456C9"/>
    <w:rsid w:val="2F012479"/>
    <w:rsid w:val="2F0F103A"/>
    <w:rsid w:val="2F8A5B16"/>
    <w:rsid w:val="30074904"/>
    <w:rsid w:val="302B515F"/>
    <w:rsid w:val="30656A38"/>
    <w:rsid w:val="30703A47"/>
    <w:rsid w:val="30BA6D84"/>
    <w:rsid w:val="310D20A5"/>
    <w:rsid w:val="31945827"/>
    <w:rsid w:val="320B4F05"/>
    <w:rsid w:val="32317519"/>
    <w:rsid w:val="324803BF"/>
    <w:rsid w:val="32E8157B"/>
    <w:rsid w:val="32F81DE5"/>
    <w:rsid w:val="335A2AA0"/>
    <w:rsid w:val="33B65F28"/>
    <w:rsid w:val="33E222C5"/>
    <w:rsid w:val="342F27ED"/>
    <w:rsid w:val="345E036E"/>
    <w:rsid w:val="3485313E"/>
    <w:rsid w:val="349A5478"/>
    <w:rsid w:val="34A42225"/>
    <w:rsid w:val="34C94326"/>
    <w:rsid w:val="34EC3C2E"/>
    <w:rsid w:val="35AC3B58"/>
    <w:rsid w:val="36513CE6"/>
    <w:rsid w:val="36CE17DB"/>
    <w:rsid w:val="37052D23"/>
    <w:rsid w:val="37614520"/>
    <w:rsid w:val="37735EDE"/>
    <w:rsid w:val="37970E74"/>
    <w:rsid w:val="38262F51"/>
    <w:rsid w:val="3861062B"/>
    <w:rsid w:val="38BF587F"/>
    <w:rsid w:val="390239BE"/>
    <w:rsid w:val="39096AFA"/>
    <w:rsid w:val="394A2C6F"/>
    <w:rsid w:val="3A4818A4"/>
    <w:rsid w:val="3AE47F1E"/>
    <w:rsid w:val="3AF15A98"/>
    <w:rsid w:val="3AF37A62"/>
    <w:rsid w:val="3B000022"/>
    <w:rsid w:val="3BE61375"/>
    <w:rsid w:val="3C0C409C"/>
    <w:rsid w:val="3C6B3628"/>
    <w:rsid w:val="3C964B49"/>
    <w:rsid w:val="3DBD4357"/>
    <w:rsid w:val="3E9A01F4"/>
    <w:rsid w:val="3EB35031"/>
    <w:rsid w:val="3EDC080D"/>
    <w:rsid w:val="3F7448FC"/>
    <w:rsid w:val="400F606F"/>
    <w:rsid w:val="40662A84"/>
    <w:rsid w:val="409C46F8"/>
    <w:rsid w:val="40EA5463"/>
    <w:rsid w:val="41540B2E"/>
    <w:rsid w:val="415C79E3"/>
    <w:rsid w:val="41BE4CC7"/>
    <w:rsid w:val="41D61543"/>
    <w:rsid w:val="42051E29"/>
    <w:rsid w:val="42240501"/>
    <w:rsid w:val="42CE66BF"/>
    <w:rsid w:val="42F1211F"/>
    <w:rsid w:val="43476B9D"/>
    <w:rsid w:val="43A51B15"/>
    <w:rsid w:val="43CB67C0"/>
    <w:rsid w:val="43E4263E"/>
    <w:rsid w:val="43F3462F"/>
    <w:rsid w:val="44103433"/>
    <w:rsid w:val="442742D8"/>
    <w:rsid w:val="444035EC"/>
    <w:rsid w:val="44A8366B"/>
    <w:rsid w:val="44AF0444"/>
    <w:rsid w:val="44FA7C3F"/>
    <w:rsid w:val="45891C00"/>
    <w:rsid w:val="45F23AC6"/>
    <w:rsid w:val="46205483"/>
    <w:rsid w:val="46C329DE"/>
    <w:rsid w:val="47961EA1"/>
    <w:rsid w:val="47B72674"/>
    <w:rsid w:val="47E21FD2"/>
    <w:rsid w:val="48345216"/>
    <w:rsid w:val="48CB6D26"/>
    <w:rsid w:val="4928096E"/>
    <w:rsid w:val="49575660"/>
    <w:rsid w:val="4A037596"/>
    <w:rsid w:val="4A565917"/>
    <w:rsid w:val="4A5751EC"/>
    <w:rsid w:val="4AFD2237"/>
    <w:rsid w:val="4C0D0258"/>
    <w:rsid w:val="4DCF5AD7"/>
    <w:rsid w:val="4E52289A"/>
    <w:rsid w:val="4E9E5ADF"/>
    <w:rsid w:val="4F0A4F22"/>
    <w:rsid w:val="4F1B43F6"/>
    <w:rsid w:val="50265D8C"/>
    <w:rsid w:val="50616DC4"/>
    <w:rsid w:val="507C1E50"/>
    <w:rsid w:val="508F1B83"/>
    <w:rsid w:val="50B415EA"/>
    <w:rsid w:val="51F51BBA"/>
    <w:rsid w:val="521C2FA3"/>
    <w:rsid w:val="523D6FB3"/>
    <w:rsid w:val="53BE5113"/>
    <w:rsid w:val="54501629"/>
    <w:rsid w:val="54682976"/>
    <w:rsid w:val="549A0AF6"/>
    <w:rsid w:val="54C16083"/>
    <w:rsid w:val="556F788D"/>
    <w:rsid w:val="55E464CD"/>
    <w:rsid w:val="55E55DA1"/>
    <w:rsid w:val="561A2735"/>
    <w:rsid w:val="563A7E9B"/>
    <w:rsid w:val="56B714EC"/>
    <w:rsid w:val="56F444EE"/>
    <w:rsid w:val="57566F57"/>
    <w:rsid w:val="579932E7"/>
    <w:rsid w:val="58CE429C"/>
    <w:rsid w:val="58F22CAF"/>
    <w:rsid w:val="59396B30"/>
    <w:rsid w:val="5A063515"/>
    <w:rsid w:val="5A1D0200"/>
    <w:rsid w:val="5A2F0DB8"/>
    <w:rsid w:val="5B24111A"/>
    <w:rsid w:val="5B5F167B"/>
    <w:rsid w:val="5C653798"/>
    <w:rsid w:val="5D245401"/>
    <w:rsid w:val="5D677EDE"/>
    <w:rsid w:val="5D700646"/>
    <w:rsid w:val="5DC22821"/>
    <w:rsid w:val="5DED6395"/>
    <w:rsid w:val="5EE07779"/>
    <w:rsid w:val="5EE27322"/>
    <w:rsid w:val="5F021772"/>
    <w:rsid w:val="5F334021"/>
    <w:rsid w:val="5F52422B"/>
    <w:rsid w:val="5F920D48"/>
    <w:rsid w:val="5FC331F0"/>
    <w:rsid w:val="5FFC403D"/>
    <w:rsid w:val="610B7004"/>
    <w:rsid w:val="61882D10"/>
    <w:rsid w:val="619958DF"/>
    <w:rsid w:val="61C2211F"/>
    <w:rsid w:val="61C40F61"/>
    <w:rsid w:val="620D2908"/>
    <w:rsid w:val="62210161"/>
    <w:rsid w:val="62570CDB"/>
    <w:rsid w:val="62D82F16"/>
    <w:rsid w:val="63C65464"/>
    <w:rsid w:val="641A130C"/>
    <w:rsid w:val="64B435DF"/>
    <w:rsid w:val="65D379C4"/>
    <w:rsid w:val="660A39DF"/>
    <w:rsid w:val="666D606B"/>
    <w:rsid w:val="66815672"/>
    <w:rsid w:val="66902CF8"/>
    <w:rsid w:val="66CA7EB9"/>
    <w:rsid w:val="68227FB0"/>
    <w:rsid w:val="687C4343"/>
    <w:rsid w:val="689B4294"/>
    <w:rsid w:val="689F697B"/>
    <w:rsid w:val="68D56B96"/>
    <w:rsid w:val="68F55EA4"/>
    <w:rsid w:val="690600B1"/>
    <w:rsid w:val="69AB3E1D"/>
    <w:rsid w:val="6A536D57"/>
    <w:rsid w:val="6A884BFC"/>
    <w:rsid w:val="6A8F08C3"/>
    <w:rsid w:val="6ABD22B6"/>
    <w:rsid w:val="6ACA6966"/>
    <w:rsid w:val="6AD871FE"/>
    <w:rsid w:val="6AE668C9"/>
    <w:rsid w:val="6B0B7C00"/>
    <w:rsid w:val="6B673089"/>
    <w:rsid w:val="6B9D2F4E"/>
    <w:rsid w:val="6C2B67AC"/>
    <w:rsid w:val="6C7F2654"/>
    <w:rsid w:val="6D52102F"/>
    <w:rsid w:val="6E2C680B"/>
    <w:rsid w:val="6E7C12C8"/>
    <w:rsid w:val="6EC922AC"/>
    <w:rsid w:val="70460245"/>
    <w:rsid w:val="70985276"/>
    <w:rsid w:val="70A02B99"/>
    <w:rsid w:val="71353C29"/>
    <w:rsid w:val="71A36DE5"/>
    <w:rsid w:val="724834E8"/>
    <w:rsid w:val="72ED47BB"/>
    <w:rsid w:val="730E028E"/>
    <w:rsid w:val="7333597E"/>
    <w:rsid w:val="7344195D"/>
    <w:rsid w:val="739C7F8F"/>
    <w:rsid w:val="73D2750D"/>
    <w:rsid w:val="74510D7A"/>
    <w:rsid w:val="74EF0832"/>
    <w:rsid w:val="750162FC"/>
    <w:rsid w:val="752C5EAE"/>
    <w:rsid w:val="753D12FE"/>
    <w:rsid w:val="75CA0DE4"/>
    <w:rsid w:val="76516E0F"/>
    <w:rsid w:val="773B2450"/>
    <w:rsid w:val="77750DFB"/>
    <w:rsid w:val="78B813C8"/>
    <w:rsid w:val="78E35D19"/>
    <w:rsid w:val="79222CE5"/>
    <w:rsid w:val="79921C19"/>
    <w:rsid w:val="799408D0"/>
    <w:rsid w:val="79AC7C55"/>
    <w:rsid w:val="7A1940E8"/>
    <w:rsid w:val="7B86755B"/>
    <w:rsid w:val="7BAE260E"/>
    <w:rsid w:val="7BDA78A7"/>
    <w:rsid w:val="7C8848DE"/>
    <w:rsid w:val="7CF07D68"/>
    <w:rsid w:val="7D6513F2"/>
    <w:rsid w:val="7E995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9">
    <w:name w:val="Default Paragraph Font"/>
    <w:autoRedefine/>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Table Text"/>
    <w:basedOn w:val="1"/>
    <w:semiHidden/>
    <w:qFormat/>
    <w:uiPriority w:val="0"/>
    <w:rPr>
      <w:rFonts w:ascii="微软雅黑" w:hAnsi="微软雅黑" w:eastAsia="微软雅黑" w:cs="微软雅黑"/>
      <w:sz w:val="17"/>
      <w:szCs w:val="17"/>
      <w:lang w:val="en-US" w:eastAsia="en-US" w:bidi="ar-SA"/>
    </w:rPr>
  </w:style>
  <w:style w:type="table" w:customStyle="1" w:styleId="1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3703</Words>
  <Characters>4573</Characters>
  <Lines>0</Lines>
  <Paragraphs>0</Paragraphs>
  <TotalTime>0</TotalTime>
  <ScaleCrop>false</ScaleCrop>
  <LinksUpToDate>false</LinksUpToDate>
  <CharactersWithSpaces>4614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2024-04-15T00:04:00Z</dcterms:created>
  <dc:creator>WPS_1180513195</dc:creator>
  <cp:lastModifiedBy>WPS_1180513195</cp:lastModifiedBy>
  <dcterms:modified xsi:type="dcterms:W3CDTF">2024-05-06T02:41:46Z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988B5217703C4950B103A29445F4D55C_13</vt:lpwstr>
  </property>
</Properties>
</file>