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Microsoft YaHei UI" w:hAnsi="Microsoft YaHei UI" w:eastAsia="Microsoft YaHei UI" w:cs="Microsoft YaHei UI"/>
          <w:i w:val="0"/>
          <w:iCs w:val="0"/>
          <w:caps w:val="0"/>
          <w:spacing w:val="7"/>
          <w:sz w:val="26"/>
          <w:szCs w:val="26"/>
          <w:bdr w:val="none" w:color="auto" w:sz="0" w:space="0"/>
          <w:shd w:val="clear" w:fill="FFFFFF"/>
          <w:lang w:eastAsia="zh-CN"/>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事件分析</w:t>
      </w:r>
      <w:r>
        <w:rPr>
          <w:rFonts w:hint="eastAsia" w:ascii="Microsoft YaHei UI" w:hAnsi="Microsoft YaHei UI" w:eastAsia="Microsoft YaHei UI" w:cs="Microsoft YaHei UI"/>
          <w:i w:val="0"/>
          <w:iCs w:val="0"/>
          <w:caps w:val="0"/>
          <w:spacing w:val="7"/>
          <w:sz w:val="26"/>
          <w:szCs w:val="26"/>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right="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FOMC会议及非农就业数据解读：联储基调中性，就业初步走弱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r>
        <w:rPr>
          <w:rStyle w:val="6"/>
          <w:bdr w:val="none" w:color="auto" w:sz="0" w:space="0"/>
        </w:rPr>
        <w:t>5月</w:t>
      </w:r>
      <w:r>
        <w:rPr>
          <w:bdr w:val="none" w:color="auto" w:sz="0" w:space="0"/>
        </w:rPr>
        <w:t>FOMC会议</w:t>
      </w:r>
      <w:r>
        <w:rPr>
          <w:rStyle w:val="6"/>
          <w:bdr w:val="none" w:color="auto" w:sz="0" w:space="0"/>
        </w:rPr>
        <w:t>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在2024年5月的联邦公开市场委员会（FOMC）会议上，美联储将联邦基金利率目标区间依旧保持在5.25%至5.50%，符合市场预期。此外，美联储宣布将从6月1日起将美国国债减持规模上限由每月600亿美元下调至每月250亿美元，而MBS减持规模上限则维持每月350亿美元。</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r>
        <w:rPr>
          <w:rStyle w:val="6"/>
          <w:bdr w:val="none" w:color="auto" w:sz="0" w:space="0"/>
        </w:rPr>
        <w:t>鲍威尔发言重点：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美联储主席鲍威尔在新闻发布会上的发言整体呈现出中性偏鸽的立场。他明确表示不认为美联储会加息，这一表态与市场预期一致。与3月会议相比，鲍威尔的发言更加强调了通胀的不确定性，并对就业市场的关注有所增加。其在FOMC声明中特别指出了对通胀回落进程的担忧，使用了“在达到美联储2%通胀目标的道路上缺乏进展”的表述，与先前声明中所表达的通胀保持下降的说法有所改变。鲍威尔强调，今年以来通胀数据的超预期回升导致联储需要更长时间来证明通胀回落的可持续性。此外，鲍威尔否认了经济存在滞胀风险，并表达了对经济韧性的信心。</w:t>
      </w:r>
    </w:p>
    <w:p>
      <w:pPr>
        <w:keepNext w:val="0"/>
        <w:keepLines w:val="0"/>
        <w:widowControl/>
        <w:suppressLineNumbers w:val="0"/>
        <w:jc w:val="left"/>
        <w:rPr>
          <w:rFonts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r>
        <w:rPr>
          <w:rStyle w:val="6"/>
          <w:bdr w:val="none" w:color="auto" w:sz="0" w:space="0"/>
        </w:rPr>
        <w:t>非农数据意外走弱，市场预期大幅转变：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美国4月非农新增就业人数录得17.5万人，低于预期的24万人及前值31.5万人，失业率同样由3.8%上升至3.9%，高于预期的3.8%。整体非农就业数据虽意外全面走弱，但新增就业人数仍处于疫情前10年17.7万人的平均水平附近。细分行业来看，休闲和酒店业（4月新增5千人，3月新增5.3万人），建筑业（4月新增9千人，3月新增4万人）以及专业和商业服务（4月减少4千人，3月新增1万人）等行业于本月为非农就业人数较大拖累项，但教育和保健服务以及运输仓储业新增人数仍保持强劲。结合逐步走弱的服务业PMI来看，前期作为新增就业人数主要推手的服务业劳需求或进一步走弱，而这也进一步反映在持续放缓的薪资增速上（4月平均时薪同比增速3.9%，预期4%，前值4.1%）。在劳动力需求下降的情况下，劳动力市场接纳度回落或导致未来工人薪资议价权或有所转弱，整体居民收入减少或有利削弱经济消费能力，相关核心价格或失去相应支撑。</w:t>
      </w:r>
    </w:p>
    <w:p>
      <w:pPr>
        <w:keepNext w:val="0"/>
        <w:keepLines w:val="0"/>
        <w:widowControl/>
        <w:suppressLineNumbers w:val="0"/>
        <w:jc w:val="left"/>
        <w:rPr>
          <w:rFonts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图1美国新增就业人数回落，失业率走高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071235" cy="3654425"/>
            <wp:effectExtent l="0" t="0" r="952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71235" cy="3654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i/>
          <w:iCs/>
          <w:bdr w:val="none" w:color="auto" w:sz="0" w:space="0"/>
        </w:rPr>
        <w:t>图表来源：Wind，瑞达期货研究院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图2服务业需求有所走弱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123940" cy="3681095"/>
            <wp:effectExtent l="0" t="0" r="2540"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23940" cy="36810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i/>
          <w:iCs/>
          <w:bdr w:val="none" w:color="auto" w:sz="0" w:space="0"/>
        </w:rPr>
        <w:t>图表来源：Wind，瑞达期货研究院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图3薪资增速加速回落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181725" cy="3851275"/>
            <wp:effectExtent l="0" t="0" r="5715" b="444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181725" cy="3851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i/>
          <w:iCs/>
          <w:bdr w:val="none" w:color="auto" w:sz="0" w:space="0"/>
        </w:rPr>
      </w:pPr>
      <w:r>
        <w:rPr>
          <w:rStyle w:val="7"/>
          <w:i/>
          <w:iCs/>
          <w:bdr w:val="none" w:color="auto" w:sz="0" w:space="0"/>
        </w:rPr>
        <w:t>图表来源：Wind，瑞达期货研究院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7"/>
          <w:i/>
          <w:iCs/>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r>
        <w:rPr>
          <w:rStyle w:val="6"/>
          <w:bdr w:val="none" w:color="auto" w:sz="0" w:space="0"/>
        </w:rPr>
        <w:t>后市展望：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本次非农就业数据虽超市场预期走弱，但不论从新增就业人数以及失业率来看，当前劳动力市场表现仍处于历史平均水平状态，整体劳动力市场并未出现疲软姿态。即便如此，劳动力市场走向供需平衡的趋势相较稳定，整体薪资增速回落或削弱整体经济消费水平，后继核心通胀回落阻扰或将有所减轻。结合5月FOMC会议来看，整体经济数据走势在中长期或逐步朝美联储目标靠拢，美联储或维持中性态度更长时间以便确保通胀及就业数据稳步回落至目标水平附近，年内降息节点预期虽有所推后，但整体降息幅度预期或逐渐确定于50基点左右的水平。短期内美元指数及美债收益率受利率预期走弱影响或相对承压，但中长期在美国与非美国家利差尚存的情况下或仍保有一定支撑，新兴市场权益资产及货币在美联储降息预期走强的影响下或得到相应提振。</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图4年内降息预期走强导致美元及美债收益率相继承压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129655" cy="3684905"/>
            <wp:effectExtent l="0" t="0" r="12065" b="317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129655" cy="36849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i/>
          <w:iCs/>
          <w:bdr w:val="none" w:color="auto" w:sz="0" w:space="0"/>
        </w:rPr>
        <w:t>图表来源：Wind，瑞达期货研究院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作者</w:t>
      </w:r>
    </w:p>
    <w:p>
      <w:pPr>
        <w:keepNext w:val="0"/>
        <w:keepLines w:val="0"/>
        <w:widowControl/>
        <w:suppressLineNumbers w:val="0"/>
        <w:jc w:val="left"/>
        <w:rPr>
          <w:rFonts w:hint="eastAsia" w:ascii="等线" w:hAnsi="等线" w:eastAsia="等线" w:cs="等线"/>
          <w:spacing w:val="7"/>
          <w:kern w:val="0"/>
          <w:sz w:val="20"/>
          <w:szCs w:val="20"/>
          <w:u w:val="none"/>
          <w:bdr w:val="none" w:color="auto" w:sz="0" w:space="0"/>
          <w:lang w:val="en-US" w:eastAsia="zh-CN" w:bidi="ar"/>
        </w:rPr>
      </w:pPr>
      <w:r>
        <w:rPr>
          <w:rFonts w:ascii="等线" w:hAnsi="等线" w:eastAsia="等线" w:cs="等线"/>
          <w:spacing w:val="7"/>
          <w:kern w:val="0"/>
          <w:sz w:val="20"/>
          <w:szCs w:val="20"/>
          <w:u w:val="none"/>
          <w:bdr w:val="none" w:color="auto" w:sz="0" w:space="0"/>
          <w:lang w:val="en-US" w:eastAsia="zh-CN" w:bidi="ar"/>
        </w:rPr>
        <w:t>研究员：</w:t>
      </w:r>
      <w:r>
        <w:rPr>
          <w:rFonts w:hint="eastAsia" w:ascii="等线" w:hAnsi="等线" w:eastAsia="等线" w:cs="等线"/>
          <w:spacing w:val="7"/>
          <w:kern w:val="0"/>
          <w:sz w:val="20"/>
          <w:szCs w:val="20"/>
          <w:u w:val="none"/>
          <w:bdr w:val="none" w:color="auto" w:sz="0" w:space="0"/>
          <w:lang w:val="en-US" w:eastAsia="zh-CN" w:bidi="ar"/>
        </w:rPr>
        <w:t>许方莉  期货从业资格号F3073708  期货投资咨询从业证书号Z0017638</w:t>
      </w:r>
    </w:p>
    <w:p>
      <w:pPr>
        <w:keepNext w:val="0"/>
        <w:keepLines w:val="0"/>
        <w:widowControl/>
        <w:suppressLineNumbers w:val="0"/>
        <w:jc w:val="left"/>
      </w:pPr>
      <w:r>
        <w:rPr>
          <w:rFonts w:hint="eastAsia" w:ascii="等线" w:hAnsi="等线" w:eastAsia="等线" w:cs="等线"/>
          <w:spacing w:val="7"/>
          <w:kern w:val="0"/>
          <w:sz w:val="20"/>
          <w:szCs w:val="20"/>
          <w:u w:val="none"/>
          <w:bdr w:val="none" w:color="auto" w:sz="0" w:space="0"/>
          <w:lang w:val="en-US" w:eastAsia="zh-CN" w:bidi="ar"/>
        </w:rPr>
        <w:t>助理研究员：王世霖  期货从业资格号F03118150</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7"/>
        </w:rPr>
      </w:pPr>
      <w:r>
        <w:rPr>
          <w:rStyle w:val="6"/>
          <w:spacing w:val="7"/>
          <w:bdr w:val="none" w:color="auto" w:sz="0" w:space="0"/>
        </w:rPr>
        <w:t>免责声明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7"/>
        </w:rPr>
      </w:pPr>
      <w:r>
        <w:rPr>
          <w:spacing w:val="7"/>
          <w:bdr w:val="none" w:color="auto" w:sz="0" w:space="0"/>
        </w:rPr>
        <w:t>本报告中的信息均来源于公开可获得资料，瑞达</w:t>
      </w:r>
      <w:r>
        <w:rPr>
          <w:rFonts w:hint="eastAsia"/>
          <w:spacing w:val="7"/>
          <w:bdr w:val="none" w:color="auto" w:sz="0" w:space="0"/>
          <w:lang w:val="en-US" w:eastAsia="zh-CN"/>
        </w:rPr>
        <w:t>国际</w:t>
      </w:r>
      <w:r>
        <w:rPr>
          <w:spacing w:val="7"/>
          <w:bdr w:val="none" w:color="auto" w:sz="0" w:space="0"/>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D42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2024-05-07T02:01:20Z</dcterms:created>
  <dc:creator>RUIDA</dc:creator>
  <cp:lastModifiedBy>RORO</cp:lastModifiedBy>
  <dcterms:modified xsi:type="dcterms:W3CDTF">2024-05-07T02:04:20Z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DC436F4190C94F348A7BA501764B737C_12</vt:lpwstr>
  </property>
</Properties>
</file>