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pacing w:line="256" w:lineRule="auto"/>
      </w:pPr>
      <w: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upright="0"/>
                    </wps:wsp>
                  </a:graphicData>
                </a:graphic>
              </wp:anchor>
            </w:drawing>
          </mc:Choice>
          <mc:Fallback>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SUMJ2AAAAAsBAAAPAAAAAAAAAAEAIAAAACIAAABkcnMvZG93bnJldi54bWxQSwECFAAUAAAACACH&#10;TuJAg4TsGrIBAABeAwAADgAAAAAAAAABACAAAAAnAQAAZHJzL2Uyb0RvYy54bWxQSwUGAAAAAAYA&#10;BgBZAQAASwUAAAAA&#10;">
                <v:fill on="t" focussize="0,0"/>
                <v:stroke on="f"/>
                <v:imagedata o:title=""/>
                <o:lock v:ext="edit" aspectratio="f"/>
              </v:rect>
            </w:pict>
          </mc:Fallback>
        </mc:AlternateContent>
      </w:r>
    </w:p>
    <w:p>
      <w:pPr>
        <w:pStyle w:val="3"/>
        <w:spacing w:line="256" w:lineRule="auto"/>
      </w:pPr>
    </w:p>
    <w:p>
      <w:pPr>
        <w:pStyle w:val="3"/>
        <w:spacing w:line="256" w:lineRule="auto"/>
      </w:pPr>
    </w:p>
    <w:p>
      <w:pPr>
        <w:pStyle w:val="3"/>
        <w:spacing w:line="256" w:lineRule="auto"/>
      </w:pPr>
    </w:p>
    <w:p>
      <w:pPr>
        <w:pStyle w:val="3"/>
        <w:spacing w:line="256" w:lineRule="auto"/>
      </w:pPr>
    </w:p>
    <w:p>
      <w:pPr>
        <w:pStyle w:val="3"/>
        <w:spacing w:line="256" w:lineRule="auto"/>
      </w:pPr>
    </w:p>
    <w:p>
      <w:pPr>
        <w:spacing w:line="240" w:lineRule="auto"/>
        <w:ind w:firstLine="1421"/>
        <w:rPr>
          <w:rFonts w:hint="eastAsia" w:eastAsia="宋体"/>
          <w:lang w:eastAsia="zh-CN"/>
        </w:rPr>
      </w:pPr>
      <w:r>
        <w:rPr>
          <w:rFonts w:hint="eastAsia" w:eastAsia="宋体"/>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pPr>
        <w:spacing w:line="240" w:lineRule="auto"/>
        <w:ind w:firstLine="1421"/>
        <w:rPr>
          <w:rFonts w:ascii="微软雅黑" w:hAnsi="微软雅黑" w:eastAsia="微软雅黑" w:cs="微软雅黑"/>
          <w:sz w:val="96"/>
          <w:szCs w:val="96"/>
        </w:rPr>
      </w:pPr>
      <w:r>
        <w:rPr>
          <w:rFonts w:ascii="微软雅黑" w:hAnsi="微软雅黑" w:eastAsia="微软雅黑" w:cs="微软雅黑"/>
          <w:b/>
          <w:bCs/>
          <w:color w:val="FFFFFF"/>
          <w:spacing w:val="6"/>
          <w:sz w:val="96"/>
          <w:szCs w:val="96"/>
        </w:rPr>
        <w:t>周度市场报告</w:t>
      </w: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4"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pStyle w:val="3"/>
        <w:spacing w:line="245" w:lineRule="auto"/>
      </w:pPr>
    </w:p>
    <w:p>
      <w:pPr>
        <w:spacing w:before="206" w:line="204" w:lineRule="auto"/>
        <w:ind w:left="7323"/>
        <w:rPr>
          <w:sz w:val="48"/>
          <w:szCs w:val="48"/>
        </w:rPr>
      </w:pPr>
      <w:r>
        <w:rPr>
          <w:rFonts w:ascii="微软雅黑" w:hAnsi="微软雅黑" w:eastAsia="微软雅黑" w:cs="微软雅黑"/>
          <w:b/>
          <w:bCs/>
          <w:color w:val="005D97"/>
          <w:spacing w:val="-22"/>
          <w:sz w:val="48"/>
          <w:szCs w:val="48"/>
        </w:rPr>
        <w:t>2024年</w:t>
      </w:r>
      <w:r>
        <w:rPr>
          <w:rFonts w:hint="eastAsia" w:ascii="微软雅黑" w:hAnsi="微软雅黑" w:eastAsia="微软雅黑" w:cs="微软雅黑"/>
          <w:b/>
          <w:bCs/>
          <w:color w:val="005D97"/>
          <w:spacing w:val="-22"/>
          <w:sz w:val="48"/>
          <w:szCs w:val="48"/>
          <w:lang w:val="en-US" w:eastAsia="zh-CN"/>
        </w:rPr>
        <w:t>5</w:t>
      </w:r>
      <w:r>
        <w:rPr>
          <w:rFonts w:ascii="微软雅黑" w:hAnsi="微软雅黑" w:eastAsia="微软雅黑" w:cs="微软雅黑"/>
          <w:b/>
          <w:bCs/>
          <w:color w:val="005D97"/>
          <w:spacing w:val="-22"/>
          <w:sz w:val="48"/>
          <w:szCs w:val="48"/>
        </w:rPr>
        <w:t>月</w:t>
      </w:r>
      <w:r>
        <w:rPr>
          <w:rFonts w:hint="eastAsia" w:ascii="微软雅黑" w:hAnsi="微软雅黑" w:eastAsia="微软雅黑" w:cs="微软雅黑"/>
          <w:b/>
          <w:bCs/>
          <w:color w:val="005D97"/>
          <w:spacing w:val="-22"/>
          <w:sz w:val="48"/>
          <w:szCs w:val="48"/>
          <w:lang w:val="en-US" w:eastAsia="zh-CN"/>
        </w:rPr>
        <w:t>13</w:t>
      </w:r>
      <w:r>
        <w:rPr>
          <w:rFonts w:ascii="微软雅黑" w:hAnsi="微软雅黑" w:eastAsia="微软雅黑" w:cs="微软雅黑"/>
          <w:b/>
          <w:bCs/>
          <w:color w:val="005D97"/>
          <w:spacing w:val="-22"/>
          <w:sz w:val="48"/>
          <w:szCs w:val="48"/>
        </w:rPr>
        <w:t>日</w:t>
      </w:r>
      <w:r>
        <w:rPr>
          <w:rFonts w:ascii="微软雅黑" w:hAnsi="微软雅黑" w:eastAsia="微软雅黑" w:cs="微软雅黑"/>
          <w:b/>
          <w:bCs/>
          <w:color w:val="005D97"/>
          <w:spacing w:val="38"/>
          <w:sz w:val="48"/>
          <w:szCs w:val="48"/>
        </w:rPr>
        <w:t xml:space="preserve"> </w:t>
      </w:r>
      <w:r>
        <w:rPr>
          <w:position w:val="-3"/>
          <w:sz w:val="48"/>
          <w:szCs w:val="48"/>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pPr>
        <w:spacing w:line="204" w:lineRule="auto"/>
        <w:rPr>
          <w:sz w:val="48"/>
          <w:szCs w:val="48"/>
        </w:rPr>
        <w:sectPr>
          <w:headerReference r:id="rId5" w:type="default"/>
          <w:pgSz w:w="11906" w:h="16838"/>
          <w:pgMar w:top="400" w:right="0" w:bottom="0" w:left="0" w:header="0" w:footer="340" w:gutter="0"/>
          <w:pgBorders>
            <w:top w:val="none" w:sz="0" w:space="0"/>
            <w:left w:val="none" w:sz="0" w:space="0"/>
            <w:bottom w:val="none" w:sz="0" w:space="0"/>
            <w:right w:val="none" w:sz="0" w:space="0"/>
          </w:pgBorders>
          <w:pgNumType w:fmt="decimal"/>
          <w:cols w:space="720" w:num="1"/>
        </w:sectPr>
      </w:pPr>
    </w:p>
    <w:p>
      <w:pPr>
        <w:pBdr>
          <w:top w:val="none" w:color="auto" w:sz="0" w:space="1"/>
          <w:left w:val="none" w:color="auto" w:sz="0" w:space="4"/>
          <w:bottom w:val="none" w:color="auto" w:sz="0" w:space="1"/>
          <w:right w:val="none" w:color="auto" w:sz="0" w:space="4"/>
          <w:between w:val="none" w:color="auto" w:sz="0" w:space="0"/>
        </w:pBdr>
        <w:kinsoku w:val="0"/>
        <w:autoSpaceDE w:val="0"/>
        <w:autoSpaceDN w:val="0"/>
        <w:adjustRightInd w:val="0"/>
        <w:snapToGrid w:val="0"/>
        <w:spacing w:line="240" w:lineRule="auto"/>
        <w:ind w:right="420" w:rightChars="200" w:firstLine="0" w:firstLineChars="0"/>
        <w:jc w:val="left"/>
        <w:textAlignment w:val="baseline"/>
        <w:rPr>
          <w:rFonts w:hint="eastAsia" w:eastAsia="宋体"/>
          <w:lang w:eastAsia="zh-CN"/>
        </w:rPr>
      </w:pPr>
    </w:p>
    <w:p>
      <w:pPr>
        <w:pStyle w:val="3"/>
        <w:spacing w:line="253" w:lineRule="auto"/>
      </w:pPr>
      <w:r>
        <w:rPr>
          <w:sz w:val="21"/>
        </w:rPr>
        <mc:AlternateContent>
          <mc:Choice Requires="wps">
            <w:drawing>
              <wp:anchor distT="0" distB="0" distL="114300" distR="114300" simplePos="0" relativeHeight="251661312" behindDoc="0" locked="0" layoutInCell="1" allowOverlap="1">
                <wp:simplePos x="0" y="0"/>
                <wp:positionH relativeFrom="column">
                  <wp:posOffset>179705</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791210" y="1501775"/>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14.15pt;margin-top:10.1pt;height:38.45pt;width:132.85pt;z-index:251661312;v-text-anchor:middle;mso-width-relative:page;mso-height-relative:page;" fillcolor="#4F80BD" filled="t" stroked="f" coordsize="21600,21600" o:gfxdata="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wtGQz1wAAAAgBAAAP&#10;AAAAAAAAAAEAIAAAACIAAABkcnMvZG93bnJldi54bWxQSwECFAAUAAAACACHTuJA9wkLTlICAAB9&#10;BAAADgAAAAAAAAABACAAAAAmAQAAZHJzL2Uyb0RvYy54bWxQSwUGAAAAAAYABgBZAQAA6gUAAAAA&#10;" adj="18475">
                <v:fill on="t" focussize="0,0"/>
                <v:stroke on="f"/>
                <v:imagedata o:title=""/>
                <o:lock v:ext="edit" aspectratio="f"/>
                <v:textbox>
                  <w:txbxContent>
                    <w:p>
                      <w:pPr>
                        <w:spacing w:line="240" w:lineRule="auto"/>
                        <w:jc w:val="center"/>
                        <w:rPr>
                          <w:rFonts w:hint="default"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z w:val="40"/>
                          <w:szCs w:val="40"/>
                          <w:lang w:val="en-US" w:eastAsia="zh-CN"/>
                          <w14:textFill>
                            <w14:solidFill>
                              <w14:schemeClr w14:val="bg1"/>
                            </w14:solidFill>
                          </w14:textFill>
                        </w:rPr>
                        <w:t>市场综述</w:t>
                      </w:r>
                    </w:p>
                  </w:txbxContent>
                </v:textbox>
              </v:shape>
            </w:pict>
          </mc:Fallback>
        </mc:AlternateContent>
      </w:r>
    </w:p>
    <w:p>
      <w:pPr>
        <w:pStyle w:val="3"/>
        <w:spacing w:line="253" w:lineRule="auto"/>
      </w:pPr>
    </w:p>
    <w:p>
      <w:pPr>
        <w:spacing w:before="103" w:line="256" w:lineRule="auto"/>
        <w:ind w:right="584"/>
        <w:jc w:val="both"/>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pPr>
      <w:r>
        <w:rPr>
          <w:rFonts w:hint="eastAsia" w:ascii="思源黑体 CN Bold" w:hAnsi="思源黑体 CN Bold" w:eastAsia="思源黑体 CN Bold" w:cs="思源黑体 CN Bold"/>
          <w:color w:val="FFFFFF" w:themeColor="background1"/>
          <w:spacing w:val="4"/>
          <w:sz w:val="24"/>
          <w:szCs w:val="24"/>
          <w:lang w:val="en-US" w:eastAsia="zh-CN"/>
          <w14:textFill>
            <w14:solidFill>
              <w14:schemeClr w14:val="bg1"/>
            </w14:solidFill>
          </w14:textFill>
        </w:rPr>
        <w:t xml:space="preserve"> </w:t>
      </w:r>
    </w:p>
    <w:p>
      <w:pPr>
        <w:spacing w:before="103" w:line="256" w:lineRule="auto"/>
        <w:ind w:left="287" w:right="584" w:firstLine="620"/>
        <w:jc w:val="both"/>
        <w:rPr>
          <w:rFonts w:hint="eastAsia" w:ascii="微软雅黑" w:hAnsi="微软雅黑" w:eastAsia="微软雅黑" w:cs="微软雅黑"/>
          <w:spacing w:val="3"/>
          <w:sz w:val="24"/>
          <w:szCs w:val="24"/>
          <w:lang w:eastAsia="zh-CN"/>
        </w:rPr>
      </w:pPr>
      <w:r>
        <w:rPr>
          <w:rFonts w:hint="eastAsia" w:ascii="微软雅黑" w:hAnsi="微软雅黑" w:eastAsia="微软雅黑" w:cs="微软雅黑"/>
          <w:spacing w:val="3"/>
          <w:sz w:val="24"/>
          <w:szCs w:val="24"/>
          <w:lang w:eastAsia="zh-CN"/>
        </w:rPr>
        <w:t>上周富时中国A50指数周涨</w:t>
      </w:r>
      <w:r>
        <w:rPr>
          <w:rFonts w:hint="eastAsia" w:ascii="微软雅黑" w:hAnsi="微软雅黑" w:eastAsia="微软雅黑" w:cs="微软雅黑"/>
          <w:spacing w:val="3"/>
          <w:sz w:val="24"/>
          <w:szCs w:val="24"/>
          <w:lang w:val="en-US" w:eastAsia="zh-CN"/>
        </w:rPr>
        <w:t>1</w:t>
      </w:r>
      <w:r>
        <w:rPr>
          <w:rFonts w:hint="eastAsia" w:ascii="微软雅黑" w:hAnsi="微软雅黑" w:eastAsia="微软雅黑" w:cs="微软雅黑"/>
          <w:spacing w:val="3"/>
          <w:sz w:val="24"/>
          <w:szCs w:val="24"/>
          <w:lang w:eastAsia="zh-CN"/>
        </w:rPr>
        <w:t>.47%，标准普尔500指数周度涨幅</w:t>
      </w:r>
      <w:r>
        <w:rPr>
          <w:rFonts w:hint="eastAsia" w:ascii="微软雅黑" w:hAnsi="微软雅黑" w:eastAsia="微软雅黑" w:cs="微软雅黑"/>
          <w:spacing w:val="3"/>
          <w:sz w:val="24"/>
          <w:szCs w:val="24"/>
          <w:lang w:val="en-US" w:eastAsia="zh-CN"/>
        </w:rPr>
        <w:t>1.85</w:t>
      </w:r>
      <w:r>
        <w:rPr>
          <w:rFonts w:hint="eastAsia" w:ascii="微软雅黑" w:hAnsi="微软雅黑" w:eastAsia="微软雅黑" w:cs="微软雅黑"/>
          <w:spacing w:val="3"/>
          <w:sz w:val="24"/>
          <w:szCs w:val="24"/>
          <w:lang w:eastAsia="zh-CN"/>
        </w:rPr>
        <w:t>%。美元兑离岸人民币</w:t>
      </w:r>
      <w:r>
        <w:rPr>
          <w:rFonts w:hint="eastAsia" w:ascii="微软雅黑" w:hAnsi="微软雅黑" w:eastAsia="微软雅黑" w:cs="微软雅黑"/>
          <w:spacing w:val="3"/>
          <w:sz w:val="24"/>
          <w:szCs w:val="24"/>
          <w:lang w:val="en-US" w:eastAsia="zh-CN"/>
        </w:rPr>
        <w:t>涨0.59</w:t>
      </w:r>
      <w:r>
        <w:rPr>
          <w:rFonts w:hint="eastAsia" w:ascii="微软雅黑" w:hAnsi="微软雅黑" w:eastAsia="微软雅黑" w:cs="微软雅黑"/>
          <w:spacing w:val="3"/>
          <w:sz w:val="24"/>
          <w:szCs w:val="24"/>
          <w:lang w:eastAsia="zh-CN"/>
        </w:rPr>
        <w:t>%，LME期铜周度</w:t>
      </w:r>
      <w:r>
        <w:rPr>
          <w:rFonts w:hint="eastAsia" w:ascii="微软雅黑" w:hAnsi="微软雅黑" w:eastAsia="微软雅黑" w:cs="微软雅黑"/>
          <w:spacing w:val="3"/>
          <w:sz w:val="24"/>
          <w:szCs w:val="24"/>
          <w:lang w:val="en-US" w:eastAsia="zh-CN"/>
        </w:rPr>
        <w:t>涨</w:t>
      </w:r>
      <w:r>
        <w:rPr>
          <w:rFonts w:hint="eastAsia" w:ascii="微软雅黑" w:hAnsi="微软雅黑" w:eastAsia="微软雅黑" w:cs="微软雅黑"/>
          <w:spacing w:val="3"/>
          <w:sz w:val="24"/>
          <w:szCs w:val="24"/>
          <w:lang w:eastAsia="zh-CN"/>
        </w:rPr>
        <w:t>幅为</w:t>
      </w:r>
      <w:r>
        <w:rPr>
          <w:rFonts w:hint="eastAsia" w:ascii="微软雅黑" w:hAnsi="微软雅黑" w:eastAsia="微软雅黑" w:cs="微软雅黑"/>
          <w:spacing w:val="3"/>
          <w:sz w:val="24"/>
          <w:szCs w:val="24"/>
          <w:lang w:val="en-US" w:eastAsia="zh-CN"/>
        </w:rPr>
        <w:t>2.1</w:t>
      </w:r>
      <w:r>
        <w:rPr>
          <w:rFonts w:hint="eastAsia" w:ascii="微软雅黑" w:hAnsi="微软雅黑" w:eastAsia="微软雅黑" w:cs="微软雅黑"/>
          <w:spacing w:val="3"/>
          <w:sz w:val="24"/>
          <w:szCs w:val="24"/>
          <w:lang w:eastAsia="zh-CN"/>
        </w:rPr>
        <w:t>%。COMEX黄金周度</w:t>
      </w:r>
      <w:r>
        <w:rPr>
          <w:rFonts w:hint="eastAsia" w:ascii="微软雅黑" w:hAnsi="微软雅黑" w:eastAsia="微软雅黑" w:cs="微软雅黑"/>
          <w:spacing w:val="3"/>
          <w:sz w:val="24"/>
          <w:szCs w:val="24"/>
          <w:lang w:val="en-US" w:eastAsia="zh-CN"/>
        </w:rPr>
        <w:t>涨</w:t>
      </w:r>
      <w:r>
        <w:rPr>
          <w:rFonts w:hint="eastAsia" w:ascii="微软雅黑" w:hAnsi="微软雅黑" w:eastAsia="微软雅黑" w:cs="微软雅黑"/>
          <w:spacing w:val="3"/>
          <w:sz w:val="24"/>
          <w:szCs w:val="24"/>
          <w:lang w:eastAsia="zh-CN"/>
        </w:rPr>
        <w:t>幅为1.</w:t>
      </w:r>
      <w:r>
        <w:rPr>
          <w:rFonts w:hint="eastAsia" w:ascii="微软雅黑" w:hAnsi="微软雅黑" w:eastAsia="微软雅黑" w:cs="微软雅黑"/>
          <w:spacing w:val="3"/>
          <w:sz w:val="24"/>
          <w:szCs w:val="24"/>
          <w:lang w:val="en-US" w:eastAsia="zh-CN"/>
        </w:rPr>
        <w:t>67</w:t>
      </w:r>
      <w:r>
        <w:rPr>
          <w:rFonts w:hint="eastAsia" w:ascii="微软雅黑" w:hAnsi="微软雅黑" w:eastAsia="微软雅黑" w:cs="微软雅黑"/>
          <w:spacing w:val="3"/>
          <w:sz w:val="24"/>
          <w:szCs w:val="24"/>
          <w:lang w:eastAsia="zh-CN"/>
        </w:rPr>
        <w:t>%，COMEX白银周度</w:t>
      </w:r>
      <w:r>
        <w:rPr>
          <w:rFonts w:hint="eastAsia" w:ascii="微软雅黑" w:hAnsi="微软雅黑" w:eastAsia="微软雅黑" w:cs="微软雅黑"/>
          <w:spacing w:val="3"/>
          <w:sz w:val="24"/>
          <w:szCs w:val="24"/>
          <w:lang w:val="en-US" w:eastAsia="zh-CN"/>
        </w:rPr>
        <w:t>涨</w:t>
      </w:r>
      <w:r>
        <w:rPr>
          <w:rFonts w:hint="eastAsia" w:ascii="微软雅黑" w:hAnsi="微软雅黑" w:eastAsia="微软雅黑" w:cs="微软雅黑"/>
          <w:spacing w:val="3"/>
          <w:sz w:val="24"/>
          <w:szCs w:val="24"/>
          <w:lang w:eastAsia="zh-CN"/>
        </w:rPr>
        <w:t>幅为</w:t>
      </w:r>
      <w:r>
        <w:rPr>
          <w:rFonts w:hint="eastAsia" w:ascii="微软雅黑" w:hAnsi="微软雅黑" w:eastAsia="微软雅黑" w:cs="微软雅黑"/>
          <w:spacing w:val="3"/>
          <w:sz w:val="24"/>
          <w:szCs w:val="24"/>
          <w:lang w:val="en-US" w:eastAsia="zh-CN"/>
        </w:rPr>
        <w:t>6.83</w:t>
      </w:r>
      <w:r>
        <w:rPr>
          <w:rFonts w:hint="eastAsia" w:ascii="微软雅黑" w:hAnsi="微软雅黑" w:eastAsia="微软雅黑" w:cs="微软雅黑"/>
          <w:spacing w:val="3"/>
          <w:sz w:val="24"/>
          <w:szCs w:val="24"/>
          <w:lang w:eastAsia="zh-CN"/>
        </w:rPr>
        <w:t>%。7月ICE原糖期货周度</w:t>
      </w:r>
      <w:r>
        <w:rPr>
          <w:rFonts w:hint="eastAsia" w:ascii="微软雅黑" w:hAnsi="微软雅黑" w:eastAsia="微软雅黑" w:cs="微软雅黑"/>
          <w:spacing w:val="3"/>
          <w:sz w:val="24"/>
          <w:szCs w:val="24"/>
          <w:lang w:val="en-US" w:eastAsia="zh-CN"/>
        </w:rPr>
        <w:t>跌</w:t>
      </w:r>
      <w:r>
        <w:rPr>
          <w:rFonts w:hint="eastAsia" w:ascii="微软雅黑" w:hAnsi="微软雅黑" w:eastAsia="微软雅黑" w:cs="微软雅黑"/>
          <w:spacing w:val="3"/>
          <w:sz w:val="24"/>
          <w:szCs w:val="24"/>
          <w:lang w:eastAsia="zh-CN"/>
        </w:rPr>
        <w:t>幅为</w:t>
      </w:r>
      <w:r>
        <w:rPr>
          <w:rFonts w:hint="eastAsia" w:ascii="微软雅黑" w:hAnsi="微软雅黑" w:eastAsia="微软雅黑" w:cs="微软雅黑"/>
          <w:spacing w:val="3"/>
          <w:sz w:val="24"/>
          <w:szCs w:val="24"/>
          <w:lang w:val="en-US" w:eastAsia="zh-CN"/>
        </w:rPr>
        <w:t>0.31</w:t>
      </w:r>
      <w:r>
        <w:rPr>
          <w:rFonts w:hint="eastAsia" w:ascii="微软雅黑" w:hAnsi="微软雅黑" w:eastAsia="微软雅黑" w:cs="微软雅黑"/>
          <w:spacing w:val="3"/>
          <w:sz w:val="24"/>
          <w:szCs w:val="24"/>
          <w:lang w:eastAsia="zh-CN"/>
        </w:rPr>
        <w:t>%，7月ICE棉周度跌幅为</w:t>
      </w:r>
      <w:r>
        <w:rPr>
          <w:rFonts w:hint="eastAsia" w:ascii="微软雅黑" w:hAnsi="微软雅黑" w:eastAsia="微软雅黑" w:cs="微软雅黑"/>
          <w:spacing w:val="3"/>
          <w:sz w:val="24"/>
          <w:szCs w:val="24"/>
          <w:lang w:val="en-US" w:eastAsia="zh-CN"/>
        </w:rPr>
        <w:t>0.6</w:t>
      </w:r>
      <w:r>
        <w:rPr>
          <w:rFonts w:hint="eastAsia" w:ascii="微软雅黑" w:hAnsi="微软雅黑" w:eastAsia="微软雅黑" w:cs="微软雅黑"/>
          <w:spacing w:val="3"/>
          <w:sz w:val="24"/>
          <w:szCs w:val="24"/>
          <w:lang w:eastAsia="zh-CN"/>
        </w:rPr>
        <w:t>%，MB铁矿石周度</w:t>
      </w:r>
      <w:r>
        <w:rPr>
          <w:rFonts w:hint="eastAsia" w:ascii="微软雅黑" w:hAnsi="微软雅黑" w:eastAsia="微软雅黑" w:cs="微软雅黑"/>
          <w:spacing w:val="3"/>
          <w:sz w:val="24"/>
          <w:szCs w:val="24"/>
          <w:lang w:val="en-US" w:eastAsia="zh-CN"/>
        </w:rPr>
        <w:t>涨</w:t>
      </w:r>
      <w:r>
        <w:rPr>
          <w:rFonts w:hint="eastAsia" w:ascii="微软雅黑" w:hAnsi="微软雅黑" w:eastAsia="微软雅黑" w:cs="微软雅黑"/>
          <w:spacing w:val="3"/>
          <w:sz w:val="24"/>
          <w:szCs w:val="24"/>
          <w:lang w:eastAsia="zh-CN"/>
        </w:rPr>
        <w:t>幅为0.</w:t>
      </w:r>
      <w:r>
        <w:rPr>
          <w:rFonts w:hint="eastAsia" w:ascii="微软雅黑" w:hAnsi="微软雅黑" w:eastAsia="微软雅黑" w:cs="微软雅黑"/>
          <w:spacing w:val="3"/>
          <w:sz w:val="24"/>
          <w:szCs w:val="24"/>
          <w:lang w:val="en-US" w:eastAsia="zh-CN"/>
        </w:rPr>
        <w:t>29</w:t>
      </w:r>
      <w:r>
        <w:rPr>
          <w:rFonts w:hint="eastAsia" w:ascii="微软雅黑" w:hAnsi="微软雅黑" w:eastAsia="微软雅黑" w:cs="微软雅黑"/>
          <w:spacing w:val="3"/>
          <w:sz w:val="24"/>
          <w:szCs w:val="24"/>
          <w:lang w:eastAsia="zh-CN"/>
        </w:rPr>
        <w:t>%。</w:t>
      </w:r>
    </w:p>
    <w:p>
      <w:pPr>
        <w:spacing w:before="235" w:line="176" w:lineRule="auto"/>
        <w:ind w:firstLine="254" w:firstLineChars="100"/>
        <w:rPr>
          <w:rFonts w:ascii="微软雅黑" w:hAnsi="微软雅黑" w:eastAsia="微软雅黑" w:cs="微软雅黑"/>
          <w:spacing w:val="7"/>
          <w:sz w:val="24"/>
          <w:szCs w:val="24"/>
        </w:rPr>
      </w:pPr>
      <w:r>
        <w:rPr>
          <w:rFonts w:ascii="微软雅黑" w:hAnsi="微软雅黑" w:eastAsia="微软雅黑" w:cs="微软雅黑"/>
          <w:spacing w:val="7"/>
          <w:sz w:val="24"/>
          <w:szCs w:val="24"/>
        </w:rPr>
        <w:t>图表1</w:t>
      </w:r>
      <w:r>
        <w:rPr>
          <w:rFonts w:hint="eastAsia" w:ascii="微软雅黑" w:hAnsi="微软雅黑" w:eastAsia="微软雅黑" w:cs="微软雅黑"/>
          <w:spacing w:val="7"/>
          <w:sz w:val="24"/>
          <w:szCs w:val="24"/>
          <w:lang w:eastAsia="zh-CN"/>
        </w:rPr>
        <w:t>：</w:t>
      </w:r>
      <w:r>
        <w:rPr>
          <w:rFonts w:ascii="微软雅黑" w:hAnsi="微软雅黑" w:eastAsia="微软雅黑" w:cs="微软雅黑"/>
          <w:spacing w:val="7"/>
          <w:sz w:val="24"/>
          <w:szCs w:val="24"/>
        </w:rPr>
        <w:t>全球商品涨跌幅</w:t>
      </w:r>
    </w:p>
    <w:p>
      <w:pPr>
        <w:spacing w:before="235" w:line="176" w:lineRule="auto"/>
        <w:ind w:firstLine="210" w:firstLineChars="100"/>
        <w:jc w:val="both"/>
        <w:rPr>
          <w:rFonts w:hint="eastAsia" w:ascii="微软雅黑" w:hAnsi="微软雅黑" w:eastAsia="微软雅黑" w:cs="微软雅黑"/>
          <w:spacing w:val="3"/>
          <w:sz w:val="24"/>
          <w:szCs w:val="24"/>
          <w:lang w:eastAsia="zh-CN"/>
        </w:rPr>
      </w:pPr>
      <w:r>
        <w:drawing>
          <wp:inline distT="0" distB="0" distL="114300" distR="114300">
            <wp:extent cx="5871210" cy="3204845"/>
            <wp:effectExtent l="0" t="0" r="15240" b="146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1"/>
                    <a:stretch>
                      <a:fillRect/>
                    </a:stretch>
                  </pic:blipFill>
                  <pic:spPr>
                    <a:xfrm>
                      <a:off x="0" y="0"/>
                      <a:ext cx="5871210" cy="3204845"/>
                    </a:xfrm>
                    <a:prstGeom prst="rect">
                      <a:avLst/>
                    </a:prstGeom>
                    <a:noFill/>
                    <a:ln>
                      <a:noFill/>
                    </a:ln>
                  </pic:spPr>
                </pic:pic>
              </a:graphicData>
            </a:graphic>
          </wp:inline>
        </w:drawing>
      </w:r>
    </w:p>
    <w:p>
      <w:pPr>
        <w:spacing w:before="235" w:line="176" w:lineRule="auto"/>
        <w:ind w:firstLine="194" w:firstLineChars="100"/>
        <w:rPr>
          <w:rFonts w:hint="default" w:ascii="微软雅黑" w:hAnsi="微软雅黑" w:eastAsia="微软雅黑" w:cs="微软雅黑"/>
          <w:sz w:val="18"/>
          <w:szCs w:val="18"/>
          <w:lang w:val="en-US" w:eastAsia="zh-CN"/>
        </w:rPr>
      </w:pPr>
      <w:r>
        <w:rPr>
          <w:rFonts w:hint="eastAsia" w:ascii="微软雅黑" w:hAnsi="微软雅黑" w:eastAsia="微软雅黑" w:cs="微软雅黑"/>
          <w:spacing w:val="7"/>
          <w:sz w:val="18"/>
          <w:szCs w:val="18"/>
          <w:lang w:val="en-US" w:eastAsia="zh-CN"/>
        </w:rPr>
        <w:t>资料来源：公开资料整理，瑞达国际</w:t>
      </w:r>
    </w:p>
    <w:p>
      <w:pPr>
        <w:pStyle w:val="3"/>
        <w:spacing w:line="282" w:lineRule="auto"/>
      </w:pPr>
    </w:p>
    <w:p>
      <w:pPr>
        <w:pStyle w:val="3"/>
        <w:spacing w:line="282" w:lineRule="auto"/>
      </w:pPr>
    </w:p>
    <w:p>
      <w:pPr>
        <w:pStyle w:val="3"/>
        <w:spacing w:line="282" w:lineRule="auto"/>
      </w:pPr>
    </w:p>
    <w:p>
      <w:pPr>
        <w:spacing w:before="120" w:line="190" w:lineRule="auto"/>
        <w:rPr>
          <w:rFonts w:ascii="微软雅黑" w:hAnsi="微软雅黑" w:eastAsia="微软雅黑" w:cs="微软雅黑"/>
          <w:spacing w:val="4"/>
          <w:sz w:val="24"/>
          <w:szCs w:val="24"/>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周度事件汇总</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【瑞典央行将基准利率下调25个基点至3.750%，打响G10国家央行降息第二枪，并暗示今年下半年可能还会有两次降息。瑞典央行行长特登表示，6月不太可能降息。】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国上周初请失业金人数为23.1万人，创去年8月26日当周以来新高，预期21.5万人，前值20.8万人；四周均值21.5万人，前值21万人。截至4月27日当周，美国持续申领失业金人数178.5万，预期178.5万人，前值177.4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【英国央行宣布维持基准利率在5.25%不变，符合市场预期。英国央行行长贝利表示，尚未到下调基准利率的节点；</w:t>
      </w:r>
      <w:r>
        <w:rPr>
          <w:rFonts w:hint="eastAsia" w:ascii="微软雅黑" w:hAnsi="微软雅黑" w:eastAsia="微软雅黑" w:cs="微软雅黑"/>
          <w:spacing w:val="4"/>
          <w:sz w:val="24"/>
          <w:szCs w:val="24"/>
          <w:lang w:val="en-US" w:eastAsia="zh-CN"/>
        </w:rPr>
        <w:t>不排除</w:t>
      </w:r>
      <w:r>
        <w:rPr>
          <w:rFonts w:hint="eastAsia" w:ascii="微软雅黑" w:hAnsi="微软雅黑" w:eastAsia="微软雅黑" w:cs="微软雅黑"/>
          <w:spacing w:val="4"/>
          <w:sz w:val="24"/>
          <w:szCs w:val="24"/>
          <w:lang w:eastAsia="zh-CN"/>
        </w:rPr>
        <w:t>6月降息可能性，决策前还有两次通胀数据发布。】</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【日本央行公布4月25日至26日货币政策会议纪要，如果经济活动和物价前景得以实现，基础通胀上升，日本央行将调整货币宽松程度，预计宽松金融环境将暂时维持。】</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【美联储票委卡什卡利表示，收益率曲线倒挂确实表明政策收紧，对中性利率估计值从2%适度上调至2.5%。美联储必须根据短期中性利率制定政策。不同意美联储应该提高通胀目标；今年仍有可能降息。】</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【欧洲央行管委温施表示，看到今年有启动降息的路径，有降息50个基点空间，但具体时间将取决于数据；现在不是承诺采取既定行动的时候。】</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【英国央行表示，今明两年经济将表现疲软，预计2024年GDP将增长0.5%，2025年增长1%；通胀率将在2024年第二季度回归2%的目标。】</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val="en-US" w:eastAsia="zh-CN"/>
        </w:rPr>
      </w:pPr>
      <w:r>
        <w:rPr>
          <w:rFonts w:hint="eastAsia" w:ascii="微软雅黑" w:hAnsi="微软雅黑" w:eastAsia="微软雅黑" w:cs="微软雅黑"/>
          <w:b w:val="0"/>
          <w:bCs w:val="0"/>
          <w:spacing w:val="4"/>
          <w:sz w:val="24"/>
          <w:szCs w:val="24"/>
          <w:lang w:eastAsia="zh-CN"/>
        </w:rPr>
        <w:t>【</w:t>
      </w:r>
      <w:r>
        <w:rPr>
          <w:rFonts w:hint="eastAsia" w:ascii="微软雅黑" w:hAnsi="微软雅黑" w:eastAsia="微软雅黑" w:cs="微软雅黑"/>
          <w:b w:val="0"/>
          <w:bCs w:val="0"/>
          <w:spacing w:val="4"/>
          <w:sz w:val="24"/>
          <w:szCs w:val="24"/>
          <w:lang w:val="en-US" w:eastAsia="zh-CN"/>
        </w:rPr>
        <w:t>美国4月季调后非农就业人口增17.5万人，预期增24.3万人，前值从增30.3万人上修至增31.5万人。出乎市场预期，失业率从3月份的3.8%升至3.9%，达到2022年1月以来最高水平。工资涨幅也低于预期，较上年同期增长3.9%，而3月份的增幅为4.1%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b w:val="0"/>
          <w:bCs w:val="0"/>
          <w:spacing w:val="4"/>
          <w:sz w:val="24"/>
          <w:szCs w:val="24"/>
          <w:lang w:val="en-US" w:eastAsia="zh-CN"/>
        </w:rPr>
      </w:pPr>
      <w:r>
        <w:rPr>
          <w:rFonts w:hint="eastAsia" w:ascii="微软雅黑" w:hAnsi="微软雅黑" w:eastAsia="微软雅黑" w:cs="微软雅黑"/>
          <w:spacing w:val="4"/>
          <w:sz w:val="24"/>
          <w:szCs w:val="24"/>
          <w:lang w:eastAsia="zh-CN"/>
        </w:rPr>
        <w:t>【美国抵押贷款利率自3月下旬以来首次出现下降。美国上周MBA30年期固定抵押贷款利率为7.18%，前值7.29%；申请活动指数为197.1，前值192.1；购买指数为144.2，前值141.7；再融资活动指数为477.5，前值456.9。】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【美国4月标普全球制造业PMI终值50，预期49.9，初值49.9，3月终值51.9。】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【美国4月季调后非农就业人口增17.5万人，预期增24.3万人，前值从增30.3万人上修至增31.5万人。保健、社会救助、运输和仓储等行业就业增加。自2023年8月以来，失业率一直保持在3.7%至3.9%的窄幅区间。】</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【美国上周初请失业金人数为20.8万人，预期21.2万人，前值20.7万人；四周均值21万人，前值21.33万人。截至4月20日当周续请失业金人数177.4万人，预期179.7万人，前值178.1万人。】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【欧元区4月制造业PMI终值45.7，预期45.6，初值45.6，3月终值46.1。】</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eastAsia="zh-CN"/>
        </w:rPr>
        <w:t>【欧元区投资者信心连续第七个月改善。数据显示，欧元区5月Sentix指数升至-3.6，为2022年2月以来最高水平，高于分析师预估的-5.0。】</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【德国4月季调后失业人数增1.0万人，预期增0.9万人，前值增0.4万人。季调后失业总人数为273.2万人，前值271.9万人；未季调失业总人数275.0万人，前值276.9万人。】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【德国4月制造业PMI终值42.5，预期42.2，初值42.2，3月终值41.9。】</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【德国4月服务业PMI终值53.2，预期及初值均为53.3，3月终值50.1；综合PMI终值50.6，预期及初值均为50.5，3月终值47.7。】</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【法国4月服务业PMI终值51.3，预期及初值均为50.5，3月终值48.3；综合PMI终值50.5，预期及初值均为49.9，3月终值48.3。】</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【日本4月服务业PMI终值54.3，初值54.6；综合PMI终值52.3，初值52.6。】</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【日本央行行长植田和男表示，如果物价趋势上升，日本央行将调整政策宽松程度。外汇汇率反映经济基本面至关重要，日元快速、单边下跌对日本经济不利，不可取。】</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中国央行连续第18个月增持黄金储备，累计增持1016万盎司，按区间均价测算，合计增持金额约1450亿元。截至4月末，中国黄金储备规模为7280万盎司，环比增加6万盎司。世界黄金协会数据显示，今年一季度全球官方黄金储备净增加290吨，创历史新高。】</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r>
        <w:rPr>
          <w:rFonts w:hint="eastAsia" w:ascii="微软雅黑" w:hAnsi="微软雅黑" w:eastAsia="微软雅黑" w:cs="微软雅黑"/>
          <w:spacing w:val="4"/>
          <w:sz w:val="24"/>
          <w:szCs w:val="24"/>
          <w:lang w:val="en-US" w:eastAsia="zh-CN"/>
        </w:rPr>
        <w:t>【中国香港第一季度GDP初值同比升2.7%，预期升0.9%，2023年第四季度终值升4.3%，初值升4.3%；环比升2.3%，预期升0.9%，2023年第四季度终值升0.4%，初值升0.5%。】</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eastAsia="zh-CN"/>
        </w:rPr>
      </w:pPr>
      <w:r>
        <w:rPr>
          <w:rFonts w:hint="eastAsia" w:ascii="微软雅黑" w:hAnsi="微软雅黑" w:eastAsia="微软雅黑" w:cs="微软雅黑"/>
          <w:spacing w:val="4"/>
          <w:sz w:val="24"/>
          <w:szCs w:val="24"/>
          <w:lang w:eastAsia="zh-CN"/>
        </w:rPr>
        <w:t>【香港交易所将就汇丰控股、香港交易所、腾讯控股、快手科技、比亚迪、中国平安、美团、京东、百度及阿里巴巴10只香港上市股票推出每周期权合约。待监管机构批准及市场准备就绪后，计划于2024年底推出。】</w:t>
      </w: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firstLine="496" w:firstLineChars="200"/>
        <w:jc w:val="both"/>
        <w:textAlignment w:val="baseline"/>
        <w:rPr>
          <w:rFonts w:hint="eastAsia" w:ascii="微软雅黑" w:hAnsi="微软雅黑" w:eastAsia="微软雅黑" w:cs="微软雅黑"/>
          <w:spacing w:val="4"/>
          <w:sz w:val="24"/>
          <w:szCs w:val="24"/>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before="102" w:line="257" w:lineRule="auto"/>
        <w:ind w:right="646"/>
        <w:jc w:val="both"/>
        <w:textAlignment w:val="baseline"/>
        <w:rPr>
          <w:rFonts w:hint="eastAsia" w:ascii="微软雅黑" w:hAnsi="微软雅黑" w:eastAsia="微软雅黑" w:cs="微软雅黑"/>
          <w:spacing w:val="4"/>
          <w:sz w:val="24"/>
          <w:szCs w:val="24"/>
          <w:lang w:eastAsia="zh-CN"/>
        </w:rPr>
      </w:pPr>
    </w:p>
    <w:p>
      <w:pPr>
        <w:spacing w:before="120" w:line="190" w:lineRule="auto"/>
        <w:rPr>
          <w:rFonts w:hint="eastAsia" w:ascii="微软雅黑" w:hAnsi="微软雅黑" w:eastAsia="微软雅黑" w:cs="微软雅黑"/>
          <w:b/>
          <w:bCs/>
          <w:color w:val="036EB8"/>
          <w:spacing w:val="10"/>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4" name="IM 20"/>
            <wp:cNvGraphicFramePr/>
            <a:graphic xmlns:a="http://schemas.openxmlformats.org/drawingml/2006/main">
              <a:graphicData uri="http://schemas.openxmlformats.org/drawingml/2006/picture">
                <pic:pic xmlns:pic="http://schemas.openxmlformats.org/drawingml/2006/picture">
                  <pic:nvPicPr>
                    <pic:cNvPr id="4" name="IM 20"/>
                    <pic:cNvPicPr/>
                  </pic:nvPicPr>
                  <pic:blipFill>
                    <a:blip r:embed="rId13"/>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 xml:space="preserve">品种观点 </w:t>
      </w:r>
    </w:p>
    <w:tbl>
      <w:tblPr>
        <w:tblStyle w:val="8"/>
        <w:tblW w:w="107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4"/>
        <w:gridCol w:w="9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44" w:type="dxa"/>
            <w:tcBorders>
              <w:top w:val="single" w:color="2169C1" w:sz="4" w:space="0"/>
              <w:left w:val="single" w:color="FFFFFF" w:sz="4" w:space="0"/>
              <w:bottom w:val="dotted" w:color="auto" w:sz="4" w:space="0"/>
              <w:right w:val="dotted" w:color="auto" w:sz="4" w:space="0"/>
            </w:tcBorders>
            <w:shd w:val="clear" w:color="auto" w:fill="729ED8"/>
            <w:vAlign w:val="center"/>
          </w:tcPr>
          <w:p>
            <w:pPr>
              <w:pStyle w:val="10"/>
              <w:widowControl w:val="0"/>
              <w:spacing w:before="221" w:line="182" w:lineRule="auto"/>
              <w:jc w:val="center"/>
              <w:rPr>
                <w:rFonts w:hint="eastAsia" w:ascii="微软雅黑" w:hAnsi="微软雅黑" w:eastAsia="微软雅黑" w:cs="微软雅黑"/>
                <w:snapToGrid w:val="0"/>
                <w:color w:val="FFFFFF" w:themeColor="background1"/>
                <w:kern w:val="0"/>
                <w:sz w:val="24"/>
                <w:szCs w:val="24"/>
                <w:lang w:val="en-US" w:eastAsia="zh-CN" w:bidi="ar-SA"/>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品种</w:t>
            </w:r>
          </w:p>
        </w:tc>
        <w:tc>
          <w:tcPr>
            <w:tcW w:w="9039" w:type="dxa"/>
            <w:tcBorders>
              <w:top w:val="single" w:color="2169C1" w:sz="4" w:space="0"/>
              <w:left w:val="dotted" w:color="auto" w:sz="4" w:space="0"/>
              <w:bottom w:val="dotted" w:color="auto" w:sz="4" w:space="0"/>
              <w:right w:val="single" w:color="FFFFFF" w:sz="4" w:space="0"/>
            </w:tcBorders>
            <w:shd w:val="clear" w:color="auto" w:fill="729ED8"/>
            <w:vAlign w:val="center"/>
          </w:tcPr>
          <w:p>
            <w:pPr>
              <w:widowControl w:val="0"/>
              <w:spacing w:before="120" w:line="190" w:lineRule="auto"/>
              <w:jc w:val="center"/>
              <w:rPr>
                <w:rFonts w:hint="default"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pacing w:val="10"/>
                <w:sz w:val="28"/>
                <w:szCs w:val="28"/>
                <w:vertAlign w:val="baseline"/>
                <w:lang w:val="en-US" w:eastAsia="zh-CN"/>
                <w14:textFill>
                  <w14:solidFill>
                    <w14:schemeClr w14:val="bg1"/>
                  </w14:solidFill>
                </w14:textFill>
              </w:rPr>
              <w:t>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28" w:line="191" w:lineRule="auto"/>
              <w:jc w:val="center"/>
              <w:rPr>
                <w:rFonts w:hint="eastAsia" w:eastAsia="微软雅黑"/>
                <w:b/>
                <w:bCs/>
                <w:sz w:val="19"/>
                <w:szCs w:val="19"/>
                <w:lang w:eastAsia="zh-CN"/>
              </w:rPr>
            </w:pPr>
            <w:r>
              <w:rPr>
                <w:rFonts w:hint="eastAsia" w:eastAsia="微软雅黑"/>
                <w:b/>
                <w:bCs/>
                <w:sz w:val="19"/>
                <w:szCs w:val="19"/>
                <w:lang w:eastAsia="zh-CN"/>
              </w:rPr>
              <w:t>富时中国A50</w:t>
            </w:r>
          </w:p>
          <w:p>
            <w:pPr>
              <w:pStyle w:val="10"/>
              <w:widowControl w:val="0"/>
              <w:spacing w:before="228" w:line="191" w:lineRule="auto"/>
              <w:ind w:left="449" w:leftChars="0" w:firstLine="190" w:firstLineChars="100"/>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lang w:val="en-US" w:eastAsia="zh-CN"/>
              </w:rPr>
            </w:pPr>
            <w:r>
              <w:rPr>
                <w:rFonts w:hint="eastAsia" w:ascii="新宋体" w:hAnsi="新宋体" w:eastAsia="新宋体"/>
                <w:lang w:val="en-US" w:eastAsia="zh-CN"/>
              </w:rPr>
              <w:t>截至5月10日，富时中国A50指数周跌0.34%至12697.15点；新交所富时A50期指主力合约周涨0.31%至12720点。基本面上，4月金融数据偏弱以及经济数据预期偏弱，同时央行近期发布的一季度货政报告基调偏谨慎，关注短线情绪降温对市场持续回升的干扰。策略上，短线逢低做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9"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0" w:line="191" w:lineRule="auto"/>
              <w:jc w:val="center"/>
              <w:rPr>
                <w:b/>
                <w:bCs/>
                <w:sz w:val="19"/>
                <w:szCs w:val="19"/>
              </w:rPr>
            </w:pPr>
            <w:r>
              <w:rPr>
                <w:rFonts w:hint="eastAsia"/>
                <w:b/>
                <w:bCs/>
                <w:sz w:val="19"/>
                <w:szCs w:val="19"/>
              </w:rPr>
              <w:t>S&amp;P500</w:t>
            </w:r>
          </w:p>
          <w:p>
            <w:pPr>
              <w:pStyle w:val="10"/>
              <w:widowControl w:val="0"/>
              <w:spacing w:before="230" w:line="191" w:lineRule="auto"/>
              <w:jc w:val="center"/>
              <w:rPr>
                <w:rFonts w:hint="eastAsia" w:ascii="微软雅黑" w:hAnsi="微软雅黑" w:eastAsia="微软雅黑" w:cs="微软雅黑"/>
                <w:snapToGrid w:val="0"/>
                <w:color w:val="000000"/>
                <w:kern w:val="0"/>
                <w:sz w:val="19"/>
                <w:szCs w:val="19"/>
                <w:lang w:val="en-US" w:eastAsia="zh-CN" w:bidi="ar-SA"/>
              </w:rPr>
            </w:pP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rPr>
                <w:rFonts w:hint="eastAsia" w:ascii="新宋体" w:hAnsi="新宋体" w:eastAsia="新宋体"/>
                <w:lang w:val="en-US" w:eastAsia="zh-CN"/>
              </w:rPr>
            </w:pPr>
            <w:r>
              <w:rPr>
                <w:rFonts w:hint="eastAsia" w:ascii="新宋体" w:hAnsi="新宋体" w:eastAsia="新宋体"/>
                <w:lang w:val="en-US" w:eastAsia="zh-CN"/>
              </w:rPr>
              <w:t>截至5月11日，标普500指数周涨1.85%至5222.68；迷你标普500主力合约周涨1.55%至5241.50点。美股周五收盘涨跌不一，道指录得连续第四周、以及连续第八个交易日上涨。纳指与标普500指数均为连续第三周上涨。市场继续关注财报与联储政策前景。多位联储官员称通胀压力居高不下，暗示高利率将维持更长时间。策略上，短线低多为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1" w:line="191" w:lineRule="auto"/>
              <w:ind w:left="449" w:leftChars="0"/>
              <w:jc w:val="both"/>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铁矿石</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line="240" w:lineRule="auto"/>
              <w:jc w:val="left"/>
              <w:rPr>
                <w:rFonts w:hint="eastAsia" w:ascii="新宋体" w:hAnsi="新宋体" w:eastAsia="新宋体" w:cs="新宋体"/>
                <w:lang w:val="en-US" w:eastAsia="zh-CN"/>
              </w:rPr>
            </w:pPr>
            <w:r>
              <w:rPr>
                <w:rFonts w:hint="eastAsia" w:ascii="新宋体" w:hAnsi="新宋体" w:eastAsia="新宋体" w:cs="新宋体"/>
                <w:lang w:val="en-US" w:eastAsia="zh-CN"/>
              </w:rPr>
              <w:t>上周铁矿石期价冲高回调。周初市场情绪乐观，I2409合约触及900关口后承压回调， 由于4月份钢材出口量明显回落，市场情绪受挫，钢价回调拖累炉料，主流持仓减多增空。后市展望：供应端，国内铁矿石港口库存结束十九连增，目前库存量处在1.467亿吨，较去年同期增加2075万吨，整体仍相对宽松。需求端，钢厂高炉开工率继续提升，247家钢厂日均铁水产量为234.5万吨，连续六周增加。整体上，铁矿石现货需求保持增长，但钢厂利润收缩，对于炉料支撑减弱。I2409合约考虑895-840区间高抛低买，止损参考15元/吨。</w:t>
            </w:r>
          </w:p>
          <w:p>
            <w:pPr>
              <w:widowControl w:val="0"/>
              <w:spacing w:line="240" w:lineRule="auto"/>
              <w:jc w:val="left"/>
              <w:rPr>
                <w:rFonts w:hint="eastAsia" w:ascii="新宋体" w:hAnsi="新宋体" w:eastAsia="新宋体" w:cs="新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8"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LME铜</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line="240" w:lineRule="auto"/>
              <w:rPr>
                <w:rFonts w:hint="eastAsia" w:ascii="新宋体" w:hAnsi="新宋体" w:eastAsia="新宋体" w:cs="新宋体"/>
                <w:color w:val="000000" w:themeColor="text1"/>
                <w:lang w:val="en-US" w:eastAsia="zh-CN"/>
                <w14:textFill>
                  <w14:solidFill>
                    <w14:schemeClr w14:val="tx1"/>
                  </w14:solidFill>
                </w14:textFill>
              </w:rPr>
            </w:pPr>
            <w:r>
              <w:rPr>
                <w:rFonts w:hint="eastAsia" w:ascii="新宋体" w:hAnsi="新宋体" w:eastAsia="新宋体" w:cs="新宋体"/>
                <w:color w:val="000000" w:themeColor="text1"/>
                <w:lang w:val="en-US" w:eastAsia="zh-CN"/>
                <w14:textFill>
                  <w14:solidFill>
                    <w14:schemeClr w14:val="tx1"/>
                  </w14:solidFill>
                </w14:textFill>
              </w:rPr>
              <w:t>国际方面，亚特兰大联储主席博斯蒂克仍然认为美联储今年将进行一次降息。美联储理事鲍曼认为，美联储仍需要在更长一段时间保持政策稳定；达拉斯联储主席洛根表示，现在考虑降息为时尚早。明尼阿波利斯联储主席卡什卡利认为，再次加息的门槛很高，但不能排除这种可能性。国内方面，今年前4个月中国社会融资规模增量累计为12.73万亿元，比上年同期少3.04万亿元；前4个月人民币贷款增加10.19万亿元。4月末，M2同比增长7.2%。4月末社会融资规模存量为389.93万亿元，同比增长8.3%。美元美债方面，10年期美债收益率盘中大幅拉升，收报4.500%。对美联储政策利率最敏感的2年期美债收益率最终收报4.874%。美元指数震荡走强报收105.32，涨跌幅+0.09%。库存方面，截至本周最新数据，LME总库存为103450吨，较上周环比-7850吨；COMEX总库为21530短吨，较上周环比-2107吨；SHFE库存为290376吨，较上周环比+2036吨。海外库存去化，国内有所累库。操作建议，轻仓逢低短多，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2"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CBOT大豆</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最新公布的USDA报告显示，美豆新作产量预计创出新高，库存也有所累积，达到5年的新高，巴西产量受天气影响，稍有回落，不过幅度有限。总体报告影响偏空，对美豆价格有一定的压力。不过巴西的天气问题依然困扰市场，对美豆形成一定的支撑。短期预计陷入震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rFonts w:hint="eastAsia"/>
                <w:b/>
                <w:bCs/>
                <w:spacing w:val="3"/>
                <w:sz w:val="19"/>
                <w:szCs w:val="19"/>
                <w:lang w:val="en-US" w:eastAsia="zh-CN"/>
              </w:rPr>
              <w:t>原油</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国际原油市场下跌，布伦特原油7月期货合约结算价报82.79美元/桶，跌幅为1.3%；美国WTI原油6月期货合约结算价报78.26元/桶，跌幅1.3%。美联储官员的言论表明利率可能将长期维持较高水平，美元指数小幅上涨。欧佩克联盟产油国将自愿减产措施延长到二季度，沙特将自愿减产100万桶/日，俄罗斯在二季度自愿削减供应47.1万桶/日；EIA美国商业原油库存出现下降；哈马斯表态不对停火进一步妥协，以色列继续在拉法展开军事行动，巴以停火协议谈判仍呈僵局；美国利率长期处于高位，将抑制经济和需求前景，短线原油期价呈现震荡。纽约商品期货交易所（NYMEX）的西德克萨斯中质原油（WTI）6月合约周度支撑位：76；压力位：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4"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snapToGrid w:val="0"/>
                <w:color w:val="000000"/>
                <w:kern w:val="0"/>
                <w:sz w:val="19"/>
                <w:szCs w:val="19"/>
                <w:lang w:val="en-US" w:eastAsia="zh-CN" w:bidi="ar-SA"/>
              </w:rPr>
            </w:pPr>
            <w:r>
              <w:rPr>
                <w:b/>
                <w:bCs/>
                <w:sz w:val="19"/>
                <w:szCs w:val="19"/>
              </w:rPr>
              <w:t>ICE原糖</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rPr>
                <w:rFonts w:hint="eastAsia" w:ascii="新宋体" w:hAnsi="新宋体" w:eastAsia="新宋体" w:cs="新宋体"/>
                <w:spacing w:val="25"/>
                <w:sz w:val="21"/>
                <w:szCs w:val="21"/>
                <w:lang w:val="en-US" w:eastAsia="zh-CN"/>
              </w:rPr>
            </w:pPr>
            <w:r>
              <w:rPr>
                <w:rFonts w:hint="eastAsia" w:ascii="新宋体" w:hAnsi="新宋体" w:eastAsia="新宋体" w:cs="新宋体"/>
                <w:sz w:val="21"/>
                <w:szCs w:val="21"/>
                <w:lang w:val="en-US" w:eastAsia="zh-CN"/>
              </w:rPr>
              <w:t>上周美糖7月合约期价冲高回落，周度跌幅约0.31%。由于巴西糖出口仍强劲预期，且对供应端存在不确定因素，市场反弹乏力。当前市场对主产国糖产量预期出现分歧，担忧巴西糖产量存在不确定，价格有所企稳。巴西对外贸易秘书处公布的出口数据显示，巴西4月前五周出口糖及糖蜜188.92万吨，日均出口量为8.59万吨，较上年4月全月的日均出口量5.4万吨增加59%，巴西糖出口量环比增加，预计4月出口糖量仍较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1744" w:type="dxa"/>
            <w:tcBorders>
              <w:top w:val="dotted" w:color="auto" w:sz="4" w:space="0"/>
              <w:left w:val="single" w:color="FFFFFF" w:sz="4" w:space="0"/>
              <w:bottom w:val="dotted" w:color="auto" w:sz="4" w:space="0"/>
              <w:right w:val="dotted" w:color="auto" w:sz="4" w:space="0"/>
            </w:tcBorders>
            <w:shd w:val="clear" w:color="auto" w:fill="D6DCE5" w:themeFill="text2" w:themeFillTint="32"/>
            <w:vAlign w:val="center"/>
          </w:tcPr>
          <w:p>
            <w:pPr>
              <w:pStyle w:val="10"/>
              <w:widowControl w:val="0"/>
              <w:spacing w:before="234" w:line="191" w:lineRule="auto"/>
              <w:jc w:val="center"/>
              <w:rPr>
                <w:rFonts w:hint="eastAsia" w:ascii="微软雅黑" w:hAnsi="微软雅黑" w:eastAsia="微软雅黑" w:cs="微软雅黑"/>
                <w:b/>
                <w:bCs/>
                <w:snapToGrid w:val="0"/>
                <w:color w:val="000000"/>
                <w:spacing w:val="3"/>
                <w:kern w:val="0"/>
                <w:sz w:val="19"/>
                <w:szCs w:val="19"/>
                <w:lang w:val="en-US" w:eastAsia="zh-CN" w:bidi="ar-SA"/>
              </w:rPr>
            </w:pPr>
            <w:r>
              <w:rPr>
                <w:b/>
                <w:bCs/>
                <w:sz w:val="19"/>
                <w:szCs w:val="19"/>
              </w:rPr>
              <w:t>ICE</w:t>
            </w:r>
            <w:r>
              <w:rPr>
                <w:rFonts w:hint="eastAsia"/>
                <w:b/>
                <w:bCs/>
                <w:sz w:val="19"/>
                <w:szCs w:val="19"/>
                <w:lang w:val="en-US" w:eastAsia="zh-CN"/>
              </w:rPr>
              <w:t>棉花</w:t>
            </w:r>
          </w:p>
        </w:tc>
        <w:tc>
          <w:tcPr>
            <w:tcW w:w="9039" w:type="dxa"/>
            <w:tcBorders>
              <w:top w:val="dotted" w:color="auto" w:sz="4" w:space="0"/>
              <w:left w:val="dotted" w:color="auto" w:sz="4" w:space="0"/>
              <w:bottom w:val="dotted" w:color="auto" w:sz="4" w:space="0"/>
              <w:right w:val="single" w:color="FFFFFF" w:sz="4" w:space="0"/>
            </w:tcBorders>
            <w:shd w:val="clear" w:color="auto" w:fill="E6EFFB"/>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上周美棉7月合约价格小幅下跌，周度跌约0.60%。市场出现些许反转，可能是达到超卖区域后自行调整，压力来自投机客持有净空持仓及美国农业部报告的预期发布。5月供需报告首次发布对美国及全球2024/25年度作物预测，美国产量预计为1600万包，出口预计为1300万包。不过据美国农业部(USDA)报告显示，2024年4月26日-5月2日，2023/24年度美国陆地棉出口签约量57590吨，较前周和前4周平均水平显着增长；2023/24年度美国陆地棉出口装运量56659吨，较前周增长39%，较前4周平均水平增长2%。当周美国棉花出口装船及签约量环比大增，数据表现强劲，利多棉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744" w:type="dxa"/>
            <w:tcBorders>
              <w:top w:val="dotted" w:color="auto" w:sz="4" w:space="0"/>
              <w:left w:val="single" w:color="FFFFFF" w:sz="4" w:space="0"/>
              <w:bottom w:val="dotted" w:color="auto" w:sz="4" w:space="0"/>
              <w:right w:val="dotted" w:color="auto" w:sz="4" w:space="0"/>
            </w:tcBorders>
            <w:shd w:val="clear" w:color="auto" w:fill="B5C7EA" w:themeFill="accent1" w:themeFillTint="66"/>
            <w:vAlign w:val="center"/>
          </w:tcPr>
          <w:p>
            <w:pPr>
              <w:pStyle w:val="10"/>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美元指数</w:t>
            </w:r>
          </w:p>
        </w:tc>
        <w:tc>
          <w:tcPr>
            <w:tcW w:w="9039" w:type="dxa"/>
            <w:tcBorders>
              <w:top w:val="dotted" w:color="auto" w:sz="4" w:space="0"/>
              <w:left w:val="dotted" w:color="auto" w:sz="4" w:space="0"/>
              <w:bottom w:val="dotted" w:color="auto" w:sz="4" w:space="0"/>
              <w:right w:val="single" w:color="FFFFFF" w:sz="4" w:space="0"/>
            </w:tcBorders>
            <w:shd w:val="clear" w:color="auto" w:fill="FFFFFF"/>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最新公布的美国5月密歇根大学消费者信心指数初值67.4，为去年11月以来新低，预期76，4月终值77.2，整体消费者信心指数走弱或有利美国经济需求放缓。数位美联储官员同样于近期发声。美联储博斯蒂克表示，尽管时间不确定，仍然认为美联储今年将进行一次降息；美联储理事鲍曼指出，美国经济有持续的动能，需要在更长一段时间保持政策稳定；美联储洛根称，现在考虑降息为时尚早，需要在政策上保持灵活性；美联储卡什卡利表示，再次加息的门槛很高，但不能排除这种可能性，整体基调中性偏鹰。往后看，短期内美国经济预期走弱或使利率预期持续承压，美国与非美国家预期利差缩小或相对利空美元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4" w:hRule="atLeast"/>
        </w:trPr>
        <w:tc>
          <w:tcPr>
            <w:tcW w:w="1744" w:type="dxa"/>
            <w:tcBorders>
              <w:top w:val="dotted" w:color="auto" w:sz="4" w:space="0"/>
              <w:left w:val="single" w:color="FFFFFF" w:sz="4" w:space="0"/>
              <w:bottom w:val="single" w:color="2169C1" w:sz="4" w:space="0"/>
              <w:right w:val="dotted" w:color="auto" w:sz="4" w:space="0"/>
            </w:tcBorders>
            <w:shd w:val="clear" w:color="auto" w:fill="B5C7EA" w:themeFill="accent1" w:themeFillTint="66"/>
            <w:vAlign w:val="center"/>
          </w:tcPr>
          <w:p>
            <w:pPr>
              <w:pStyle w:val="10"/>
              <w:widowControl w:val="0"/>
              <w:spacing w:before="234" w:line="191" w:lineRule="auto"/>
              <w:jc w:val="center"/>
              <w:rPr>
                <w:rFonts w:hint="eastAsia" w:ascii="微软雅黑" w:hAnsi="微软雅黑" w:eastAsia="微软雅黑" w:cs="微软雅黑"/>
                <w:b/>
                <w:bCs/>
                <w:snapToGrid w:val="0"/>
                <w:color w:val="000000"/>
                <w:kern w:val="0"/>
                <w:sz w:val="19"/>
                <w:szCs w:val="19"/>
                <w:lang w:val="en-US" w:eastAsia="zh-CN" w:bidi="ar-SA"/>
              </w:rPr>
            </w:pPr>
            <w:r>
              <w:rPr>
                <w:rFonts w:hint="eastAsia"/>
                <w:b/>
                <w:bCs/>
                <w:sz w:val="19"/>
                <w:szCs w:val="19"/>
                <w:lang w:val="en-US" w:eastAsia="zh-CN"/>
              </w:rPr>
              <w:t>贵金属</w:t>
            </w:r>
          </w:p>
        </w:tc>
        <w:tc>
          <w:tcPr>
            <w:tcW w:w="9039" w:type="dxa"/>
            <w:tcBorders>
              <w:top w:val="dotted" w:color="auto" w:sz="4" w:space="0"/>
              <w:left w:val="dotted" w:color="auto" w:sz="4" w:space="0"/>
              <w:bottom w:val="single" w:color="2169C1" w:sz="4" w:space="0"/>
              <w:right w:val="single" w:color="FFFFFF" w:sz="4" w:space="0"/>
            </w:tcBorders>
            <w:shd w:val="clear" w:color="auto" w:fill="DBE3F4" w:themeFill="accent1" w:themeFillTint="32"/>
          </w:tcPr>
          <w:p>
            <w:pPr>
              <w:widowControl w:val="0"/>
              <w:spacing w:before="120" w:line="240" w:lineRule="auto"/>
              <w:rPr>
                <w:rFonts w:hint="eastAsia" w:ascii="新宋体" w:hAnsi="新宋体" w:eastAsia="新宋体" w:cs="新宋体"/>
                <w:sz w:val="21"/>
                <w:szCs w:val="21"/>
                <w:lang w:val="en-US" w:eastAsia="zh-CN"/>
              </w:rPr>
            </w:pPr>
            <w:r>
              <w:rPr>
                <w:rFonts w:hint="eastAsia" w:ascii="新宋体" w:hAnsi="新宋体" w:eastAsia="新宋体" w:cs="新宋体"/>
                <w:sz w:val="21"/>
                <w:szCs w:val="21"/>
                <w:lang w:val="en-US" w:eastAsia="zh-CN"/>
              </w:rPr>
              <w:t>近期地缘冲突不确定性尚存，整体避险情绪犹存。美国最新非农就业数据显示劳动力市场有所走弱，薪资增速回落使市场增加降息预期。除此之外，最新公布的美国5月密歇根大学消费者信心指数初值67.4，为去年11月以来新低，预期76，4月终值77.2，整体消费者信心指数走弱或有利美国经济需求放缓。往后看，尽管短期内多位美联储官员释放中性偏鹰信号，但市场已开始下调年内预期利率水平，美元及美债收益率或相对承压，利多贵金属再次上涨。操作上建议，日内轻仓做多，请投资者注意风险控制。</w:t>
            </w:r>
          </w:p>
        </w:tc>
      </w:tr>
    </w:tbl>
    <w:p>
      <w:pPr>
        <w:spacing w:before="120" w:line="190" w:lineRule="auto"/>
        <w:rPr>
          <w:rFonts w:hint="eastAsia" w:ascii="微软雅黑" w:hAnsi="微软雅黑" w:eastAsia="微软雅黑" w:cs="微软雅黑"/>
          <w:b/>
          <w:bCs/>
          <w:color w:val="036EB8"/>
          <w:spacing w:val="10"/>
          <w:sz w:val="28"/>
          <w:szCs w:val="28"/>
          <w:lang w:val="en-US" w:eastAsia="zh-CN"/>
        </w:rPr>
      </w:pPr>
    </w:p>
    <w:p>
      <w:pPr>
        <w:pStyle w:val="3"/>
        <w:spacing w:line="263" w:lineRule="auto"/>
      </w:pPr>
    </w:p>
    <w:p>
      <w:pPr>
        <w:pStyle w:val="3"/>
        <w:spacing w:line="263" w:lineRule="auto"/>
      </w:pPr>
    </w:p>
    <w:p>
      <w:pPr>
        <w:pStyle w:val="3"/>
        <w:spacing w:line="263" w:lineRule="auto"/>
      </w:pPr>
    </w:p>
    <w:p>
      <w:pPr>
        <w:pStyle w:val="3"/>
        <w:spacing w:line="263" w:lineRule="auto"/>
        <w:rPr>
          <w:rFonts w:hint="default" w:ascii="微软雅黑" w:hAnsi="微软雅黑" w:eastAsia="微软雅黑" w:cs="微软雅黑"/>
          <w:color w:val="036EB8"/>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4"/>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5"/>
          <w:sz w:val="28"/>
          <w:szCs w:val="28"/>
        </w:rPr>
        <w:t xml:space="preserve"> </w:t>
      </w:r>
      <w:r>
        <w:rPr>
          <w:rFonts w:ascii="微软雅黑" w:hAnsi="微软雅黑" w:eastAsia="微软雅黑" w:cs="微软雅黑"/>
          <w:b/>
          <w:bCs/>
          <w:color w:val="036EB8"/>
          <w:spacing w:val="10"/>
          <w:sz w:val="28"/>
          <w:szCs w:val="28"/>
        </w:rPr>
        <w:t>周度</w:t>
      </w:r>
      <w:r>
        <w:rPr>
          <w:rFonts w:hint="eastAsia" w:ascii="微软雅黑" w:hAnsi="微软雅黑" w:eastAsia="微软雅黑" w:cs="微软雅黑"/>
          <w:b/>
          <w:bCs/>
          <w:color w:val="036EB8"/>
          <w:spacing w:val="10"/>
          <w:sz w:val="28"/>
          <w:szCs w:val="28"/>
          <w:lang w:val="en-US" w:eastAsia="zh-CN"/>
        </w:rPr>
        <w:t>品种图表</w:t>
      </w:r>
    </w:p>
    <w:tbl>
      <w:tblPr>
        <w:tblStyle w:val="11"/>
        <w:tblW w:w="9416" w:type="dxa"/>
        <w:tblInd w:w="210" w:type="dxa"/>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Layout w:type="fixed"/>
        <w:tblCellMar>
          <w:top w:w="0" w:type="dxa"/>
          <w:left w:w="0" w:type="dxa"/>
          <w:bottom w:w="0" w:type="dxa"/>
          <w:right w:w="0" w:type="dxa"/>
        </w:tblCellMar>
      </w:tblPr>
      <w:tblGrid>
        <w:gridCol w:w="9416"/>
      </w:tblGrid>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3516"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图2：美国CPI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7.15pt;margin-top:164.9pt;height:22.65pt;width:175.6pt;z-index:251663360;mso-width-relative:page;mso-height-relative:page;" fillcolor="#FFFFFF [3201]" filled="t" stroked="f" coordsize="21600,21600" o:gfxdata="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OrY1LWAAAACwEAAA8AAAAA&#10;AAAAAQAgAAAAIgAAAGRycy9kb3ducmV2LnhtbFBLAQIUABQAAAAIAIdO4kC2OfOTTwIAAJEEAAAO&#10;AAAAAAAAAAEAIAAAACUBAABkcnMvZTJvRG9jLnhtbFBLBQYAAAAABgAGAFkBAADmBQ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图2：美国CPI</w:t>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：纽约铜主力合约走势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2pt;margin-top:166.5pt;height:22.65pt;width:201.9pt;z-index:251662336;mso-width-relative:page;mso-height-relative:page;" fillcolor="#FFFFFF [3201]" filled="t" stroked="t" coordsize="21600,21600" o:gfxdata="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kJptrtgAAAAKAQAA&#10;DwAAAAAAAAABACAAAAAiAAAAZHJzL2Rvd25yZXYueG1sUEsBAhQAFAAAAAgAh07iQOT9VftSAgAA&#10;ugQAAA4AAAAAAAAAAQAgAAAAJwEAAGRycy9lMm9Eb2MueG1sUEsFBgAAAAAGAAYAWQEAAOsFAAAA&#10;AA==&#10;">
                      <v:fill on="t" focussize="0,0"/>
                      <v:stroke weight="0.5pt" color="#FFFFFF [3212]" joinstyle="round"/>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图1 ：纽约铜主力合约走势</w:t>
                            </w:r>
                          </w:p>
                        </w:txbxContent>
                      </v:textbox>
                    </v:shape>
                  </w:pict>
                </mc:Fallback>
              </mc:AlternateContent>
            </w:r>
            <w:r>
              <w:rPr>
                <w:rFonts w:hint="eastAsia" w:eastAsia="宋体"/>
                <w:sz w:val="21"/>
                <w:lang w:val="en-US" w:eastAsia="zh-CN"/>
              </w:rPr>
              <w:t xml:space="preserve"> </w:t>
            </w:r>
            <w:r>
              <w:drawing>
                <wp:inline distT="0" distB="0" distL="0" distR="0">
                  <wp:extent cx="2788920" cy="1812290"/>
                  <wp:effectExtent l="0" t="0" r="11430" b="1651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5"/>
                          <a:stretch>
                            <a:fillRect/>
                          </a:stretch>
                        </pic:blipFill>
                        <pic:spPr>
                          <a:xfrm>
                            <a:off x="0" y="0"/>
                            <a:ext cx="2788920" cy="1812290"/>
                          </a:xfrm>
                          <a:prstGeom prst="rect">
                            <a:avLst/>
                          </a:prstGeom>
                        </pic:spPr>
                      </pic:pic>
                    </a:graphicData>
                  </a:graphic>
                </wp:inline>
              </w:drawing>
            </w:r>
            <w:r>
              <w:rPr>
                <w:rFonts w:hint="eastAsia" w:eastAsia="宋体"/>
                <w:lang w:val="en-US" w:eastAsia="zh-CN"/>
              </w:rPr>
              <w:t xml:space="preserve"> </w:t>
            </w:r>
            <w:r>
              <w:drawing>
                <wp:inline distT="0" distB="0" distL="0" distR="0">
                  <wp:extent cx="2969260" cy="1819275"/>
                  <wp:effectExtent l="0" t="0" r="254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
                          <a:stretch>
                            <a:fillRect/>
                          </a:stretch>
                        </pic:blipFill>
                        <pic:spPr>
                          <a:xfrm>
                            <a:off x="0" y="0"/>
                            <a:ext cx="2969260" cy="181927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71552" behindDoc="0" locked="0" layoutInCell="1" allowOverlap="1">
                      <wp:simplePos x="0" y="0"/>
                      <wp:positionH relativeFrom="column">
                        <wp:posOffset>2744470</wp:posOffset>
                      </wp:positionH>
                      <wp:positionV relativeFrom="paragraph">
                        <wp:posOffset>2066290</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微软雅黑" w:hAnsi="微软雅黑" w:eastAsia="宋体"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w:t>
                                  </w:r>
                                  <w:r>
                                    <w:rPr>
                                      <w:rFonts w:ascii="宋体" w:hAnsi="宋体" w:eastAsia="宋体"/>
                                    </w:rPr>
                                    <w:t>原油（WTI）</w:t>
                                  </w:r>
                                  <w:r>
                                    <w:rPr>
                                      <w:rFonts w:hint="eastAsia" w:ascii="宋体" w:hAnsi="宋体" w:eastAsia="宋体"/>
                                      <w:lang w:val="en-US" w:eastAsia="zh-CN"/>
                                    </w:rPr>
                                    <w:t>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1pt;margin-top:162.7pt;height:23.85pt;width:203.2pt;z-index:251671552;mso-width-relative:page;mso-height-relative:page;" fillcolor="#FFFFFF [3201]" filled="t" stroked="f" coordsize="21600,21600" o:gfxdata="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hYx5+tUAAAALAQAADwAA&#10;AAAAAAABACAAAAAiAAAAZHJzL2Rvd25yZXYueG1sUEsBAhQAFAAAAAgAh07iQOMpvNhSAgAAkQQA&#10;AA4AAAAAAAAAAQAgAAAAJAEAAGRycy9lMm9Eb2MueG1sUEsFBgAAAAAGAAYAWQEAAOgFAAAAAA==&#10;">
                      <v:fill on="t" focussize="0,0"/>
                      <v:stroke on="f" weight="0.5pt"/>
                      <v:imagedata o:title=""/>
                      <o:lock v:ext="edit" aspectratio="f"/>
                      <v:textbox>
                        <w:txbxContent>
                          <w:p>
                            <w:pPr>
                              <w:jc w:val="center"/>
                              <w:rPr>
                                <w:rFonts w:hint="eastAsia" w:ascii="微软雅黑" w:hAnsi="微软雅黑" w:eastAsia="宋体"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图4：</w:t>
                            </w:r>
                            <w:r>
                              <w:rPr>
                                <w:rFonts w:ascii="宋体" w:hAnsi="宋体" w:eastAsia="宋体"/>
                              </w:rPr>
                              <w:t>原油（WTI）</w:t>
                            </w:r>
                            <w:r>
                              <w:rPr>
                                <w:rFonts w:hint="eastAsia" w:ascii="宋体" w:hAnsi="宋体" w:eastAsia="宋体"/>
                                <w:lang w:val="en-US" w:eastAsia="zh-CN"/>
                              </w:rPr>
                              <w:t>走势图</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332740</wp:posOffset>
                      </wp:positionH>
                      <wp:positionV relativeFrom="paragraph">
                        <wp:posOffset>2105660</wp:posOffset>
                      </wp:positionV>
                      <wp:extent cx="1811020" cy="287655"/>
                      <wp:effectExtent l="0" t="0" r="17780" b="17145"/>
                      <wp:wrapNone/>
                      <wp:docPr id="43" name="文本框 43"/>
                      <wp:cNvGraphicFramePr/>
                      <a:graphic xmlns:a="http://schemas.openxmlformats.org/drawingml/2006/main">
                        <a:graphicData uri="http://schemas.microsoft.com/office/word/2010/wordprocessingShape">
                          <wps:wsp>
                            <wps:cNvSpPr txBox="1"/>
                            <wps:spPr>
                              <a:xfrm>
                                <a:off x="0" y="0"/>
                                <a:ext cx="18110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图3：中国GDP</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pt;margin-top:165.8pt;height:22.65pt;width:142.6pt;z-index:251664384;mso-width-relative:page;mso-height-relative:page;" fillcolor="#FFFFFF [3201]" filled="t" stroked="f" coordsize="21600,21600" o:gfxdata="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2ADFH1gAAAAoBAAAPAAAA&#10;AAAAAAEAIAAAACIAAABkcnMvZG93bnJldi54bWxQSwECFAAUAAAACACHTuJAkpS8Cl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图3：中国GDP</w:t>
                            </w:r>
                          </w:p>
                        </w:txbxContent>
                      </v:textbox>
                    </v:shape>
                  </w:pict>
                </mc:Fallback>
              </mc:AlternateContent>
            </w:r>
            <w:r>
              <w:rPr>
                <w:rFonts w:hint="eastAsia" w:eastAsia="宋体"/>
                <w:lang w:val="en-US" w:eastAsia="zh-CN"/>
              </w:rPr>
              <w:t xml:space="preserve">  </w:t>
            </w:r>
            <w:r>
              <w:drawing>
                <wp:inline distT="0" distB="0" distL="0" distR="0">
                  <wp:extent cx="2891790" cy="1619250"/>
                  <wp:effectExtent l="0" t="0" r="381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2891790" cy="1619250"/>
                          </a:xfrm>
                          <a:prstGeom prst="rect">
                            <a:avLst/>
                          </a:prstGeom>
                        </pic:spPr>
                      </pic:pic>
                    </a:graphicData>
                  </a:graphic>
                </wp:inline>
              </w:drawing>
            </w:r>
            <w:r>
              <w:rPr>
                <w:rFonts w:hint="eastAsia" w:eastAsia="宋体"/>
                <w:lang w:val="en-US" w:eastAsia="zh-CN"/>
              </w:rPr>
              <w:t xml:space="preserve"> </w:t>
            </w:r>
            <w:r>
              <w:drawing>
                <wp:inline distT="0" distB="0" distL="0" distR="0">
                  <wp:extent cx="2843530" cy="1605915"/>
                  <wp:effectExtent l="0" t="0" r="13970" b="133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2843530" cy="160591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rPr>
                <w:rFonts w:hint="default" w:eastAsia="宋体"/>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3108325</wp:posOffset>
                      </wp:positionH>
                      <wp:positionV relativeFrom="paragraph">
                        <wp:posOffset>2109470</wp:posOffset>
                      </wp:positionV>
                      <wp:extent cx="2837815" cy="424180"/>
                      <wp:effectExtent l="0" t="0" r="635" b="13970"/>
                      <wp:wrapNone/>
                      <wp:docPr id="68" name="文本框 68"/>
                      <wp:cNvGraphicFramePr/>
                      <a:graphic xmlns:a="http://schemas.openxmlformats.org/drawingml/2006/main">
                        <a:graphicData uri="http://schemas.microsoft.com/office/word/2010/wordprocessingShape">
                          <wps:wsp>
                            <wps:cNvSpPr txBox="1"/>
                            <wps:spPr>
                              <a:xfrm>
                                <a:off x="0" y="0"/>
                                <a:ext cx="2837815" cy="4241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图6：ICE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4.75pt;margin-top:166.1pt;height:33.4pt;width:223.45pt;z-index:251666432;mso-width-relative:page;mso-height-relative:page;" fillcolor="#FFFFFF [3201]" filled="t" stroked="f" coordsize="21600,21600" o:gfxdata="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vvTj5dcAAAALAQAA&#10;DwAAAAAAAAABACAAAAAiAAAAZHJzL2Rvd25yZXYueG1sUEsBAhQAFAAAAAgAh07iQHVVI95TAgAA&#10;kQQAAA4AAAAAAAAAAQAgAAAAJgEAAGRycy9lMm9Eb2MueG1sUEsFBgAAAAAGAAYAWQEAAOsFAAAA&#10;AA==&#10;">
                      <v:fill on="t" focussize="0,0"/>
                      <v:stroke on="f" weight="0.5pt"/>
                      <v:imagedata o:title=""/>
                      <o:lock v:ext="edit" aspectratio="f"/>
                      <v:textbox>
                        <w:txbxContent>
                          <w:p>
                            <w:pPr>
                              <w:spacing w:before="103" w:line="256" w:lineRule="auto"/>
                              <w:ind w:right="743"/>
                              <w:jc w:val="center"/>
                              <w:rPr>
                                <w:rFonts w:hint="eastAsia" w:ascii="微软雅黑" w:hAnsi="微软雅黑" w:eastAsia="微软雅黑" w:cs="微软雅黑"/>
                                <w:spacing w:val="12"/>
                                <w:sz w:val="24"/>
                                <w:szCs w:val="24"/>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图6：ICE</w:t>
                            </w:r>
                            <w:r>
                              <w:rPr>
                                <w:rFonts w:hint="eastAsia" w:ascii="微软雅黑" w:hAnsi="微软雅黑" w:eastAsia="微软雅黑" w:cs="微软雅黑"/>
                                <w:snapToGrid w:val="0"/>
                                <w:color w:val="000000"/>
                                <w:spacing w:val="25"/>
                                <w:kern w:val="0"/>
                                <w:sz w:val="19"/>
                                <w:szCs w:val="19"/>
                                <w:lang w:val="zh-CN" w:eastAsia="zh-CN" w:bidi="ar-SA"/>
                              </w:rPr>
                              <w:t>原糖期货主力</w:t>
                            </w:r>
                            <w:r>
                              <w:rPr>
                                <w:rFonts w:hint="eastAsia" w:ascii="微软雅黑" w:hAnsi="微软雅黑" w:eastAsia="微软雅黑" w:cs="微软雅黑"/>
                                <w:snapToGrid w:val="0"/>
                                <w:color w:val="000000"/>
                                <w:spacing w:val="25"/>
                                <w:kern w:val="0"/>
                                <w:sz w:val="19"/>
                                <w:szCs w:val="19"/>
                                <w:lang w:val="en-US" w:eastAsia="zh-CN" w:bidi="ar-SA"/>
                              </w:rPr>
                              <w:t>合约</w:t>
                            </w:r>
                            <w:r>
                              <w:rPr>
                                <w:rFonts w:hint="eastAsia" w:ascii="微软雅黑" w:hAnsi="微软雅黑" w:eastAsia="微软雅黑" w:cs="微软雅黑"/>
                                <w:snapToGrid w:val="0"/>
                                <w:color w:val="000000"/>
                                <w:spacing w:val="25"/>
                                <w:kern w:val="0"/>
                                <w:sz w:val="19"/>
                                <w:szCs w:val="19"/>
                                <w:lang w:val="zh-CN" w:eastAsia="zh-CN" w:bidi="ar-SA"/>
                              </w:rPr>
                              <w:t>走势</w:t>
                            </w:r>
                            <w:r>
                              <w:rPr>
                                <w:rFonts w:hint="eastAsia" w:ascii="微软雅黑" w:hAnsi="微软雅黑" w:eastAsia="微软雅黑" w:cs="微软雅黑"/>
                                <w:snapToGrid w:val="0"/>
                                <w:color w:val="000000"/>
                                <w:spacing w:val="25"/>
                                <w:kern w:val="0"/>
                                <w:sz w:val="19"/>
                                <w:szCs w:val="19"/>
                                <w:lang w:val="en-US" w:eastAsia="zh-CN" w:bidi="ar-SA"/>
                              </w:rPr>
                              <w:t>图</w:t>
                            </w:r>
                            <w:r>
                              <w:rPr>
                                <w:rFonts w:hint="eastAsia" w:ascii="微软雅黑" w:hAnsi="微软雅黑" w:eastAsia="微软雅黑" w:cs="微软雅黑"/>
                                <w:spacing w:val="7"/>
                                <w:sz w:val="21"/>
                                <w:szCs w:val="21"/>
                                <w:lang w:val="zh-CN" w:eastAsia="zh-CN"/>
                              </w:rPr>
                              <w:t>图</w:t>
                            </w:r>
                          </w:p>
                          <w:p>
                            <w:pPr>
                              <w:jc w:val="center"/>
                              <w:rPr>
                                <w:rFonts w:hint="default" w:eastAsia="宋体"/>
                                <w:lang w:val="en-US" w:eastAsia="zh-CN"/>
                              </w:rPr>
                            </w:pP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75pt;margin-top:172.3pt;height:23.7pt;width:203.15pt;z-index:251665408;mso-width-relative:page;mso-height-relative:page;" fillcolor="#FFFFFF [3201]" filled="t" stroked="f" coordsize="21600,21600" o:gfxdata="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CbVxP&#10;1QAAAAoBAAAPAAAAAAAAAAEAIAAAACIAAABkcnMvZG93bnJldi54bWxQSwECFAAUAAAACACHTuJA&#10;NF5u3F0CAACcBAAADgAAAAAAAAABACAAAAAkAQAAZHJzL2Uyb0RvYy54bWxQSwUGAAAAAAYABgBZ&#10;AQAA8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图5：ICE棉花</w:t>
                            </w:r>
                            <w:r>
                              <w:rPr>
                                <w:rFonts w:hint="eastAsia" w:ascii="微软雅黑" w:hAnsi="微软雅黑" w:eastAsia="微软雅黑" w:cs="微软雅黑"/>
                                <w:snapToGrid w:val="0"/>
                                <w:color w:val="000000"/>
                                <w:spacing w:val="25"/>
                                <w:kern w:val="0"/>
                                <w:sz w:val="19"/>
                                <w:szCs w:val="19"/>
                                <w:lang w:val="zh-CN" w:eastAsia="zh-CN" w:bidi="ar-SA"/>
                              </w:rPr>
                              <w:t>期货主力合约日走势图</w:t>
                            </w:r>
                          </w:p>
                        </w:txbxContent>
                      </v:textbox>
                    </v:shape>
                  </w:pict>
                </mc:Fallback>
              </mc:AlternateContent>
            </w:r>
            <w:r>
              <w:rPr>
                <w:rFonts w:hint="eastAsia" w:eastAsia="宋体"/>
                <w:lang w:val="en-US" w:eastAsia="zh-CN"/>
              </w:rPr>
              <w:t xml:space="preserve">  </w:t>
            </w:r>
            <w:r>
              <w:rPr>
                <w:rFonts w:hint="default"/>
                <w:lang w:val="en-US" w:eastAsia="zh-CN"/>
              </w:rPr>
              <w:drawing>
                <wp:inline distT="0" distB="0" distL="114300" distR="114300">
                  <wp:extent cx="2723515" cy="1739265"/>
                  <wp:effectExtent l="0" t="0" r="635" b="13335"/>
                  <wp:docPr id="16" name="图片 16" descr="QQ截图2024051308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截图20240513081523"/>
                          <pic:cNvPicPr>
                            <a:picLocks noChangeAspect="1"/>
                          </pic:cNvPicPr>
                        </pic:nvPicPr>
                        <pic:blipFill>
                          <a:blip r:embed="rId19"/>
                          <a:stretch>
                            <a:fillRect/>
                          </a:stretch>
                        </pic:blipFill>
                        <pic:spPr>
                          <a:xfrm>
                            <a:off x="0" y="0"/>
                            <a:ext cx="2723515" cy="173926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773045" cy="1704975"/>
                  <wp:effectExtent l="0" t="0" r="8255" b="9525"/>
                  <wp:docPr id="15" name="图片 15" descr="QQ截图2024051308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40513081638"/>
                          <pic:cNvPicPr>
                            <a:picLocks noChangeAspect="1"/>
                          </pic:cNvPicPr>
                        </pic:nvPicPr>
                        <pic:blipFill>
                          <a:blip r:embed="rId20"/>
                          <a:stretch>
                            <a:fillRect/>
                          </a:stretch>
                        </pic:blipFill>
                        <pic:spPr>
                          <a:xfrm>
                            <a:off x="0" y="0"/>
                            <a:ext cx="2773045" cy="1704975"/>
                          </a:xfrm>
                          <a:prstGeom prst="rect">
                            <a:avLst/>
                          </a:prstGeom>
                        </pic:spPr>
                      </pic:pic>
                    </a:graphicData>
                  </a:graphic>
                </wp:inline>
              </w:drawing>
            </w:r>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rFonts w:hint="eastAsia" w:eastAsia="宋体"/>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173355</wp:posOffset>
                      </wp:positionH>
                      <wp:positionV relativeFrom="paragraph">
                        <wp:posOffset>2142490</wp:posOffset>
                      </wp:positionV>
                      <wp:extent cx="2641600" cy="309245"/>
                      <wp:effectExtent l="0" t="0" r="6350" b="14605"/>
                      <wp:wrapNone/>
                      <wp:docPr id="69" name="文本框 69"/>
                      <wp:cNvGraphicFramePr/>
                      <a:graphic xmlns:a="http://schemas.openxmlformats.org/drawingml/2006/main">
                        <a:graphicData uri="http://schemas.microsoft.com/office/word/2010/wordprocessingShape">
                          <wps:wsp>
                            <wps:cNvSpPr txBox="1"/>
                            <wps:spPr>
                              <a:xfrm>
                                <a:off x="975360" y="591312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图7：中国铁矿石进口量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5pt;margin-top:168.7pt;height:24.35pt;width:208pt;z-index:251667456;mso-width-relative:page;mso-height-relative:page;" fillcolor="#FFFFFF [3201]" filled="t" stroked="f" coordsize="21600,21600" o:gfxdata="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4CpjdUA&#10;AAAKAQAADwAAAAAAAAABACAAAAAiAAAAZHJzL2Rvd25yZXYueG1sUEsBAhQAFAAAAAgAh07iQNtt&#10;W0ZbAgAAnAQAAA4AAAAAAAAAAQAgAAAAJAEAAGRycy9lMm9Eb2MueG1sUEsFBgAAAAAGAAYAWQEA&#10;APE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图7：中国铁矿石进口量</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图8：大豆走势图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4.15pt;margin-top:167.95pt;height:24.35pt;width:208pt;z-index:251668480;mso-width-relative:page;mso-height-relative:page;" fillcolor="#FFFFFF [3201]" filled="t" stroked="f" coordsize="21600,21600" o:gfxdata="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Nn6eNYAAAALAQAADwAA&#10;AAAAAAABACAAAAAiAAAAZHJzL2Rvd25yZXYueG1sUEsBAhQAFAAAAAgAh07iQGH1hZBRAgAAkQQA&#10;AA4AAAAAAAAAAQAgAAAAJQEAAGRycy9lMm9Eb2MueG1sUEsFBgAAAAAGAAYAWQEAAOgFA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ascii="微软雅黑" w:hAnsi="微软雅黑" w:eastAsia="微软雅黑" w:cs="微软雅黑"/>
                                <w:snapToGrid w:val="0"/>
                                <w:color w:val="000000"/>
                                <w:spacing w:val="25"/>
                                <w:kern w:val="0"/>
                                <w:sz w:val="19"/>
                                <w:szCs w:val="19"/>
                                <w:lang w:val="en-US" w:eastAsia="zh-CN" w:bidi="ar-SA"/>
                              </w:rPr>
                              <w:t>图8：大豆走势图</w:t>
                            </w:r>
                          </w:p>
                        </w:txbxContent>
                      </v:textbox>
                    </v:shape>
                  </w:pict>
                </mc:Fallback>
              </mc:AlternateContent>
            </w:r>
            <w:r>
              <w:rPr>
                <w:rFonts w:hint="eastAsia" w:eastAsia="宋体"/>
                <w:lang w:val="en-US" w:eastAsia="zh-CN"/>
              </w:rPr>
              <w:t xml:space="preserve"> </w:t>
            </w:r>
            <w:r>
              <w:drawing>
                <wp:inline distT="0" distB="0" distL="0" distR="0">
                  <wp:extent cx="2884805" cy="1880870"/>
                  <wp:effectExtent l="9525" t="9525" r="20320" b="1460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1"/>
                          <a:stretch>
                            <a:fillRect/>
                          </a:stretch>
                        </pic:blipFill>
                        <pic:spPr>
                          <a:xfrm>
                            <a:off x="0" y="0"/>
                            <a:ext cx="2884805" cy="1880870"/>
                          </a:xfrm>
                          <a:prstGeom prst="rect">
                            <a:avLst/>
                          </a:prstGeom>
                          <a:ln>
                            <a:solidFill>
                              <a:schemeClr val="tx1"/>
                            </a:solidFill>
                          </a:ln>
                        </pic:spPr>
                      </pic:pic>
                    </a:graphicData>
                  </a:graphic>
                </wp:inline>
              </w:drawing>
            </w:r>
            <w:r>
              <w:rPr>
                <w:rFonts w:hint="eastAsia" w:eastAsia="宋体"/>
                <w:lang w:val="en-US" w:eastAsia="zh-CN"/>
              </w:rPr>
              <w:t xml:space="preserve"> </w:t>
            </w:r>
            <w:bookmarkStart w:id="0" w:name="_GoBack"/>
            <w:r>
              <w:rPr>
                <w:rFonts w:hint="eastAsia" w:eastAsia="宋体"/>
                <w:lang w:val="en-US" w:eastAsia="zh-CN"/>
              </w:rPr>
              <w:drawing>
                <wp:inline distT="0" distB="0" distL="114300" distR="114300">
                  <wp:extent cx="2735580" cy="1910080"/>
                  <wp:effectExtent l="0" t="0" r="7620" b="13970"/>
                  <wp:docPr id="25" name="图片 25" descr="54ae9c6a24d40a5c9a144a6b2933a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4ae9c6a24d40a5c9a144a6b2933a93"/>
                          <pic:cNvPicPr>
                            <a:picLocks noChangeAspect="1"/>
                          </pic:cNvPicPr>
                        </pic:nvPicPr>
                        <pic:blipFill>
                          <a:blip r:embed="rId22"/>
                          <a:stretch>
                            <a:fillRect/>
                          </a:stretch>
                        </pic:blipFill>
                        <pic:spPr>
                          <a:xfrm>
                            <a:off x="0" y="0"/>
                            <a:ext cx="2735580" cy="1910080"/>
                          </a:xfrm>
                          <a:prstGeom prst="rect">
                            <a:avLst/>
                          </a:prstGeom>
                        </pic:spPr>
                      </pic:pic>
                    </a:graphicData>
                  </a:graphic>
                </wp:inline>
              </w:drawing>
            </w:r>
            <w:bookmarkEnd w:id="0"/>
          </w:p>
        </w:tc>
      </w:tr>
      <w:tr>
        <w:tblPrEx>
          <w:tblBorders>
            <w:top w:val="single" w:color="036EB8" w:sz="2" w:space="0"/>
            <w:left w:val="single" w:color="036EB8" w:sz="2" w:space="0"/>
            <w:bottom w:val="single" w:color="036EB8" w:sz="2" w:space="0"/>
            <w:right w:val="single" w:color="036EB8" w:sz="2" w:space="0"/>
            <w:insideH w:val="none" w:color="auto" w:sz="0" w:space="0"/>
            <w:insideV w:val="none" w:color="auto" w:sz="0" w:space="0"/>
          </w:tblBorders>
          <w:tblCellMar>
            <w:top w:w="0" w:type="dxa"/>
            <w:left w:w="0" w:type="dxa"/>
            <w:bottom w:w="0" w:type="dxa"/>
            <w:right w:w="0" w:type="dxa"/>
          </w:tblCellMar>
        </w:tblPrEx>
        <w:trPr>
          <w:trHeight w:val="4063" w:hRule="atLeast"/>
        </w:trPr>
        <w:tc>
          <w:tcPr>
            <w:tcW w:w="9416" w:type="dxa"/>
            <w:vAlign w:val="top"/>
          </w:tcPr>
          <w:p>
            <w:pPr>
              <w:spacing w:line="4053" w:lineRule="exact"/>
              <w:jc w:val="both"/>
              <w:rPr>
                <w:sz w:val="20"/>
              </w:rPr>
            </w:pPr>
            <w:r>
              <w:rPr>
                <w:sz w:val="20"/>
              </w:rPr>
              <mc:AlternateContent>
                <mc:Choice Requires="wps">
                  <w:drawing>
                    <wp:anchor distT="0" distB="0" distL="114300" distR="114300" simplePos="0" relativeHeight="251670528" behindDoc="0" locked="0" layoutInCell="1" allowOverlap="1">
                      <wp:simplePos x="0" y="0"/>
                      <wp:positionH relativeFrom="column">
                        <wp:posOffset>3026410</wp:posOffset>
                      </wp:positionH>
                      <wp:positionV relativeFrom="paragraph">
                        <wp:posOffset>2093595</wp:posOffset>
                      </wp:positionV>
                      <wp:extent cx="2190750" cy="318770"/>
                      <wp:effectExtent l="0" t="0" r="0" b="5080"/>
                      <wp:wrapNone/>
                      <wp:docPr id="19" name="文本框 1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图10：美国劳动力市场走弱</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3pt;margin-top:164.85pt;height:25.1pt;width:172.5pt;z-index:251670528;mso-width-relative:page;mso-height-relative:page;" fillcolor="#FFFFFF [3201]" filled="t" stroked="f" coordsize="21600,21600" o:gfxdata="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lBsNP1gAAAAsBAAAPAAAA&#10;AAAAAAEAIAAAACIAAABkcnMvZG93bnJldi54bWxQSwECFAAUAAAACACHTuJAt8RotFACAACRBAAA&#10;DgAAAAAAAAABACAAAAAl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图10：美国劳动力市场走弱</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sz w:val="20"/>
              </w:rPr>
              <mc:AlternateContent>
                <mc:Choice Requires="wps">
                  <w:drawing>
                    <wp:anchor distT="0" distB="0" distL="114300" distR="114300" simplePos="0" relativeHeight="251669504" behindDoc="0" locked="0" layoutInCell="1" allowOverlap="1">
                      <wp:simplePos x="0" y="0"/>
                      <wp:positionH relativeFrom="column">
                        <wp:posOffset>273685</wp:posOffset>
                      </wp:positionH>
                      <wp:positionV relativeFrom="paragraph">
                        <wp:posOffset>2150745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图9：黄金ETF持仓增加</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55pt;margin-top:169.35pt;height:25.1pt;width:172.5pt;z-index:251669504;mso-width-relative:page;mso-height-relative:page;" fillcolor="#FFFFFF [3201]" filled="t" stroked="f" coordsize="21600,21600" o:gfxdata="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mxPeD1AAAAAoBAAAPAAAA&#10;AAAAAAEAIAAAACIAAABkcnMvZG93bnJldi54bWxQSwECFAAUAAAACACHTuJA/HYmmVICAACRBAAA&#10;DgAAAAAAAAABACAAAAAjAQAAZHJzL2Uyb0RvYy54bWxQSwUGAAAAAAYABgBZAQAA5wUAAAAA&#10;">
                      <v:fill on="t" focussize="0,0"/>
                      <v:stroke on="f" weight="0.5pt"/>
                      <v:imagedata o:title=""/>
                      <o:lock v:ext="edit" aspectratio="f"/>
                      <v:textbox>
                        <w:txbxContent>
                          <w:p>
                            <w:pPr>
                              <w:jc w:val="center"/>
                              <w:rPr>
                                <w:rFonts w:hint="default" w:ascii="微软雅黑" w:hAnsi="微软雅黑" w:eastAsia="微软雅黑" w:cs="微软雅黑"/>
                                <w:snapToGrid w:val="0"/>
                                <w:color w:val="000000"/>
                                <w:spacing w:val="25"/>
                                <w:kern w:val="0"/>
                                <w:sz w:val="19"/>
                                <w:szCs w:val="19"/>
                                <w:lang w:val="en-US" w:eastAsia="zh-CN" w:bidi="ar-SA"/>
                              </w:rPr>
                            </w:pPr>
                            <w:r>
                              <w:rPr>
                                <w:rFonts w:hint="eastAsia" w:eastAsia="宋体"/>
                                <w:lang w:val="en-US" w:eastAsia="zh-CN"/>
                              </w:rPr>
                              <w:t xml:space="preserve"> </w:t>
                            </w:r>
                            <w:r>
                              <w:rPr>
                                <w:rFonts w:hint="eastAsia" w:ascii="微软雅黑" w:hAnsi="微软雅黑" w:eastAsia="微软雅黑" w:cs="微软雅黑"/>
                                <w:snapToGrid w:val="0"/>
                                <w:color w:val="000000"/>
                                <w:spacing w:val="25"/>
                                <w:kern w:val="0"/>
                                <w:sz w:val="19"/>
                                <w:szCs w:val="19"/>
                                <w:lang w:val="en-US" w:eastAsia="zh-CN" w:bidi="ar-SA"/>
                              </w:rPr>
                              <w:t>图9：黄金ETF持仓增加</w:t>
                            </w:r>
                          </w:p>
                          <w:p>
                            <w:pPr>
                              <w:keepNext w:val="0"/>
                              <w:keepLines w:val="0"/>
                              <w:widowControl/>
                              <w:suppressLineNumbers w:val="0"/>
                              <w:jc w:val="center"/>
                              <w:rPr>
                                <w:rFonts w:hint="default" w:ascii="宋体" w:hAnsi="宋体" w:eastAsia="宋体" w:cs="宋体"/>
                                <w:b/>
                                <w:bCs/>
                                <w:color w:val="000000"/>
                                <w:kern w:val="0"/>
                                <w:sz w:val="20"/>
                                <w:szCs w:val="20"/>
                                <w:lang w:val="en-US" w:eastAsia="zh-CN" w:bidi="ar"/>
                              </w:rPr>
                            </w:pPr>
                          </w:p>
                          <w:p>
                            <w:pPr>
                              <w:jc w:val="center"/>
                              <w:rPr>
                                <w:rFonts w:hint="default" w:eastAsia="宋体"/>
                                <w:lang w:val="en-US" w:eastAsia="zh-CN"/>
                              </w:rPr>
                            </w:pPr>
                          </w:p>
                        </w:txbxContent>
                      </v:textbox>
                    </v:shape>
                  </w:pict>
                </mc:Fallback>
              </mc:AlternateContent>
            </w:r>
            <w:r>
              <w:rPr>
                <w:rFonts w:hint="eastAsia" w:eastAsia="宋体"/>
                <w:lang w:val="en-US" w:eastAsia="zh-CN"/>
              </w:rPr>
              <w:t xml:space="preserve"> </w:t>
            </w:r>
            <w:r>
              <w:drawing>
                <wp:inline distT="0" distB="0" distL="114300" distR="114300">
                  <wp:extent cx="2749550" cy="1734185"/>
                  <wp:effectExtent l="0" t="0" r="12700" b="1841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3"/>
                          <a:stretch>
                            <a:fillRect/>
                          </a:stretch>
                        </pic:blipFill>
                        <pic:spPr>
                          <a:xfrm>
                            <a:off x="0" y="0"/>
                            <a:ext cx="2749550" cy="1734185"/>
                          </a:xfrm>
                          <a:prstGeom prst="rect">
                            <a:avLst/>
                          </a:prstGeom>
                          <a:noFill/>
                          <a:ln>
                            <a:noFill/>
                          </a:ln>
                        </pic:spPr>
                      </pic:pic>
                    </a:graphicData>
                  </a:graphic>
                </wp:inline>
              </w:drawing>
            </w:r>
            <w:r>
              <w:drawing>
                <wp:inline distT="0" distB="0" distL="114300" distR="114300">
                  <wp:extent cx="2823845" cy="1758950"/>
                  <wp:effectExtent l="0" t="0" r="14605"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2823845" cy="1758950"/>
                          </a:xfrm>
                          <a:prstGeom prst="rect">
                            <a:avLst/>
                          </a:prstGeom>
                          <a:noFill/>
                          <a:ln>
                            <a:noFill/>
                          </a:ln>
                        </pic:spPr>
                      </pic:pic>
                    </a:graphicData>
                  </a:graphic>
                </wp:inline>
              </w:drawing>
            </w:r>
          </w:p>
        </w:tc>
      </w:tr>
    </w:tbl>
    <w:p>
      <w:pPr>
        <w:spacing w:before="235" w:line="176" w:lineRule="auto"/>
        <w:ind w:firstLine="194" w:firstLineChars="100"/>
        <w:rPr>
          <w:rFonts w:hint="default" w:ascii="微软雅黑" w:hAnsi="微软雅黑" w:eastAsia="微软雅黑" w:cs="微软雅黑"/>
          <w:spacing w:val="7"/>
          <w:sz w:val="18"/>
          <w:szCs w:val="18"/>
          <w:lang w:val="en-US" w:eastAsia="zh-CN"/>
        </w:rPr>
        <w:sectPr>
          <w:headerReference r:id="rId6" w:type="default"/>
          <w:footerReference r:id="rId7" w:type="default"/>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pPr>
      <w:r>
        <w:rPr>
          <w:rFonts w:hint="eastAsia" w:ascii="微软雅黑" w:hAnsi="微软雅黑" w:eastAsia="微软雅黑" w:cs="微软雅黑"/>
          <w:spacing w:val="7"/>
          <w:sz w:val="18"/>
          <w:szCs w:val="18"/>
          <w:lang w:val="en-US" w:eastAsia="zh-CN"/>
        </w:rPr>
        <w:t>资料源：公开资料整理，瑞达国</w:t>
      </w:r>
    </w:p>
    <w:p>
      <w:pPr>
        <w:spacing w:before="120" w:line="190" w:lineRule="auto"/>
        <w:rPr>
          <w:rFonts w:hint="default" w:ascii="微软雅黑" w:hAnsi="微软雅黑" w:eastAsia="微软雅黑" w:cs="微软雅黑"/>
          <w:sz w:val="28"/>
          <w:szCs w:val="28"/>
          <w:lang w:val="en-US" w:eastAsia="zh-CN"/>
        </w:rPr>
      </w:pPr>
      <w:r>
        <w:rPr>
          <w:rFonts w:ascii="微软雅黑" w:hAnsi="微软雅黑" w:eastAsia="微软雅黑" w:cs="微软雅黑"/>
          <w:color w:val="036EB8"/>
          <w:position w:val="-4"/>
          <w:sz w:val="28"/>
          <w:szCs w:val="28"/>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5"/>
                    <a:stretch>
                      <a:fillRect/>
                    </a:stretch>
                  </pic:blipFill>
                  <pic:spPr>
                    <a:xfrm>
                      <a:off x="0" y="0"/>
                      <a:ext cx="129197" cy="174370"/>
                    </a:xfrm>
                    <a:prstGeom prst="rect">
                      <a:avLst/>
                    </a:prstGeom>
                  </pic:spPr>
                </pic:pic>
              </a:graphicData>
            </a:graphic>
          </wp:inline>
        </w:drawing>
      </w:r>
      <w:r>
        <w:rPr>
          <w:rFonts w:ascii="微软雅黑" w:hAnsi="微软雅黑" w:eastAsia="微软雅黑" w:cs="微软雅黑"/>
          <w:b/>
          <w:bCs/>
          <w:color w:val="036EB8"/>
          <w:spacing w:val="19"/>
          <w:sz w:val="28"/>
          <w:szCs w:val="28"/>
        </w:rPr>
        <w:t xml:space="preserve"> </w:t>
      </w:r>
      <w:r>
        <w:rPr>
          <w:rFonts w:hint="eastAsia" w:ascii="微软雅黑" w:hAnsi="微软雅黑" w:eastAsia="微软雅黑" w:cs="微软雅黑"/>
          <w:b/>
          <w:bCs/>
          <w:color w:val="036EB8"/>
          <w:spacing w:val="10"/>
          <w:sz w:val="28"/>
          <w:szCs w:val="28"/>
          <w:lang w:val="en-US" w:eastAsia="zh-CN"/>
        </w:rPr>
        <w:t>下周热点日程</w:t>
      </w:r>
    </w:p>
    <w:p>
      <w:pPr>
        <w:spacing w:before="84"/>
      </w:pPr>
    </w:p>
    <w:tbl>
      <w:tblPr>
        <w:tblStyle w:val="11"/>
        <w:tblW w:w="9389" w:type="dxa"/>
        <w:tblInd w:w="254"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567"/>
        <w:gridCol w:w="1478"/>
        <w:gridCol w:w="634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3045" w:type="dxa"/>
            <w:gridSpan w:val="2"/>
            <w:shd w:val="clear" w:color="auto" w:fill="3D85C1"/>
            <w:vAlign w:val="top"/>
          </w:tcPr>
          <w:p>
            <w:pPr>
              <w:pStyle w:val="10"/>
              <w:spacing w:before="221" w:line="182" w:lineRule="auto"/>
              <w:ind w:left="1142"/>
              <w:rPr>
                <w:sz w:val="19"/>
                <w:szCs w:val="19"/>
              </w:rPr>
            </w:pPr>
            <w:r>
              <w:rPr>
                <w:b/>
                <w:bCs/>
                <w:color w:val="FFFFFF"/>
                <w:spacing w:val="4"/>
                <w:sz w:val="19"/>
                <w:szCs w:val="19"/>
              </w:rPr>
              <w:t>时间</w:t>
            </w:r>
          </w:p>
        </w:tc>
        <w:tc>
          <w:tcPr>
            <w:tcW w:w="6344" w:type="dxa"/>
            <w:shd w:val="clear" w:color="auto" w:fill="3D85C1"/>
            <w:vAlign w:val="top"/>
          </w:tcPr>
          <w:p>
            <w:pPr>
              <w:pStyle w:val="10"/>
              <w:spacing w:before="221" w:line="195" w:lineRule="auto"/>
              <w:jc w:val="center"/>
              <w:rPr>
                <w:sz w:val="19"/>
                <w:szCs w:val="19"/>
              </w:rPr>
            </w:pPr>
            <w:r>
              <w:rPr>
                <w:b/>
                <w:bCs/>
                <w:color w:val="FFFFFF"/>
                <w:spacing w:val="16"/>
                <w:sz w:val="19"/>
                <w:szCs w:val="19"/>
              </w:rPr>
              <w:t>数据/事件</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28"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478" w:type="dxa"/>
            <w:vAlign w:val="top"/>
          </w:tcPr>
          <w:p>
            <w:pPr>
              <w:pStyle w:val="10"/>
              <w:spacing w:before="243" w:line="172" w:lineRule="auto"/>
              <w:ind w:left="94"/>
              <w:rPr>
                <w:rFonts w:hint="default" w:eastAsia="微软雅黑"/>
                <w:sz w:val="19"/>
                <w:szCs w:val="19"/>
                <w:lang w:val="en-US" w:eastAsia="zh-CN"/>
              </w:rPr>
            </w:pPr>
            <w:r>
              <w:rPr>
                <w:rFonts w:hint="eastAsia"/>
                <w:b/>
                <w:bCs/>
                <w:spacing w:val="6"/>
                <w:sz w:val="19"/>
                <w:szCs w:val="19"/>
                <w:lang w:val="en-US" w:eastAsia="zh-CN"/>
              </w:rPr>
              <w:t>07</w:t>
            </w:r>
            <w:r>
              <w:rPr>
                <w:b/>
                <w:bCs/>
                <w:spacing w:val="6"/>
                <w:sz w:val="19"/>
                <w:szCs w:val="19"/>
              </w:rPr>
              <w:t>:</w:t>
            </w:r>
            <w:r>
              <w:rPr>
                <w:rFonts w:hint="eastAsia"/>
                <w:b/>
                <w:bCs/>
                <w:spacing w:val="6"/>
                <w:sz w:val="19"/>
                <w:szCs w:val="19"/>
                <w:lang w:val="en-US" w:eastAsia="zh-CN"/>
              </w:rPr>
              <w:t>50</w:t>
            </w:r>
          </w:p>
        </w:tc>
        <w:tc>
          <w:tcPr>
            <w:tcW w:w="6344" w:type="dxa"/>
            <w:vAlign w:val="top"/>
          </w:tcPr>
          <w:p>
            <w:pPr>
              <w:pStyle w:val="10"/>
              <w:spacing w:before="221" w:line="180" w:lineRule="auto"/>
              <w:jc w:val="center"/>
              <w:rPr>
                <w:rFonts w:hint="default" w:eastAsia="微软雅黑"/>
                <w:sz w:val="19"/>
                <w:szCs w:val="19"/>
                <w:lang w:val="en-US" w:eastAsia="zh-CN"/>
              </w:rPr>
            </w:pPr>
            <w:r>
              <w:rPr>
                <w:rFonts w:hint="default" w:eastAsia="微软雅黑"/>
                <w:sz w:val="19"/>
                <w:szCs w:val="19"/>
                <w:lang w:val="en-US" w:eastAsia="zh-CN"/>
              </w:rPr>
              <w:t>日本4月国内企业商品物价指数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0"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478" w:type="dxa"/>
            <w:shd w:val="clear" w:color="auto" w:fill="D3EAFF"/>
            <w:vAlign w:val="top"/>
          </w:tcPr>
          <w:p>
            <w:pPr>
              <w:pStyle w:val="10"/>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14:00</w:t>
            </w:r>
          </w:p>
        </w:tc>
        <w:tc>
          <w:tcPr>
            <w:tcW w:w="6344" w:type="dxa"/>
            <w:shd w:val="clear" w:color="auto" w:fill="D3EAFF"/>
            <w:vAlign w:val="top"/>
          </w:tcPr>
          <w:p>
            <w:pPr>
              <w:pStyle w:val="10"/>
              <w:spacing w:before="221" w:line="180" w:lineRule="auto"/>
              <w:jc w:val="center"/>
              <w:rPr>
                <w:rFonts w:hint="default" w:eastAsia="微软雅黑"/>
                <w:sz w:val="19"/>
                <w:szCs w:val="19"/>
                <w:lang w:val="en-US" w:eastAsia="zh-CN"/>
              </w:rPr>
            </w:pPr>
            <w:r>
              <w:rPr>
                <w:rFonts w:hint="default" w:eastAsia="微软雅黑"/>
                <w:sz w:val="19"/>
                <w:szCs w:val="19"/>
                <w:lang w:val="en-US" w:eastAsia="zh-CN"/>
              </w:rPr>
              <w:t>英国4月失业率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1"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478" w:type="dxa"/>
            <w:vAlign w:val="top"/>
          </w:tcPr>
          <w:p>
            <w:pPr>
              <w:pStyle w:val="10"/>
              <w:spacing w:before="245" w:line="172" w:lineRule="auto"/>
              <w:ind w:left="101"/>
              <w:rPr>
                <w:rFonts w:hint="default" w:eastAsia="微软雅黑"/>
                <w:sz w:val="19"/>
                <w:szCs w:val="19"/>
                <w:lang w:val="en-US" w:eastAsia="zh-CN"/>
              </w:rPr>
            </w:pPr>
            <w:r>
              <w:rPr>
                <w:rFonts w:hint="eastAsia"/>
                <w:b/>
                <w:bCs/>
                <w:spacing w:val="5"/>
                <w:sz w:val="19"/>
                <w:szCs w:val="19"/>
                <w:lang w:val="en-US" w:eastAsia="zh-CN"/>
              </w:rPr>
              <w:t>14:00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eastAsia="微软雅黑"/>
                <w:sz w:val="19"/>
                <w:szCs w:val="19"/>
                <w:lang w:val="en-US" w:eastAsia="zh-CN"/>
              </w:rPr>
              <w:t>德国4月CPI环比终值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2"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478" w:type="dxa"/>
            <w:shd w:val="clear" w:color="auto" w:fill="D3EAFF"/>
            <w:vAlign w:val="top"/>
          </w:tcPr>
          <w:p>
            <w:pPr>
              <w:pStyle w:val="10"/>
              <w:spacing w:before="246" w:line="172" w:lineRule="auto"/>
              <w:ind w:left="101"/>
              <w:rPr>
                <w:sz w:val="19"/>
                <w:szCs w:val="19"/>
              </w:rPr>
            </w:pPr>
            <w:r>
              <w:rPr>
                <w:rFonts w:hint="eastAsia"/>
                <w:b/>
                <w:bCs/>
                <w:spacing w:val="5"/>
                <w:sz w:val="19"/>
                <w:szCs w:val="19"/>
                <w:lang w:val="en-US" w:eastAsia="zh-CN"/>
              </w:rPr>
              <w:t>17</w:t>
            </w:r>
            <w:r>
              <w:rPr>
                <w:b/>
                <w:bCs/>
                <w:spacing w:val="5"/>
                <w:sz w:val="19"/>
                <w:szCs w:val="19"/>
              </w:rPr>
              <w:t>:</w:t>
            </w:r>
            <w:r>
              <w:rPr>
                <w:rFonts w:hint="eastAsia"/>
                <w:b/>
                <w:bCs/>
                <w:spacing w:val="5"/>
                <w:sz w:val="19"/>
                <w:szCs w:val="19"/>
                <w:lang w:val="en-US" w:eastAsia="zh-CN"/>
              </w:rPr>
              <w:t>0</w:t>
            </w:r>
            <w:r>
              <w:rPr>
                <w:b/>
                <w:bCs/>
                <w:spacing w:val="5"/>
                <w:sz w:val="19"/>
                <w:szCs w:val="19"/>
              </w:rPr>
              <w:t>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eastAsia="微软雅黑"/>
                <w:sz w:val="19"/>
                <w:szCs w:val="19"/>
                <w:lang w:val="en-US" w:eastAsia="zh-CN"/>
              </w:rPr>
              <w:t>欧元区5月ZEW经济景气指数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9" w:hRule="atLeast"/>
        </w:trPr>
        <w:tc>
          <w:tcPr>
            <w:tcW w:w="1567" w:type="dxa"/>
            <w:vAlign w:val="top"/>
          </w:tcPr>
          <w:p>
            <w:pPr>
              <w:pStyle w:val="10"/>
              <w:spacing w:before="234" w:line="191" w:lineRule="auto"/>
              <w:ind w:left="449"/>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14</w:t>
            </w:r>
          </w:p>
        </w:tc>
        <w:tc>
          <w:tcPr>
            <w:tcW w:w="1478" w:type="dxa"/>
            <w:vAlign w:val="top"/>
          </w:tcPr>
          <w:p>
            <w:pPr>
              <w:pStyle w:val="10"/>
              <w:spacing w:before="248" w:line="172" w:lineRule="auto"/>
              <w:ind w:left="92"/>
              <w:rPr>
                <w:rFonts w:hint="default"/>
                <w:sz w:val="19"/>
                <w:szCs w:val="19"/>
                <w:lang w:val="en-US"/>
              </w:rPr>
            </w:pPr>
            <w:r>
              <w:rPr>
                <w:rFonts w:hint="eastAsia"/>
                <w:b/>
                <w:bCs/>
                <w:spacing w:val="3"/>
                <w:sz w:val="19"/>
                <w:szCs w:val="19"/>
                <w:lang w:val="en-US" w:eastAsia="zh-CN"/>
              </w:rPr>
              <w:t>20:30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美国4月PP</w:t>
            </w:r>
            <w:r>
              <w:rPr>
                <w:rFonts w:hint="eastAsia"/>
                <w:spacing w:val="25"/>
                <w:sz w:val="19"/>
                <w:szCs w:val="19"/>
                <w:lang w:val="en-US" w:eastAsia="zh-CN"/>
              </w:rPr>
              <w:t>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2" w:line="191" w:lineRule="auto"/>
              <w:ind w:left="449"/>
              <w:rPr>
                <w:rFonts w:hint="eastAsia"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478" w:type="dxa"/>
            <w:shd w:val="clear" w:color="auto" w:fill="D3EAFF"/>
            <w:vAlign w:val="top"/>
          </w:tcPr>
          <w:p>
            <w:pPr>
              <w:pStyle w:val="10"/>
              <w:spacing w:before="246" w:line="172" w:lineRule="auto"/>
              <w:ind w:left="101"/>
              <w:rPr>
                <w:rFonts w:hint="default" w:eastAsia="微软雅黑"/>
                <w:b/>
                <w:bCs/>
                <w:sz w:val="19"/>
                <w:szCs w:val="19"/>
                <w:lang w:val="en-US" w:eastAsia="zh-CN"/>
              </w:rPr>
            </w:pPr>
            <w:r>
              <w:rPr>
                <w:rFonts w:hint="eastAsia"/>
                <w:b/>
                <w:bCs/>
                <w:sz w:val="19"/>
                <w:szCs w:val="19"/>
                <w:lang w:val="en-US" w:eastAsia="zh-CN"/>
              </w:rPr>
              <w:t>14:45</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法国4月CPI同比终值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18" w:hRule="atLeast"/>
        </w:trPr>
        <w:tc>
          <w:tcPr>
            <w:tcW w:w="1567" w:type="dxa"/>
            <w:vAlign w:val="top"/>
          </w:tcPr>
          <w:p>
            <w:pPr>
              <w:pStyle w:val="10"/>
              <w:spacing w:before="234" w:line="191" w:lineRule="auto"/>
              <w:ind w:left="449" w:leftChars="0"/>
              <w:rPr>
                <w:rFonts w:hint="default" w:eastAsia="微软雅黑"/>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478" w:type="dxa"/>
            <w:vAlign w:val="top"/>
          </w:tcPr>
          <w:p>
            <w:pPr>
              <w:pStyle w:val="10"/>
              <w:spacing w:before="248" w:line="172" w:lineRule="auto"/>
              <w:ind w:left="92" w:leftChars="0"/>
              <w:rPr>
                <w:rFonts w:hint="default" w:eastAsia="微软雅黑"/>
                <w:sz w:val="19"/>
                <w:szCs w:val="19"/>
                <w:lang w:val="en-US" w:eastAsia="zh-CN"/>
              </w:rPr>
            </w:pPr>
            <w:r>
              <w:rPr>
                <w:rFonts w:hint="eastAsia"/>
                <w:b/>
                <w:bCs/>
                <w:spacing w:val="6"/>
                <w:sz w:val="19"/>
                <w:szCs w:val="19"/>
                <w:lang w:val="en-US" w:eastAsia="zh-CN"/>
              </w:rPr>
              <w:t>17:00</w:t>
            </w:r>
          </w:p>
        </w:tc>
        <w:tc>
          <w:tcPr>
            <w:tcW w:w="6344" w:type="dxa"/>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欧元区3月工业产出</w:t>
            </w:r>
            <w:r>
              <w:rPr>
                <w:rFonts w:hint="eastAsia"/>
                <w:spacing w:val="25"/>
                <w:sz w:val="19"/>
                <w:szCs w:val="19"/>
                <w:lang w:val="en-US" w:eastAsia="zh-CN"/>
              </w:rPr>
              <w:t>、一季度GDP初值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4"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478" w:type="dxa"/>
            <w:shd w:val="clear" w:color="auto" w:fill="D3EAFF"/>
            <w:vAlign w:val="top"/>
          </w:tcPr>
          <w:p>
            <w:pPr>
              <w:pStyle w:val="10"/>
              <w:spacing w:before="248" w:line="172" w:lineRule="auto"/>
              <w:ind w:left="92"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20:30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美国4月核心CPI</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FFFFFF" w:themeFill="background1"/>
            <w:vAlign w:val="top"/>
          </w:tcPr>
          <w:p>
            <w:pPr>
              <w:pStyle w:val="10"/>
              <w:spacing w:before="234" w:line="191" w:lineRule="auto"/>
              <w:ind w:left="449" w:leftChars="0"/>
              <w:rPr>
                <w:rFonts w:hint="default" w:ascii="微软雅黑" w:hAnsi="微软雅黑" w:eastAsia="微软雅黑" w:cs="微软雅黑"/>
                <w:snapToGrid w:val="0"/>
                <w:color w:val="000000"/>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15</w:t>
            </w:r>
          </w:p>
        </w:tc>
        <w:tc>
          <w:tcPr>
            <w:tcW w:w="1478" w:type="dxa"/>
            <w:shd w:val="clear" w:color="auto" w:fill="FFFFFF" w:themeFill="background1"/>
            <w:vAlign w:val="top"/>
          </w:tcPr>
          <w:p>
            <w:pPr>
              <w:pStyle w:val="10"/>
              <w:spacing w:before="248" w:line="172" w:lineRule="auto"/>
              <w:ind w:left="92"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22:00</w:t>
            </w:r>
          </w:p>
        </w:tc>
        <w:tc>
          <w:tcPr>
            <w:tcW w:w="6344" w:type="dxa"/>
            <w:shd w:val="clear" w:color="auto" w:fill="FFFFFF" w:themeFill="background1"/>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美国3月商业库存</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eastAsia="微软雅黑"/>
                <w:b/>
                <w:bCs/>
                <w:spacing w:val="3"/>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478" w:type="dxa"/>
            <w:shd w:val="clear" w:color="auto" w:fill="D3EAFF"/>
            <w:vAlign w:val="top"/>
          </w:tcPr>
          <w:p>
            <w:pPr>
              <w:pStyle w:val="10"/>
              <w:spacing w:before="252" w:line="170" w:lineRule="auto"/>
              <w:ind w:left="101" w:leftChars="0"/>
              <w:rPr>
                <w:rFonts w:hint="default"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07:50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日本一季度实际GDP平减指数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auto"/>
            <w:vAlign w:val="top"/>
          </w:tcPr>
          <w:p>
            <w:pPr>
              <w:pStyle w:val="10"/>
              <w:spacing w:before="235" w:line="191" w:lineRule="auto"/>
              <w:ind w:left="449" w:leftChars="0"/>
              <w:rPr>
                <w:rFonts w:hint="default" w:eastAsia="微软雅黑"/>
                <w:b/>
                <w:bCs/>
                <w:spacing w:val="3"/>
                <w:sz w:val="19"/>
                <w:szCs w:val="19"/>
                <w:lang w:val="en-US" w:eastAsia="zh-CN"/>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478" w:type="dxa"/>
            <w:shd w:val="clear" w:color="auto" w:fill="auto"/>
            <w:vAlign w:val="top"/>
          </w:tcPr>
          <w:p>
            <w:pPr>
              <w:pStyle w:val="10"/>
              <w:spacing w:before="252" w:line="170" w:lineRule="auto"/>
              <w:ind w:left="101" w:leftChars="0"/>
              <w:rPr>
                <w:rFonts w:hint="eastAsia"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09:30</w:t>
            </w:r>
          </w:p>
        </w:tc>
        <w:tc>
          <w:tcPr>
            <w:tcW w:w="6344" w:type="dxa"/>
            <w:shd w:val="clear" w:color="auto" w:fill="auto"/>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澳大利亚4月失业率</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478" w:type="dxa"/>
            <w:shd w:val="clear" w:color="auto" w:fill="D3EAFF"/>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12:30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日本3月工业产出</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auto"/>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16</w:t>
            </w:r>
          </w:p>
        </w:tc>
        <w:tc>
          <w:tcPr>
            <w:tcW w:w="1478" w:type="dxa"/>
            <w:shd w:val="clear" w:color="auto" w:fill="auto"/>
            <w:vAlign w:val="top"/>
          </w:tcPr>
          <w:p>
            <w:pPr>
              <w:pStyle w:val="10"/>
              <w:spacing w:before="252" w:line="170" w:lineRule="auto"/>
              <w:ind w:left="101" w:leftChars="0"/>
              <w:rPr>
                <w:rFonts w:hint="eastAsia"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20:30</w:t>
            </w:r>
          </w:p>
        </w:tc>
        <w:tc>
          <w:tcPr>
            <w:tcW w:w="6344" w:type="dxa"/>
            <w:shd w:val="clear" w:color="auto" w:fill="auto"/>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美国5月4日当周续请失业救济人数</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D3EAFF"/>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17</w:t>
            </w:r>
          </w:p>
        </w:tc>
        <w:tc>
          <w:tcPr>
            <w:tcW w:w="1478" w:type="dxa"/>
            <w:shd w:val="clear" w:color="auto" w:fill="D3EAFF"/>
            <w:vAlign w:val="top"/>
          </w:tcPr>
          <w:p>
            <w:pPr>
              <w:pStyle w:val="10"/>
              <w:spacing w:before="252" w:line="170" w:lineRule="auto"/>
              <w:ind w:left="101" w:leftChars="0"/>
              <w:rPr>
                <w:rFonts w:hint="default"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10:00</w:t>
            </w:r>
          </w:p>
        </w:tc>
        <w:tc>
          <w:tcPr>
            <w:tcW w:w="6344" w:type="dxa"/>
            <w:shd w:val="clear" w:color="auto" w:fill="D3EAFF"/>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中国1至4月全国房地产开发投资</w:t>
            </w:r>
            <w:r>
              <w:rPr>
                <w:rFonts w:hint="eastAsia"/>
                <w:spacing w:val="25"/>
                <w:sz w:val="19"/>
                <w:szCs w:val="19"/>
                <w:lang w:val="en-US" w:eastAsia="zh-CN"/>
              </w:rPr>
              <w:t>、</w:t>
            </w:r>
            <w:r>
              <w:rPr>
                <w:rFonts w:hint="default"/>
                <w:spacing w:val="25"/>
                <w:sz w:val="19"/>
                <w:szCs w:val="19"/>
                <w:lang w:val="en-US" w:eastAsia="zh-CN"/>
              </w:rPr>
              <w:t>社零总额</w:t>
            </w:r>
            <w:r>
              <w:rPr>
                <w:rFonts w:hint="eastAsia"/>
                <w:spacing w:val="25"/>
                <w:sz w:val="19"/>
                <w:szCs w:val="19"/>
                <w:lang w:val="en-US" w:eastAsia="zh-CN"/>
              </w:rPr>
              <w:t>、规模以上工业增加值</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620" w:hRule="atLeast"/>
        </w:trPr>
        <w:tc>
          <w:tcPr>
            <w:tcW w:w="1567" w:type="dxa"/>
            <w:shd w:val="clear" w:color="auto" w:fill="auto"/>
            <w:vAlign w:val="top"/>
          </w:tcPr>
          <w:p>
            <w:pPr>
              <w:pStyle w:val="10"/>
              <w:spacing w:before="235" w:line="191" w:lineRule="auto"/>
              <w:ind w:left="449" w:leftChars="0"/>
              <w:rPr>
                <w:rFonts w:hint="default" w:ascii="微软雅黑" w:hAnsi="微软雅黑" w:eastAsia="微软雅黑" w:cs="微软雅黑"/>
                <w:b/>
                <w:bCs/>
                <w:snapToGrid w:val="0"/>
                <w:color w:val="000000"/>
                <w:spacing w:val="3"/>
                <w:kern w:val="0"/>
                <w:sz w:val="19"/>
                <w:szCs w:val="19"/>
                <w:lang w:val="en-US" w:eastAsia="zh-CN" w:bidi="ar-SA"/>
              </w:rPr>
            </w:pPr>
            <w:r>
              <w:rPr>
                <w:b/>
                <w:bCs/>
                <w:spacing w:val="3"/>
                <w:sz w:val="19"/>
                <w:szCs w:val="19"/>
              </w:rPr>
              <w:t>2024/</w:t>
            </w:r>
            <w:r>
              <w:rPr>
                <w:rFonts w:hint="eastAsia"/>
                <w:b/>
                <w:bCs/>
                <w:spacing w:val="3"/>
                <w:sz w:val="19"/>
                <w:szCs w:val="19"/>
                <w:lang w:val="en-US" w:eastAsia="zh-CN"/>
              </w:rPr>
              <w:t>5</w:t>
            </w:r>
            <w:r>
              <w:rPr>
                <w:b/>
                <w:bCs/>
                <w:spacing w:val="3"/>
                <w:sz w:val="19"/>
                <w:szCs w:val="19"/>
              </w:rPr>
              <w:t>/</w:t>
            </w:r>
            <w:r>
              <w:rPr>
                <w:rFonts w:hint="eastAsia"/>
                <w:b/>
                <w:bCs/>
                <w:spacing w:val="3"/>
                <w:sz w:val="19"/>
                <w:szCs w:val="19"/>
                <w:lang w:val="en-US" w:eastAsia="zh-CN"/>
              </w:rPr>
              <w:t>17</w:t>
            </w:r>
          </w:p>
        </w:tc>
        <w:tc>
          <w:tcPr>
            <w:tcW w:w="1478" w:type="dxa"/>
            <w:shd w:val="clear" w:color="auto" w:fill="auto"/>
            <w:vAlign w:val="top"/>
          </w:tcPr>
          <w:p>
            <w:pPr>
              <w:pStyle w:val="10"/>
              <w:spacing w:before="252" w:line="170" w:lineRule="auto"/>
              <w:ind w:left="101" w:leftChars="0"/>
              <w:rPr>
                <w:rFonts w:hint="eastAsia" w:ascii="微软雅黑" w:hAnsi="微软雅黑" w:eastAsia="微软雅黑" w:cs="微软雅黑"/>
                <w:b/>
                <w:bCs/>
                <w:snapToGrid w:val="0"/>
                <w:color w:val="000000"/>
                <w:kern w:val="0"/>
                <w:sz w:val="19"/>
                <w:szCs w:val="19"/>
                <w:lang w:val="en-US" w:eastAsia="zh-CN" w:bidi="ar-SA"/>
              </w:rPr>
            </w:pPr>
            <w:r>
              <w:rPr>
                <w:rFonts w:hint="eastAsia" w:cs="微软雅黑"/>
                <w:b/>
                <w:bCs/>
                <w:snapToGrid w:val="0"/>
                <w:color w:val="000000"/>
                <w:kern w:val="0"/>
                <w:sz w:val="19"/>
                <w:szCs w:val="19"/>
                <w:lang w:val="en-US" w:eastAsia="zh-CN" w:bidi="ar-SA"/>
              </w:rPr>
              <w:t>17:00</w:t>
            </w:r>
          </w:p>
        </w:tc>
        <w:tc>
          <w:tcPr>
            <w:tcW w:w="6344" w:type="dxa"/>
            <w:shd w:val="clear" w:color="auto" w:fill="auto"/>
            <w:vAlign w:val="top"/>
          </w:tcPr>
          <w:p>
            <w:pPr>
              <w:pStyle w:val="10"/>
              <w:spacing w:before="221" w:line="180" w:lineRule="auto"/>
              <w:jc w:val="center"/>
              <w:rPr>
                <w:rFonts w:hint="default"/>
                <w:spacing w:val="25"/>
                <w:sz w:val="19"/>
                <w:szCs w:val="19"/>
                <w:lang w:val="en-US" w:eastAsia="zh-CN"/>
              </w:rPr>
            </w:pPr>
            <w:r>
              <w:rPr>
                <w:rFonts w:hint="default"/>
                <w:spacing w:val="25"/>
                <w:sz w:val="19"/>
                <w:szCs w:val="19"/>
                <w:lang w:val="en-US" w:eastAsia="zh-CN"/>
              </w:rPr>
              <w:t>欧元区4月核心调和CPI</w:t>
            </w:r>
          </w:p>
        </w:tc>
      </w:tr>
    </w:tbl>
    <w:p>
      <w:pPr>
        <w:spacing w:before="172" w:line="417" w:lineRule="exact"/>
        <w:rPr>
          <w:rFonts w:ascii="微软雅黑" w:hAnsi="微软雅黑" w:eastAsia="微软雅黑" w:cs="微软雅黑"/>
          <w:color w:val="CE393F"/>
          <w:spacing w:val="8"/>
          <w:position w:val="2"/>
          <w:sz w:val="40"/>
          <w:szCs w:val="40"/>
        </w:rPr>
      </w:pPr>
    </w:p>
    <w:p>
      <w:pPr>
        <w:spacing w:before="172" w:line="417" w:lineRule="exact"/>
        <w:rPr>
          <w:rFonts w:ascii="微软雅黑" w:hAnsi="微软雅黑" w:eastAsia="微软雅黑" w:cs="微软雅黑"/>
          <w:sz w:val="20"/>
          <w:szCs w:val="20"/>
        </w:rPr>
      </w:pPr>
      <w:r>
        <w:rPr>
          <w:rFonts w:ascii="微软雅黑" w:hAnsi="微软雅黑" w:eastAsia="微软雅黑" w:cs="微软雅黑"/>
          <w:color w:val="CE393F"/>
          <w:spacing w:val="8"/>
          <w:position w:val="2"/>
          <w:sz w:val="40"/>
          <w:szCs w:val="40"/>
        </w:rPr>
        <w:t>△</w:t>
      </w:r>
      <w:r>
        <w:rPr>
          <w:rFonts w:ascii="微软雅黑" w:hAnsi="微软雅黑" w:eastAsia="微软雅黑" w:cs="微软雅黑"/>
          <w:color w:val="CE393F"/>
          <w:spacing w:val="-38"/>
          <w:position w:val="2"/>
          <w:sz w:val="40"/>
          <w:szCs w:val="40"/>
        </w:rPr>
        <w:t xml:space="preserve"> </w:t>
      </w:r>
      <w:r>
        <w:rPr>
          <w:rFonts w:ascii="微软雅黑" w:hAnsi="微软雅黑" w:eastAsia="微软雅黑" w:cs="微软雅黑"/>
          <w:spacing w:val="8"/>
          <w:position w:val="2"/>
          <w:sz w:val="20"/>
          <w:szCs w:val="20"/>
        </w:rPr>
        <w:t>免责声明</w:t>
      </w:r>
    </w:p>
    <w:p>
      <w:pPr>
        <w:spacing w:before="63" w:line="193" w:lineRule="auto"/>
        <w:ind w:left="340" w:right="706" w:firstLine="379"/>
        <w:jc w:val="both"/>
        <w:rPr>
          <w:rFonts w:ascii="微软雅黑" w:hAnsi="微软雅黑" w:eastAsia="微软雅黑" w:cs="微软雅黑"/>
          <w:sz w:val="18"/>
          <w:szCs w:val="18"/>
        </w:rPr>
      </w:pPr>
      <w:r>
        <w:rPr>
          <w:rFonts w:ascii="微软雅黑" w:hAnsi="微软雅黑" w:eastAsia="微软雅黑" w:cs="微软雅黑"/>
          <w:color w:val="898989"/>
          <w:spacing w:val="3"/>
          <w:sz w:val="18"/>
          <w:szCs w:val="18"/>
        </w:rPr>
        <w:t>此报告由瑞达国际所编制。本报告采用之资料及意见均相信可靠及准确</w:t>
      </w:r>
      <w:r>
        <w:rPr>
          <w:rFonts w:ascii="微软雅黑" w:hAnsi="微软雅黑" w:eastAsia="微软雅黑" w:cs="微软雅黑"/>
          <w:color w:val="898989"/>
          <w:spacing w:val="2"/>
          <w:sz w:val="18"/>
          <w:szCs w:val="18"/>
        </w:rPr>
        <w:t>，但本公司并不对各分析或有关资料之可</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3"/>
          <w:sz w:val="18"/>
          <w:szCs w:val="18"/>
        </w:rPr>
        <w:t>靠性及准确性作出全面性保证。本报告只供客户或读者作参考之用，客户或读者不应完全依靠本报告内容作为投</w:t>
      </w:r>
      <w:r>
        <w:rPr>
          <w:rFonts w:ascii="微软雅黑" w:hAnsi="微软雅黑" w:eastAsia="微软雅黑" w:cs="微软雅黑"/>
          <w:color w:val="898989"/>
          <w:spacing w:val="2"/>
          <w:sz w:val="18"/>
          <w:szCs w:val="18"/>
        </w:rPr>
        <w:t>资准</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8"/>
          <w:sz w:val="18"/>
          <w:szCs w:val="18"/>
        </w:rPr>
        <w:t>则。</w:t>
      </w:r>
    </w:p>
    <w:p>
      <w:pPr>
        <w:spacing w:before="34" w:line="189" w:lineRule="auto"/>
        <w:ind w:left="337" w:right="707" w:firstLine="381"/>
        <w:jc w:val="both"/>
        <w:rPr>
          <w:rFonts w:ascii="微软雅黑" w:hAnsi="微软雅黑" w:eastAsia="微软雅黑" w:cs="微软雅黑"/>
          <w:sz w:val="18"/>
          <w:szCs w:val="18"/>
        </w:rPr>
        <w:sectPr>
          <w:pgSz w:w="11915" w:h="16837"/>
          <w:pgMar w:top="400" w:right="382" w:bottom="0" w:left="1153" w:header="340" w:footer="340" w:gutter="0"/>
          <w:pgBorders>
            <w:top w:val="none" w:sz="0" w:space="0"/>
            <w:left w:val="none" w:sz="0" w:space="0"/>
            <w:bottom w:val="none" w:sz="0" w:space="0"/>
            <w:right w:val="none" w:sz="0" w:space="0"/>
          </w:pgBorders>
          <w:pgNumType w:fmt="decimal"/>
          <w:cols w:space="720" w:num="1"/>
        </w:sectPr>
      </w:pPr>
      <w:r>
        <w:rPr>
          <w:rFonts w:ascii="微软雅黑" w:hAnsi="微软雅黑" w:eastAsia="微软雅黑" w:cs="微软雅黑"/>
          <w:color w:val="898989"/>
          <w:spacing w:val="3"/>
          <w:sz w:val="18"/>
          <w:szCs w:val="18"/>
        </w:rPr>
        <w:t>本报告之资料及意见如有任何更改，恕不另行通知。本报告并非及并无意图</w:t>
      </w:r>
      <w:r>
        <w:rPr>
          <w:rFonts w:ascii="微软雅黑" w:hAnsi="微软雅黑" w:eastAsia="微软雅黑" w:cs="微软雅黑"/>
          <w:color w:val="898989"/>
          <w:spacing w:val="2"/>
          <w:sz w:val="18"/>
          <w:szCs w:val="18"/>
        </w:rPr>
        <w:t>构成任何作价或招揽进行买卖本报告</w:t>
      </w:r>
      <w:r>
        <w:rPr>
          <w:rFonts w:ascii="微软雅黑" w:hAnsi="微软雅黑" w:eastAsia="微软雅黑" w:cs="微软雅黑"/>
          <w:color w:val="898989"/>
          <w:sz w:val="18"/>
          <w:szCs w:val="18"/>
        </w:rPr>
        <w:t xml:space="preserve"> </w:t>
      </w:r>
      <w:r>
        <w:rPr>
          <w:rFonts w:ascii="微软雅黑" w:hAnsi="微软雅黑" w:eastAsia="微软雅黑" w:cs="微软雅黑"/>
          <w:color w:val="898989"/>
          <w:spacing w:val="2"/>
          <w:sz w:val="18"/>
          <w:szCs w:val="18"/>
        </w:rPr>
        <w:t>提及的商品。本公司不会对任何因依靠本报告作出任何买卖而引致之任何损失承担任</w:t>
      </w:r>
      <w:r>
        <w:rPr>
          <w:rFonts w:ascii="微软雅黑" w:hAnsi="微软雅黑" w:eastAsia="微软雅黑" w:cs="微软雅黑"/>
          <w:color w:val="898989"/>
          <w:spacing w:val="1"/>
          <w:sz w:val="18"/>
          <w:szCs w:val="18"/>
        </w:rPr>
        <w:t>何责任。</w:t>
      </w:r>
    </w:p>
    <w:p>
      <w:pPr>
        <w:spacing w:before="34" w:line="569" w:lineRule="exact"/>
      </w:pPr>
    </w:p>
    <w:p>
      <w:pPr>
        <w:spacing w:before="34" w:line="569" w:lineRule="exact"/>
      </w:pPr>
    </w:p>
    <w:p>
      <w:pPr>
        <w:spacing w:before="34" w:line="569" w:lineRule="exact"/>
      </w:pPr>
    </w:p>
    <w:p>
      <w:pPr>
        <w:spacing w:line="3052" w:lineRule="exact"/>
        <w:jc w:val="center"/>
      </w:pPr>
      <w:r>
        <w:rPr>
          <w:position w:val="-61"/>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pPr>
        <w:pStyle w:val="3"/>
        <w:spacing w:line="371" w:lineRule="auto"/>
        <w:jc w:val="center"/>
      </w:pPr>
    </w:p>
    <w:p>
      <w:pPr>
        <w:spacing w:before="103" w:line="191" w:lineRule="auto"/>
        <w:jc w:val="center"/>
        <w:rPr>
          <w:rFonts w:ascii="微软雅黑" w:hAnsi="微软雅黑" w:eastAsia="微软雅黑" w:cs="微软雅黑"/>
          <w:sz w:val="24"/>
          <w:szCs w:val="24"/>
        </w:rPr>
      </w:pPr>
      <w:r>
        <w:rPr>
          <w:rFonts w:ascii="微软雅黑" w:hAnsi="微软雅黑" w:eastAsia="微软雅黑" w:cs="微软雅黑"/>
          <w:spacing w:val="7"/>
          <w:sz w:val="24"/>
          <w:szCs w:val="24"/>
        </w:rPr>
        <w:t>24小时客服电话： 00852</w:t>
      </w:r>
      <w:r>
        <w:rPr>
          <w:rFonts w:ascii="微软雅黑" w:hAnsi="微软雅黑" w:eastAsia="微软雅黑" w:cs="微软雅黑"/>
          <w:spacing w:val="-33"/>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37"/>
          <w:sz w:val="24"/>
          <w:szCs w:val="24"/>
        </w:rPr>
        <w:t xml:space="preserve"> </w:t>
      </w:r>
      <w:r>
        <w:rPr>
          <w:rFonts w:ascii="微软雅黑" w:hAnsi="微软雅黑" w:eastAsia="微软雅黑" w:cs="微软雅黑"/>
          <w:spacing w:val="7"/>
          <w:sz w:val="24"/>
          <w:szCs w:val="24"/>
        </w:rPr>
        <w:t>25342000/86</w:t>
      </w:r>
      <w:r>
        <w:rPr>
          <w:rFonts w:ascii="微软雅黑" w:hAnsi="微软雅黑" w:eastAsia="微软雅黑" w:cs="微软雅黑"/>
          <w:spacing w:val="-36"/>
          <w:sz w:val="24"/>
          <w:szCs w:val="24"/>
        </w:rPr>
        <w:t xml:space="preserve"> </w:t>
      </w:r>
      <w:r>
        <w:rPr>
          <w:rFonts w:ascii="微软雅黑" w:hAnsi="微软雅黑" w:eastAsia="微软雅黑" w:cs="微软雅黑"/>
          <w:spacing w:val="7"/>
          <w:sz w:val="24"/>
          <w:szCs w:val="24"/>
        </w:rPr>
        <w:t>-</w:t>
      </w:r>
      <w:r>
        <w:rPr>
          <w:rFonts w:ascii="微软雅黑" w:hAnsi="微软雅黑" w:eastAsia="微软雅黑" w:cs="微软雅黑"/>
          <w:spacing w:val="-26"/>
          <w:sz w:val="24"/>
          <w:szCs w:val="24"/>
        </w:rPr>
        <w:t xml:space="preserve"> </w:t>
      </w:r>
      <w:r>
        <w:rPr>
          <w:rFonts w:ascii="微软雅黑" w:hAnsi="微软雅黑" w:eastAsia="微软雅黑" w:cs="微软雅黑"/>
          <w:spacing w:val="7"/>
          <w:sz w:val="24"/>
          <w:szCs w:val="24"/>
        </w:rPr>
        <w:t>13603059885</w:t>
      </w:r>
    </w:p>
    <w:p>
      <w:pPr>
        <w:spacing w:before="233" w:line="175" w:lineRule="auto"/>
        <w:jc w:val="center"/>
        <w:rPr>
          <w:rFonts w:ascii="微软雅黑" w:hAnsi="微软雅黑" w:eastAsia="微软雅黑" w:cs="微软雅黑"/>
          <w:sz w:val="24"/>
          <w:szCs w:val="24"/>
        </w:rPr>
      </w:pPr>
      <w:r>
        <w:rPr>
          <w:rFonts w:ascii="微软雅黑" w:hAnsi="微软雅黑" w:eastAsia="微软雅黑" w:cs="微软雅黑"/>
          <w:spacing w:val="5"/>
          <w:sz w:val="24"/>
          <w:szCs w:val="24"/>
        </w:rPr>
        <w:t>24小时传真电话： 00852</w:t>
      </w:r>
      <w:r>
        <w:rPr>
          <w:rFonts w:ascii="微软雅黑" w:hAnsi="微软雅黑" w:eastAsia="微软雅黑" w:cs="微软雅黑"/>
          <w:spacing w:val="-32"/>
          <w:sz w:val="24"/>
          <w:szCs w:val="24"/>
        </w:rPr>
        <w:t xml:space="preserve"> </w:t>
      </w:r>
      <w:r>
        <w:rPr>
          <w:rFonts w:ascii="微软雅黑" w:hAnsi="微软雅黑" w:eastAsia="微软雅黑" w:cs="微软雅黑"/>
          <w:spacing w:val="5"/>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pacing w:val="5"/>
          <w:sz w:val="24"/>
          <w:szCs w:val="24"/>
        </w:rPr>
        <w:t>25632368</w:t>
      </w:r>
    </w:p>
    <w:p>
      <w:pPr>
        <w:spacing w:before="258" w:line="190" w:lineRule="auto"/>
        <w:jc w:val="center"/>
        <w:rPr>
          <w:rFonts w:ascii="微软雅黑" w:hAnsi="微软雅黑" w:eastAsia="微软雅黑" w:cs="微软雅黑"/>
          <w:sz w:val="24"/>
          <w:szCs w:val="24"/>
        </w:rPr>
      </w:pPr>
      <w:r>
        <w:rPr>
          <w:rFonts w:ascii="微软雅黑" w:hAnsi="微软雅黑" w:eastAsia="微软雅黑" w:cs="微软雅黑"/>
          <w:spacing w:val="13"/>
          <w:sz w:val="24"/>
          <w:szCs w:val="24"/>
        </w:rPr>
        <w:t xml:space="preserve">客服邮箱： </w:t>
      </w:r>
      <w:r>
        <w:rPr>
          <w:rFonts w:ascii="微软雅黑" w:hAnsi="微软雅黑" w:eastAsia="微软雅黑" w:cs="微软雅黑"/>
          <w:sz w:val="24"/>
          <w:szCs w:val="24"/>
        </w:rPr>
        <w:t>cs</w:t>
      </w:r>
      <w:r>
        <w:rPr>
          <w:rFonts w:ascii="微软雅黑" w:hAnsi="微软雅黑" w:eastAsia="微软雅黑" w:cs="微软雅黑"/>
          <w:spacing w:val="13"/>
          <w:sz w:val="24"/>
          <w:szCs w:val="24"/>
        </w:rPr>
        <w:t>@</w:t>
      </w:r>
      <w:r>
        <w:rPr>
          <w:rFonts w:ascii="微软雅黑" w:hAnsi="微软雅黑" w:eastAsia="微软雅黑" w:cs="微软雅黑"/>
          <w:sz w:val="24"/>
          <w:szCs w:val="24"/>
        </w:rPr>
        <w:t>ruida</w:t>
      </w:r>
      <w:r>
        <w:rPr>
          <w:rFonts w:ascii="微软雅黑" w:hAnsi="微软雅黑" w:eastAsia="微软雅黑" w:cs="微软雅黑"/>
          <w:spacing w:val="13"/>
          <w:sz w:val="24"/>
          <w:szCs w:val="24"/>
        </w:rPr>
        <w:t>-</w:t>
      </w:r>
      <w:r>
        <w:rPr>
          <w:rFonts w:ascii="微软雅黑" w:hAnsi="微软雅黑" w:eastAsia="微软雅黑" w:cs="微软雅黑"/>
          <w:spacing w:val="-29"/>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13"/>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34" w:line="192" w:lineRule="auto"/>
        <w:jc w:val="center"/>
        <w:rPr>
          <w:rFonts w:ascii="微软雅黑" w:hAnsi="微软雅黑" w:eastAsia="微软雅黑" w:cs="微软雅黑"/>
          <w:sz w:val="24"/>
          <w:szCs w:val="24"/>
        </w:rPr>
      </w:pPr>
      <w:r>
        <w:rPr>
          <w:rFonts w:ascii="微软雅黑" w:hAnsi="微软雅黑" w:eastAsia="微软雅黑" w:cs="微软雅黑"/>
          <w:spacing w:val="8"/>
          <w:sz w:val="24"/>
          <w:szCs w:val="24"/>
        </w:rPr>
        <w:t>客服</w:t>
      </w:r>
      <w:r>
        <w:rPr>
          <w:rFonts w:ascii="微软雅黑" w:hAnsi="微软雅黑" w:eastAsia="微软雅黑" w:cs="微软雅黑"/>
          <w:sz w:val="24"/>
          <w:szCs w:val="24"/>
        </w:rPr>
        <w:t>QQ</w:t>
      </w:r>
      <w:r>
        <w:rPr>
          <w:rFonts w:ascii="微软雅黑" w:hAnsi="微软雅黑" w:eastAsia="微软雅黑" w:cs="微软雅黑"/>
          <w:spacing w:val="8"/>
          <w:sz w:val="24"/>
          <w:szCs w:val="24"/>
        </w:rPr>
        <w:t>： 203195058/29384</w:t>
      </w:r>
      <w:r>
        <w:rPr>
          <w:rFonts w:ascii="微软雅黑" w:hAnsi="微软雅黑" w:eastAsia="微软雅黑" w:cs="微软雅黑"/>
          <w:spacing w:val="7"/>
          <w:sz w:val="24"/>
          <w:szCs w:val="24"/>
        </w:rPr>
        <w:t>72186</w:t>
      </w:r>
    </w:p>
    <w:p>
      <w:pPr>
        <w:spacing w:before="234" w:line="176" w:lineRule="auto"/>
        <w:jc w:val="center"/>
        <w:rPr>
          <w:rFonts w:ascii="微软雅黑" w:hAnsi="微软雅黑" w:eastAsia="微软雅黑" w:cs="微软雅黑"/>
          <w:sz w:val="24"/>
          <w:szCs w:val="24"/>
        </w:rPr>
      </w:pPr>
      <w:r>
        <w:rPr>
          <w:rFonts w:ascii="微软雅黑" w:hAnsi="微软雅黑" w:eastAsia="微软雅黑" w:cs="微软雅黑"/>
          <w:spacing w:val="21"/>
          <w:sz w:val="24"/>
          <w:szCs w:val="24"/>
        </w:rPr>
        <w:t>网址：</w:t>
      </w:r>
      <w:r>
        <w:rPr>
          <w:rFonts w:ascii="微软雅黑" w:hAnsi="微软雅黑" w:eastAsia="微软雅黑" w:cs="微软雅黑"/>
          <w:sz w:val="24"/>
          <w:szCs w:val="24"/>
        </w:rPr>
        <w:t>www</w:t>
      </w:r>
      <w:r>
        <w:rPr>
          <w:rFonts w:ascii="微软雅黑" w:hAnsi="微软雅黑" w:eastAsia="微软雅黑" w:cs="微软雅黑"/>
          <w:spacing w:val="21"/>
          <w:sz w:val="24"/>
          <w:szCs w:val="24"/>
        </w:rPr>
        <w:t>.</w:t>
      </w:r>
      <w:r>
        <w:rPr>
          <w:rFonts w:ascii="微软雅黑" w:hAnsi="微软雅黑" w:eastAsia="微软雅黑" w:cs="微软雅黑"/>
          <w:spacing w:val="-22"/>
          <w:sz w:val="24"/>
          <w:szCs w:val="24"/>
        </w:rPr>
        <w:t xml:space="preserve"> </w:t>
      </w:r>
      <w:r>
        <w:rPr>
          <w:rFonts w:ascii="微软雅黑" w:hAnsi="微软雅黑" w:eastAsia="微软雅黑" w:cs="微软雅黑"/>
          <w:sz w:val="24"/>
          <w:szCs w:val="24"/>
        </w:rPr>
        <w:t>ruida</w:t>
      </w:r>
      <w:r>
        <w:rPr>
          <w:rFonts w:ascii="微软雅黑" w:hAnsi="微软雅黑" w:eastAsia="微软雅黑" w:cs="微软雅黑"/>
          <w:spacing w:val="21"/>
          <w:sz w:val="24"/>
          <w:szCs w:val="24"/>
        </w:rPr>
        <w:t>-</w:t>
      </w:r>
      <w:r>
        <w:rPr>
          <w:rFonts w:ascii="微软雅黑" w:hAnsi="微软雅黑" w:eastAsia="微软雅黑" w:cs="微软雅黑"/>
          <w:spacing w:val="-28"/>
          <w:sz w:val="24"/>
          <w:szCs w:val="24"/>
        </w:rPr>
        <w:t xml:space="preserve"> </w:t>
      </w:r>
      <w:r>
        <w:rPr>
          <w:rFonts w:ascii="微软雅黑" w:hAnsi="微软雅黑" w:eastAsia="微软雅黑" w:cs="微软雅黑"/>
          <w:sz w:val="24"/>
          <w:szCs w:val="24"/>
        </w:rPr>
        <w:t>int</w:t>
      </w:r>
      <w:r>
        <w:rPr>
          <w:rFonts w:ascii="微软雅黑" w:hAnsi="微软雅黑" w:eastAsia="微软雅黑" w:cs="微软雅黑"/>
          <w:spacing w:val="-28"/>
          <w:sz w:val="24"/>
          <w:szCs w:val="24"/>
        </w:rPr>
        <w:t xml:space="preserve"> </w:t>
      </w:r>
      <w:r>
        <w:rPr>
          <w:rFonts w:ascii="微软雅黑" w:hAnsi="微软雅黑" w:eastAsia="微软雅黑" w:cs="微软雅黑"/>
          <w:spacing w:val="21"/>
          <w:sz w:val="24"/>
          <w:szCs w:val="24"/>
        </w:rPr>
        <w:t>.</w:t>
      </w:r>
      <w:r>
        <w:rPr>
          <w:rFonts w:ascii="微软雅黑" w:hAnsi="微软雅黑" w:eastAsia="微软雅黑" w:cs="微软雅黑"/>
          <w:spacing w:val="-38"/>
          <w:sz w:val="24"/>
          <w:szCs w:val="24"/>
        </w:rPr>
        <w:t xml:space="preserve"> </w:t>
      </w:r>
      <w:r>
        <w:rPr>
          <w:rFonts w:ascii="微软雅黑" w:hAnsi="微软雅黑" w:eastAsia="微软雅黑" w:cs="微软雅黑"/>
          <w:sz w:val="24"/>
          <w:szCs w:val="24"/>
        </w:rPr>
        <w:t>com</w:t>
      </w:r>
    </w:p>
    <w:p>
      <w:pPr>
        <w:spacing w:before="253" w:line="177" w:lineRule="auto"/>
        <w:jc w:val="center"/>
        <w:rPr>
          <w:rFonts w:ascii="微软雅黑" w:hAnsi="微软雅黑" w:eastAsia="微软雅黑" w:cs="微软雅黑"/>
          <w:sz w:val="24"/>
          <w:szCs w:val="24"/>
        </w:rPr>
      </w:pPr>
      <w:r>
        <w:rPr>
          <w:rFonts w:ascii="微软雅黑" w:hAnsi="微软雅黑" w:eastAsia="微软雅黑" w:cs="微软雅黑"/>
          <w:spacing w:val="16"/>
          <w:sz w:val="24"/>
          <w:szCs w:val="24"/>
        </w:rPr>
        <w:t>地址:</w:t>
      </w:r>
      <w:r>
        <w:rPr>
          <w:rFonts w:ascii="微软雅黑" w:hAnsi="微软雅黑" w:eastAsia="微软雅黑" w:cs="微软雅黑"/>
          <w:spacing w:val="45"/>
          <w:w w:val="101"/>
          <w:sz w:val="24"/>
          <w:szCs w:val="24"/>
        </w:rPr>
        <w:t xml:space="preserve"> </w:t>
      </w:r>
      <w:r>
        <w:rPr>
          <w:rFonts w:ascii="微软雅黑" w:hAnsi="微软雅黑" w:eastAsia="微软雅黑" w:cs="微软雅黑"/>
          <w:spacing w:val="16"/>
          <w:sz w:val="24"/>
          <w:szCs w:val="24"/>
        </w:rPr>
        <w:t>香港湾仔菲林明道8号大同大厦17楼05</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w:t>
      </w:r>
      <w:r>
        <w:rPr>
          <w:rFonts w:ascii="微软雅黑" w:hAnsi="微软雅黑" w:eastAsia="微软雅黑" w:cs="微软雅黑"/>
          <w:spacing w:val="-36"/>
          <w:sz w:val="24"/>
          <w:szCs w:val="24"/>
        </w:rPr>
        <w:t xml:space="preserve"> </w:t>
      </w:r>
      <w:r>
        <w:rPr>
          <w:rFonts w:ascii="微软雅黑" w:hAnsi="微软雅黑" w:eastAsia="微软雅黑" w:cs="微软雅黑"/>
          <w:spacing w:val="16"/>
          <w:sz w:val="24"/>
          <w:szCs w:val="24"/>
        </w:rPr>
        <w:t>06室</w:t>
      </w:r>
    </w:p>
    <w:p/>
    <w:p/>
    <w:sectPr>
      <w:pgSz w:w="11923" w:h="16837"/>
      <w:pgMar w:top="400" w:right="556" w:bottom="0" w:left="1015" w:header="340" w:footer="340" w:gutter="0"/>
      <w:pgBorders>
        <w:top w:val="none" w:sz="0" w:space="0"/>
        <w:left w:val="none" w:sz="0" w:space="0"/>
        <w:bottom w:val="none" w:sz="0" w:space="0"/>
        <w:right w:val="none" w:sz="0" w:space="0"/>
      </w:pgBorders>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思源黑体 CN Bold">
    <w:altName w:val="黑体"/>
    <w:panose1 w:val="020B0800000000000000"/>
    <w:charset w:val="86"/>
    <w:family w:val="auto"/>
    <w:pitch w:val="default"/>
    <w:sig w:usb0="00000000" w:usb1="00000000" w:usb2="00000016" w:usb3="00000000" w:csb0="60060107" w:csb1="00000000"/>
  </w:font>
  <w:font w:name="新宋体">
    <w:panose1 w:val="02010609030101010101"/>
    <w:charset w:val="86"/>
    <w:family w:val="modern"/>
    <w:pitch w:val="default"/>
    <w:sig w:usb0="00000283" w:usb1="288F0000" w:usb2="00000006" w:usb3="00000000" w:csb0="00040001" w:csb1="0000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amp;quot">
    <w:altName w:val="ksdb"/>
    <w:panose1 w:val="00000000000000000000"/>
    <w:charset w:val="00"/>
    <w:family w:val="auto"/>
    <w:pitch w:val="default"/>
    <w:sig w:usb0="00000000" w:usb1="00000000" w:usb2="00000000" w:usb3="00000000" w:csb0="00000000" w:csb1="00000000"/>
  </w:font>
  <w:font w:name="ksdb">
    <w:panose1 w:val="02000500000000000000"/>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0766D4" w:sz="8" w:space="0"/>
      </w:pBdr>
      <w:spacing w:line="14" w:lineRule="auto"/>
      <w:rPr>
        <w:sz w:val="2"/>
      </w:rPr>
    </w:pPr>
    <w: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top w:val="none" w:color="auto" w:sz="0" w:space="1"/>
        <w:left w:val="none" w:color="auto" w:sz="0" w:space="4"/>
        <w:bottom w:val="thinThickSmallGap" w:color="3669AB" w:sz="24" w:space="0"/>
        <w:right w:val="none" w:color="auto" w:sz="0" w:space="4"/>
        <w:between w:val="none" w:color="auto" w:sz="0" w:space="0"/>
      </w:pBdr>
      <w:kinsoku w:val="0"/>
      <w:autoSpaceDE w:val="0"/>
      <w:autoSpaceDN w:val="0"/>
      <w:adjustRightInd w:val="0"/>
      <w:snapToGrid w:val="0"/>
      <w:spacing w:line="240" w:lineRule="auto"/>
      <w:ind w:right="420" w:rightChars="200"/>
      <w:jc w:val="right"/>
      <w:textAlignment w:val="baseline"/>
      <w:rPr>
        <w:rFonts w:hint="eastAsia" w:eastAsia="宋体"/>
        <w:sz w:val="2"/>
        <w:lang w:eastAsia="zh-CN"/>
      </w:rPr>
    </w:pPr>
    <w:r>
      <w:rPr>
        <w:sz w:val="2"/>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5"/>
                    </w:pPr>
                  </w:p>
                </w:txbxContent>
              </v:textbox>
            </v:shape>
          </w:pict>
        </mc:Fallback>
      </mc:AlternateContent>
    </w:r>
    <w:r>
      <w:rPr>
        <w:rFonts w:hint="eastAsia" w:eastAsia="宋体"/>
        <w:sz w:val="2"/>
        <w:lang w:eastAsia="zh-CN"/>
      </w:rPr>
      <w:drawing>
        <wp:inline distT="0" distB="0" distL="114300" distR="114300">
          <wp:extent cx="2263140" cy="810895"/>
          <wp:effectExtent l="0" t="0" r="3810" b="0"/>
          <wp:docPr id="3" name="图片 3"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pPr>
      <w:pStyle w:val="3"/>
      <w:pBdr>
        <w:bottom w:val="single" w:color="3669AB" w:sz="4" w:space="0"/>
      </w:pBdr>
      <w:spacing w:line="240" w:lineRule="auto"/>
      <w:ind w:right="420" w:rightChars="200"/>
      <w:jc w:val="right"/>
      <w:rPr>
        <w:rFonts w:hint="eastAsia" w:eastAsia="宋体"/>
        <w:color w:val="FFFFFF" w:themeColor="background1"/>
        <w:sz w:val="2"/>
        <w:lang w:eastAsia="zh-CN"/>
        <w14:textFill>
          <w14:solidFill>
            <w14:schemeClr w14:val="bg1"/>
          </w14:solidFill>
        </w14:textFil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0OTE2YjY5YTI4YTA0ODk4OGU0YzI0YTM5N2I2ZmEifQ=="/>
    <w:docVar w:name="KSO_WPS_MARK_KEY" w:val="3a4f4901-0884-4460-84d6-f984be701345"/>
  </w:docVars>
  <w:rsids>
    <w:rsidRoot w:val="19E86119"/>
    <w:rsid w:val="014E455E"/>
    <w:rsid w:val="01AC16B9"/>
    <w:rsid w:val="01C33426"/>
    <w:rsid w:val="01D34AC7"/>
    <w:rsid w:val="02357FE5"/>
    <w:rsid w:val="02647ECA"/>
    <w:rsid w:val="03237D85"/>
    <w:rsid w:val="03A56279"/>
    <w:rsid w:val="03AA5DB1"/>
    <w:rsid w:val="044827BC"/>
    <w:rsid w:val="04540896"/>
    <w:rsid w:val="04695C6C"/>
    <w:rsid w:val="04812FB5"/>
    <w:rsid w:val="04BC3FEE"/>
    <w:rsid w:val="054B35C3"/>
    <w:rsid w:val="054C3DC9"/>
    <w:rsid w:val="056401E1"/>
    <w:rsid w:val="056D52E8"/>
    <w:rsid w:val="05704DD8"/>
    <w:rsid w:val="05761F9D"/>
    <w:rsid w:val="05DB66F5"/>
    <w:rsid w:val="06481D1A"/>
    <w:rsid w:val="068D4577"/>
    <w:rsid w:val="068E5516"/>
    <w:rsid w:val="06EB560A"/>
    <w:rsid w:val="07035F04"/>
    <w:rsid w:val="071F2612"/>
    <w:rsid w:val="074B1659"/>
    <w:rsid w:val="076444C8"/>
    <w:rsid w:val="08955281"/>
    <w:rsid w:val="092D370C"/>
    <w:rsid w:val="09540C99"/>
    <w:rsid w:val="099512B1"/>
    <w:rsid w:val="09A82D92"/>
    <w:rsid w:val="09F14739"/>
    <w:rsid w:val="0A6A44EC"/>
    <w:rsid w:val="0A8A2498"/>
    <w:rsid w:val="0B0B1CD7"/>
    <w:rsid w:val="0B2C15EF"/>
    <w:rsid w:val="0BC32105"/>
    <w:rsid w:val="0BCA5D9B"/>
    <w:rsid w:val="0BD7170D"/>
    <w:rsid w:val="0C2D186C"/>
    <w:rsid w:val="0C2E40B0"/>
    <w:rsid w:val="0C443FA3"/>
    <w:rsid w:val="0CD93263"/>
    <w:rsid w:val="0CDD0FA5"/>
    <w:rsid w:val="0D007B59"/>
    <w:rsid w:val="0D036C35"/>
    <w:rsid w:val="0D181FDD"/>
    <w:rsid w:val="0E4366B0"/>
    <w:rsid w:val="0E5232CD"/>
    <w:rsid w:val="0EE54141"/>
    <w:rsid w:val="0EEF3211"/>
    <w:rsid w:val="0F087A90"/>
    <w:rsid w:val="101F18D4"/>
    <w:rsid w:val="104430E9"/>
    <w:rsid w:val="104D4694"/>
    <w:rsid w:val="10C123D9"/>
    <w:rsid w:val="11713562"/>
    <w:rsid w:val="12E50BB3"/>
    <w:rsid w:val="130A686C"/>
    <w:rsid w:val="132469CD"/>
    <w:rsid w:val="1324792E"/>
    <w:rsid w:val="134C478E"/>
    <w:rsid w:val="13506BAF"/>
    <w:rsid w:val="14060DE1"/>
    <w:rsid w:val="142B4CEC"/>
    <w:rsid w:val="14755F67"/>
    <w:rsid w:val="150A2B53"/>
    <w:rsid w:val="154A2F50"/>
    <w:rsid w:val="15A01728"/>
    <w:rsid w:val="15D53161"/>
    <w:rsid w:val="15DD0268"/>
    <w:rsid w:val="15F14CC6"/>
    <w:rsid w:val="16243D50"/>
    <w:rsid w:val="167F131F"/>
    <w:rsid w:val="17822E75"/>
    <w:rsid w:val="17E31439"/>
    <w:rsid w:val="183710AD"/>
    <w:rsid w:val="189B3AC2"/>
    <w:rsid w:val="18D747CA"/>
    <w:rsid w:val="18E5190D"/>
    <w:rsid w:val="19193365"/>
    <w:rsid w:val="19726F19"/>
    <w:rsid w:val="19806B8B"/>
    <w:rsid w:val="198F7ACB"/>
    <w:rsid w:val="199B2BBE"/>
    <w:rsid w:val="19E86119"/>
    <w:rsid w:val="1A071979"/>
    <w:rsid w:val="1A9B205C"/>
    <w:rsid w:val="1AF776D6"/>
    <w:rsid w:val="1B5E59A7"/>
    <w:rsid w:val="1B6D5BEA"/>
    <w:rsid w:val="1B851185"/>
    <w:rsid w:val="1B8A054A"/>
    <w:rsid w:val="1B925650"/>
    <w:rsid w:val="1BA3785E"/>
    <w:rsid w:val="1BD31ED2"/>
    <w:rsid w:val="1C525A3A"/>
    <w:rsid w:val="1C6D7B68"/>
    <w:rsid w:val="1D1D719C"/>
    <w:rsid w:val="1DDE6C50"/>
    <w:rsid w:val="1E581DD0"/>
    <w:rsid w:val="1E931DB8"/>
    <w:rsid w:val="1E934127"/>
    <w:rsid w:val="1EBD1673"/>
    <w:rsid w:val="1FAB6CE1"/>
    <w:rsid w:val="209A3575"/>
    <w:rsid w:val="20CD34A4"/>
    <w:rsid w:val="210D3CC1"/>
    <w:rsid w:val="21D249F9"/>
    <w:rsid w:val="21F20BF7"/>
    <w:rsid w:val="22D36C7A"/>
    <w:rsid w:val="22FA160E"/>
    <w:rsid w:val="22FB3ADB"/>
    <w:rsid w:val="232F685D"/>
    <w:rsid w:val="233174FD"/>
    <w:rsid w:val="23395957"/>
    <w:rsid w:val="233B65CE"/>
    <w:rsid w:val="239D4B92"/>
    <w:rsid w:val="23B51EDC"/>
    <w:rsid w:val="23F724F4"/>
    <w:rsid w:val="23FE1AD5"/>
    <w:rsid w:val="24207C9D"/>
    <w:rsid w:val="246566F8"/>
    <w:rsid w:val="248B2649"/>
    <w:rsid w:val="2498264B"/>
    <w:rsid w:val="24D9609E"/>
    <w:rsid w:val="24DA1A42"/>
    <w:rsid w:val="24DD5B8E"/>
    <w:rsid w:val="250C1FD0"/>
    <w:rsid w:val="25115838"/>
    <w:rsid w:val="25270BB7"/>
    <w:rsid w:val="25290DD3"/>
    <w:rsid w:val="257A23D4"/>
    <w:rsid w:val="25B54415"/>
    <w:rsid w:val="25F747AF"/>
    <w:rsid w:val="26413EFB"/>
    <w:rsid w:val="266A16A4"/>
    <w:rsid w:val="26F471BF"/>
    <w:rsid w:val="274F030F"/>
    <w:rsid w:val="27653C19"/>
    <w:rsid w:val="27736336"/>
    <w:rsid w:val="28026FB4"/>
    <w:rsid w:val="284101E2"/>
    <w:rsid w:val="288264C6"/>
    <w:rsid w:val="28EC1992"/>
    <w:rsid w:val="29EC4B89"/>
    <w:rsid w:val="2A2D4EC2"/>
    <w:rsid w:val="2A5C7555"/>
    <w:rsid w:val="2A622692"/>
    <w:rsid w:val="2A697EC4"/>
    <w:rsid w:val="2AA1765E"/>
    <w:rsid w:val="2B25203D"/>
    <w:rsid w:val="2B460886"/>
    <w:rsid w:val="2BD870AF"/>
    <w:rsid w:val="2BEF7F55"/>
    <w:rsid w:val="2C2045B2"/>
    <w:rsid w:val="2CC80A91"/>
    <w:rsid w:val="2CC94C4A"/>
    <w:rsid w:val="2CE27401"/>
    <w:rsid w:val="2D0B0DBF"/>
    <w:rsid w:val="2D8017AD"/>
    <w:rsid w:val="2DF9330D"/>
    <w:rsid w:val="2EC456C9"/>
    <w:rsid w:val="2F012479"/>
    <w:rsid w:val="2F0F103A"/>
    <w:rsid w:val="2F8A5B16"/>
    <w:rsid w:val="2FF86DC4"/>
    <w:rsid w:val="30074904"/>
    <w:rsid w:val="302B515F"/>
    <w:rsid w:val="30656A38"/>
    <w:rsid w:val="30703A47"/>
    <w:rsid w:val="30BA6D84"/>
    <w:rsid w:val="310D20A5"/>
    <w:rsid w:val="31945827"/>
    <w:rsid w:val="320B4F05"/>
    <w:rsid w:val="32317519"/>
    <w:rsid w:val="324678C2"/>
    <w:rsid w:val="324803BF"/>
    <w:rsid w:val="32E8157B"/>
    <w:rsid w:val="32F81DE5"/>
    <w:rsid w:val="335A2AA0"/>
    <w:rsid w:val="335C05C6"/>
    <w:rsid w:val="33B65F28"/>
    <w:rsid w:val="33E222C5"/>
    <w:rsid w:val="342F27ED"/>
    <w:rsid w:val="345E036E"/>
    <w:rsid w:val="3485313E"/>
    <w:rsid w:val="349A5478"/>
    <w:rsid w:val="34A42225"/>
    <w:rsid w:val="34C94326"/>
    <w:rsid w:val="34EC3C2E"/>
    <w:rsid w:val="353F1F4D"/>
    <w:rsid w:val="35AC3B58"/>
    <w:rsid w:val="35EF5171"/>
    <w:rsid w:val="36015455"/>
    <w:rsid w:val="360A0317"/>
    <w:rsid w:val="36513CE6"/>
    <w:rsid w:val="36CE17DB"/>
    <w:rsid w:val="37052D23"/>
    <w:rsid w:val="37614520"/>
    <w:rsid w:val="37735EDE"/>
    <w:rsid w:val="37970E74"/>
    <w:rsid w:val="38262F51"/>
    <w:rsid w:val="3861062B"/>
    <w:rsid w:val="38BF587F"/>
    <w:rsid w:val="390239BE"/>
    <w:rsid w:val="39096AFA"/>
    <w:rsid w:val="394A2C6F"/>
    <w:rsid w:val="3A4818A4"/>
    <w:rsid w:val="3AE47F1E"/>
    <w:rsid w:val="3AF15A98"/>
    <w:rsid w:val="3AF37A62"/>
    <w:rsid w:val="3B000022"/>
    <w:rsid w:val="3BE61375"/>
    <w:rsid w:val="3C0C409C"/>
    <w:rsid w:val="3C5207B8"/>
    <w:rsid w:val="3C6B3628"/>
    <w:rsid w:val="3C964B49"/>
    <w:rsid w:val="3DBD4357"/>
    <w:rsid w:val="3E1A3557"/>
    <w:rsid w:val="3E9A01F4"/>
    <w:rsid w:val="3EB35031"/>
    <w:rsid w:val="3EDC080D"/>
    <w:rsid w:val="3F23468E"/>
    <w:rsid w:val="3F7448FC"/>
    <w:rsid w:val="3F966B9F"/>
    <w:rsid w:val="3FEB6F5A"/>
    <w:rsid w:val="400F606F"/>
    <w:rsid w:val="40662A84"/>
    <w:rsid w:val="409C46F8"/>
    <w:rsid w:val="40EA5463"/>
    <w:rsid w:val="410127AD"/>
    <w:rsid w:val="41540B2E"/>
    <w:rsid w:val="415C79E3"/>
    <w:rsid w:val="41BE4CC7"/>
    <w:rsid w:val="41D61543"/>
    <w:rsid w:val="42051E29"/>
    <w:rsid w:val="42240501"/>
    <w:rsid w:val="42463094"/>
    <w:rsid w:val="42B75819"/>
    <w:rsid w:val="42CE66BF"/>
    <w:rsid w:val="42F1211F"/>
    <w:rsid w:val="43476B9D"/>
    <w:rsid w:val="43917E18"/>
    <w:rsid w:val="43A51B15"/>
    <w:rsid w:val="43CB67C0"/>
    <w:rsid w:val="43D81418"/>
    <w:rsid w:val="43E4263E"/>
    <w:rsid w:val="43F3462F"/>
    <w:rsid w:val="44103433"/>
    <w:rsid w:val="442742D8"/>
    <w:rsid w:val="444035EC"/>
    <w:rsid w:val="446758D6"/>
    <w:rsid w:val="44A8366B"/>
    <w:rsid w:val="44AF0444"/>
    <w:rsid w:val="44FA7C3F"/>
    <w:rsid w:val="4585575A"/>
    <w:rsid w:val="45891C00"/>
    <w:rsid w:val="45F23AC6"/>
    <w:rsid w:val="46205483"/>
    <w:rsid w:val="46C329DE"/>
    <w:rsid w:val="47961EA1"/>
    <w:rsid w:val="47B72674"/>
    <w:rsid w:val="47E21FD2"/>
    <w:rsid w:val="48345216"/>
    <w:rsid w:val="48CB6D26"/>
    <w:rsid w:val="49044BE8"/>
    <w:rsid w:val="490C1CEF"/>
    <w:rsid w:val="4928096E"/>
    <w:rsid w:val="49575660"/>
    <w:rsid w:val="496D6C31"/>
    <w:rsid w:val="4A037596"/>
    <w:rsid w:val="4A064990"/>
    <w:rsid w:val="4A565917"/>
    <w:rsid w:val="4A5751EC"/>
    <w:rsid w:val="4A6358AA"/>
    <w:rsid w:val="4AFD2237"/>
    <w:rsid w:val="4C0D0258"/>
    <w:rsid w:val="4DCF5AD7"/>
    <w:rsid w:val="4E0416AC"/>
    <w:rsid w:val="4E11738D"/>
    <w:rsid w:val="4E52289A"/>
    <w:rsid w:val="4E7C56A4"/>
    <w:rsid w:val="4E9E5ADF"/>
    <w:rsid w:val="4EAD34A6"/>
    <w:rsid w:val="4ECD423E"/>
    <w:rsid w:val="4F0A4F22"/>
    <w:rsid w:val="4F1B43F6"/>
    <w:rsid w:val="4F7C7BCE"/>
    <w:rsid w:val="50265D8C"/>
    <w:rsid w:val="50616DC4"/>
    <w:rsid w:val="50772144"/>
    <w:rsid w:val="507C1E50"/>
    <w:rsid w:val="508F1B83"/>
    <w:rsid w:val="50B415EA"/>
    <w:rsid w:val="50F10148"/>
    <w:rsid w:val="51F51BBA"/>
    <w:rsid w:val="521C2FA3"/>
    <w:rsid w:val="523D6FB3"/>
    <w:rsid w:val="52DE5094"/>
    <w:rsid w:val="530E3233"/>
    <w:rsid w:val="53BE5113"/>
    <w:rsid w:val="53CC24B4"/>
    <w:rsid w:val="53E773D8"/>
    <w:rsid w:val="54501629"/>
    <w:rsid w:val="54682976"/>
    <w:rsid w:val="54773E1A"/>
    <w:rsid w:val="549A0AF6"/>
    <w:rsid w:val="54C16083"/>
    <w:rsid w:val="54D758A7"/>
    <w:rsid w:val="556F788D"/>
    <w:rsid w:val="55E464CD"/>
    <w:rsid w:val="55E55DA1"/>
    <w:rsid w:val="561A2735"/>
    <w:rsid w:val="563A7E9B"/>
    <w:rsid w:val="564B02FA"/>
    <w:rsid w:val="56B714EC"/>
    <w:rsid w:val="56F444EE"/>
    <w:rsid w:val="57566F57"/>
    <w:rsid w:val="579932E7"/>
    <w:rsid w:val="58C07B42"/>
    <w:rsid w:val="58CE429C"/>
    <w:rsid w:val="58F22CAF"/>
    <w:rsid w:val="59396B30"/>
    <w:rsid w:val="59A33FA9"/>
    <w:rsid w:val="5A063515"/>
    <w:rsid w:val="5A1D0200"/>
    <w:rsid w:val="5A2F0DB8"/>
    <w:rsid w:val="5B24111A"/>
    <w:rsid w:val="5B5F167B"/>
    <w:rsid w:val="5C3B2BBF"/>
    <w:rsid w:val="5C653798"/>
    <w:rsid w:val="5D245401"/>
    <w:rsid w:val="5D677EDE"/>
    <w:rsid w:val="5D700646"/>
    <w:rsid w:val="5DC22821"/>
    <w:rsid w:val="5DED6395"/>
    <w:rsid w:val="5E9345EC"/>
    <w:rsid w:val="5EE07779"/>
    <w:rsid w:val="5EE27322"/>
    <w:rsid w:val="5F021772"/>
    <w:rsid w:val="5F230066"/>
    <w:rsid w:val="5F334021"/>
    <w:rsid w:val="5F52422B"/>
    <w:rsid w:val="5F920D48"/>
    <w:rsid w:val="5FC331F0"/>
    <w:rsid w:val="5FFC403D"/>
    <w:rsid w:val="610B7004"/>
    <w:rsid w:val="61882D10"/>
    <w:rsid w:val="619958DF"/>
    <w:rsid w:val="61C2211F"/>
    <w:rsid w:val="61C40F61"/>
    <w:rsid w:val="620D2908"/>
    <w:rsid w:val="62210161"/>
    <w:rsid w:val="62570CDB"/>
    <w:rsid w:val="62D82F16"/>
    <w:rsid w:val="63C179EF"/>
    <w:rsid w:val="63C65464"/>
    <w:rsid w:val="641A130C"/>
    <w:rsid w:val="64B435DF"/>
    <w:rsid w:val="651D5558"/>
    <w:rsid w:val="65D379C4"/>
    <w:rsid w:val="660A39DF"/>
    <w:rsid w:val="66161433"/>
    <w:rsid w:val="666D606B"/>
    <w:rsid w:val="66815672"/>
    <w:rsid w:val="66902CF8"/>
    <w:rsid w:val="66CA7EB9"/>
    <w:rsid w:val="68227FB0"/>
    <w:rsid w:val="6871789F"/>
    <w:rsid w:val="687C4343"/>
    <w:rsid w:val="687E630D"/>
    <w:rsid w:val="689B4294"/>
    <w:rsid w:val="689F697B"/>
    <w:rsid w:val="68D56B96"/>
    <w:rsid w:val="68F55EA4"/>
    <w:rsid w:val="690600B1"/>
    <w:rsid w:val="69AB3E1D"/>
    <w:rsid w:val="69F83E9D"/>
    <w:rsid w:val="6A536D57"/>
    <w:rsid w:val="6A884BFC"/>
    <w:rsid w:val="6A8F08C3"/>
    <w:rsid w:val="6ABD22B6"/>
    <w:rsid w:val="6ACA6966"/>
    <w:rsid w:val="6AD871FE"/>
    <w:rsid w:val="6AE668C9"/>
    <w:rsid w:val="6B0B7C00"/>
    <w:rsid w:val="6B673089"/>
    <w:rsid w:val="6B9D2F4E"/>
    <w:rsid w:val="6C2B67AC"/>
    <w:rsid w:val="6C7F2654"/>
    <w:rsid w:val="6D52102F"/>
    <w:rsid w:val="6D7E46BA"/>
    <w:rsid w:val="6DE06A4F"/>
    <w:rsid w:val="6E2C680B"/>
    <w:rsid w:val="6E7928C7"/>
    <w:rsid w:val="6E7C12C8"/>
    <w:rsid w:val="6EC922AC"/>
    <w:rsid w:val="700E441B"/>
    <w:rsid w:val="70460245"/>
    <w:rsid w:val="70985276"/>
    <w:rsid w:val="70A02B99"/>
    <w:rsid w:val="71353C29"/>
    <w:rsid w:val="71A36DE5"/>
    <w:rsid w:val="724834E8"/>
    <w:rsid w:val="72C214EC"/>
    <w:rsid w:val="72ED47BB"/>
    <w:rsid w:val="730E028E"/>
    <w:rsid w:val="7333597E"/>
    <w:rsid w:val="7344195D"/>
    <w:rsid w:val="739C7F8F"/>
    <w:rsid w:val="73D2750D"/>
    <w:rsid w:val="74510D7A"/>
    <w:rsid w:val="74EF0832"/>
    <w:rsid w:val="750162FC"/>
    <w:rsid w:val="752C5EAE"/>
    <w:rsid w:val="753D12FE"/>
    <w:rsid w:val="75CA0DE4"/>
    <w:rsid w:val="76487F5B"/>
    <w:rsid w:val="76516E0F"/>
    <w:rsid w:val="7671300D"/>
    <w:rsid w:val="773B2450"/>
    <w:rsid w:val="77750DFB"/>
    <w:rsid w:val="78B813C8"/>
    <w:rsid w:val="78E35D19"/>
    <w:rsid w:val="79222CE5"/>
    <w:rsid w:val="79921C19"/>
    <w:rsid w:val="799408D0"/>
    <w:rsid w:val="79AC7C55"/>
    <w:rsid w:val="7A1940E8"/>
    <w:rsid w:val="7A877DB3"/>
    <w:rsid w:val="7A89643E"/>
    <w:rsid w:val="7B86755B"/>
    <w:rsid w:val="7BAE260E"/>
    <w:rsid w:val="7BDA78A7"/>
    <w:rsid w:val="7C745605"/>
    <w:rsid w:val="7C8848DE"/>
    <w:rsid w:val="7CF07D68"/>
    <w:rsid w:val="7D6513F2"/>
    <w:rsid w:val="7D871368"/>
    <w:rsid w:val="7E9957F7"/>
    <w:rsid w:val="7ECD36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autoRedefine/>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iPriority w:val="0"/>
    <w:rPr>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Table Text"/>
    <w:basedOn w:val="1"/>
    <w:semiHidden/>
    <w:qFormat/>
    <w:uiPriority w:val="0"/>
    <w:rPr>
      <w:rFonts w:ascii="微软雅黑" w:hAnsi="微软雅黑" w:eastAsia="微软雅黑" w:cs="微软雅黑"/>
      <w:sz w:val="17"/>
      <w:szCs w:val="17"/>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3852</Words>
  <Characters>4709</Characters>
  <Lines>0</Lines>
  <Paragraphs>0</Paragraphs>
  <TotalTime>1</TotalTime>
  <ScaleCrop>false</ScaleCrop>
  <LinksUpToDate>false</LinksUpToDate>
  <CharactersWithSpaces>4753</CharactersWithSpaces>
  <Application>WPS Office_12.1.0.16910_F1E327BC-269C-435d-A152-05C5408002CA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2024-04-15T00:04:00Z</dcterms:created>
  <dc:creator>WPS_1180513195</dc:creator>
  <cp:lastModifiedBy>WPS_1180513195</cp:lastModifiedBy>
  <dcterms:modified xsi:type="dcterms:W3CDTF">2024-05-13T01:44:21Z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2052-12.1.0.16910</vt:lpwstr>
  </property>
  <property fmtid="{D5CDD505-2E9C-101B-9397-08002B2CF9AE}" pid="3" name="ICV">
    <vt:lpwstr>988B5217703C4950B103A29445F4D55C_13</vt:lpwstr>
  </property>
</Properties>
</file>