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3"/>
        <w:spacing w:line="256" w:lineRule="auto"/>
      </w:pPr>
    </w:p>
    <w:p>
      <w:pPr>
        <w:pStyle w:val="3"/>
        <w:spacing w:line="256" w:lineRule="auto"/>
      </w:pPr>
    </w:p>
    <w:p>
      <w:pPr>
        <w:pStyle w:val="3"/>
        <w:spacing w:line="256" w:lineRule="auto"/>
      </w:pPr>
    </w:p>
    <w:p>
      <w:pPr>
        <w:pStyle w:val="3"/>
        <w:spacing w:line="256" w:lineRule="auto"/>
      </w:pPr>
    </w:p>
    <w:p>
      <w:pPr>
        <w:pStyle w:val="3"/>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5</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16</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keepNext w:val="0"/>
        <w:keepLines w:val="0"/>
        <w:pageBreakBefore w:val="0"/>
        <w:widowControl/>
        <w:kinsoku w:val="0"/>
        <w:wordWrap/>
        <w:overflowPunct/>
        <w:topLinePunct w:val="0"/>
        <w:autoSpaceDE w:val="0"/>
        <w:autoSpaceDN w:val="0"/>
        <w:bidi w:val="0"/>
        <w:adjustRightInd w:val="0"/>
        <w:snapToGrid w:val="0"/>
        <w:spacing w:before="103" w:line="257" w:lineRule="auto"/>
        <w:ind w:right="584" w:firstLine="528"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12"/>
          <w:sz w:val="24"/>
          <w:szCs w:val="24"/>
          <w:lang w:val="en-US" w:eastAsia="zh-CN"/>
        </w:rPr>
        <w:t>美股全线收涨，道指涨0.88%报39908点，标普500指数涨1.17%报5308.15点，纳指涨1.4%报16742.39点，三大股指均创历史新高。美元指数跌0.67%报104.30，非美货币普遍上涨，离岸人民币兑美元涨223个基点报7.2178。国际油价全线上涨，美油6月合约涨1.09%，报78.87美元/桶。布油7月合约涨0.68%，报82.94美元/桶。国际贵金属期货大幅收涨，COMEX黄金期货涨1.35%报2391.8美元/盎司，COMEX白银期货涨4.24%报29.92美元/盎司。LME期铜涨1.66%报10282美元/吨</w:t>
      </w:r>
      <w:r>
        <w:rPr>
          <w:rFonts w:hint="eastAsia" w:ascii="微软雅黑" w:hAnsi="微软雅黑" w:eastAsia="微软雅黑" w:cs="微软雅黑"/>
          <w:spacing w:val="4"/>
          <w:sz w:val="24"/>
          <w:szCs w:val="24"/>
          <w:lang w:eastAsia="zh-CN"/>
        </w:rPr>
        <w:t>。ICE</w:t>
      </w:r>
      <w:r>
        <w:rPr>
          <w:rFonts w:hint="eastAsia" w:ascii="微软雅黑" w:hAnsi="微软雅黑" w:eastAsia="微软雅黑" w:cs="微软雅黑"/>
          <w:spacing w:val="4"/>
          <w:sz w:val="24"/>
          <w:szCs w:val="24"/>
          <w:lang w:val="en-US" w:eastAsia="zh-CN"/>
        </w:rPr>
        <w:t xml:space="preserve"> 7</w:t>
      </w:r>
      <w:r>
        <w:rPr>
          <w:rFonts w:hint="eastAsia" w:ascii="微软雅黑" w:hAnsi="微软雅黑" w:eastAsia="微软雅黑" w:cs="微软雅黑"/>
          <w:spacing w:val="4"/>
          <w:sz w:val="24"/>
          <w:szCs w:val="24"/>
          <w:lang w:eastAsia="zh-CN"/>
        </w:rPr>
        <w:t>月原糖</w:t>
      </w:r>
      <w:r>
        <w:rPr>
          <w:rFonts w:hint="eastAsia" w:ascii="微软雅黑" w:hAnsi="微软雅黑" w:eastAsia="微软雅黑" w:cs="微软雅黑"/>
          <w:spacing w:val="4"/>
          <w:sz w:val="24"/>
          <w:szCs w:val="24"/>
          <w:lang w:val="en-US" w:eastAsia="zh-CN"/>
        </w:rPr>
        <w:t>期货合收跌1.2%</w:t>
      </w:r>
      <w:r>
        <w:rPr>
          <w:rFonts w:hint="eastAsia" w:ascii="微软雅黑" w:hAnsi="微软雅黑" w:eastAsia="微软雅黑" w:cs="微软雅黑"/>
          <w:spacing w:val="4"/>
          <w:sz w:val="24"/>
          <w:szCs w:val="24"/>
          <w:lang w:eastAsia="zh-CN"/>
        </w:rPr>
        <w:t>报</w:t>
      </w:r>
      <w:r>
        <w:rPr>
          <w:rFonts w:hint="eastAsia" w:ascii="微软雅黑" w:hAnsi="微软雅黑" w:eastAsia="微软雅黑" w:cs="微软雅黑"/>
          <w:spacing w:val="4"/>
          <w:sz w:val="24"/>
          <w:szCs w:val="24"/>
          <w:lang w:val="en-US" w:eastAsia="zh-CN"/>
        </w:rPr>
        <w:t>18.65</w:t>
      </w:r>
      <w:r>
        <w:rPr>
          <w:rFonts w:hint="eastAsia" w:ascii="微软雅黑" w:hAnsi="微软雅黑" w:eastAsia="微软雅黑" w:cs="微软雅黑"/>
          <w:spacing w:val="4"/>
          <w:sz w:val="24"/>
          <w:szCs w:val="24"/>
          <w:lang w:eastAsia="zh-CN"/>
        </w:rPr>
        <w:t>美分/磅。ICE</w:t>
      </w:r>
      <w:r>
        <w:rPr>
          <w:rFonts w:hint="eastAsia" w:ascii="微软雅黑" w:hAnsi="微软雅黑" w:eastAsia="微软雅黑" w:cs="微软雅黑"/>
          <w:spacing w:val="4"/>
          <w:sz w:val="24"/>
          <w:szCs w:val="24"/>
          <w:lang w:val="en-US" w:eastAsia="zh-CN"/>
        </w:rPr>
        <w:t>7</w:t>
      </w:r>
      <w:r>
        <w:rPr>
          <w:rFonts w:hint="eastAsia" w:ascii="微软雅黑" w:hAnsi="微软雅黑" w:eastAsia="微软雅黑" w:cs="微软雅黑"/>
          <w:spacing w:val="4"/>
          <w:sz w:val="24"/>
          <w:szCs w:val="24"/>
          <w:lang w:eastAsia="zh-CN"/>
        </w:rPr>
        <w:t>月期棉</w:t>
      </w:r>
      <w:r>
        <w:rPr>
          <w:rFonts w:hint="eastAsia" w:ascii="微软雅黑" w:hAnsi="微软雅黑" w:eastAsia="微软雅黑" w:cs="微软雅黑"/>
          <w:spacing w:val="4"/>
          <w:sz w:val="24"/>
          <w:szCs w:val="24"/>
          <w:lang w:val="en-US" w:eastAsia="zh-CN"/>
        </w:rPr>
        <w:t>期货合约收涨1.05%</w:t>
      </w:r>
      <w:r>
        <w:rPr>
          <w:rFonts w:hint="eastAsia" w:ascii="微软雅黑" w:hAnsi="微软雅黑" w:eastAsia="微软雅黑" w:cs="微软雅黑"/>
          <w:spacing w:val="4"/>
          <w:sz w:val="24"/>
          <w:szCs w:val="24"/>
          <w:lang w:eastAsia="zh-CN"/>
        </w:rPr>
        <w:t>报</w:t>
      </w:r>
      <w:r>
        <w:rPr>
          <w:rFonts w:hint="eastAsia" w:ascii="微软雅黑" w:hAnsi="微软雅黑" w:eastAsia="微软雅黑" w:cs="微软雅黑"/>
          <w:spacing w:val="4"/>
          <w:sz w:val="24"/>
          <w:szCs w:val="24"/>
          <w:lang w:val="en-US" w:eastAsia="zh-CN"/>
        </w:rPr>
        <w:t>74.51美</w:t>
      </w:r>
      <w:r>
        <w:rPr>
          <w:rFonts w:hint="eastAsia" w:ascii="微软雅黑" w:hAnsi="微软雅黑" w:eastAsia="微软雅黑" w:cs="微软雅黑"/>
          <w:spacing w:val="4"/>
          <w:sz w:val="24"/>
          <w:szCs w:val="24"/>
          <w:lang w:eastAsia="zh-CN"/>
        </w:rPr>
        <w:t>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208395" cy="4008755"/>
            <wp:effectExtent l="0" t="0" r="1905" b="1079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2"/>
                    <a:stretch>
                      <a:fillRect/>
                    </a:stretch>
                  </pic:blipFill>
                  <pic:spPr>
                    <a:xfrm>
                      <a:off x="0" y="0"/>
                      <a:ext cx="6208395" cy="4008755"/>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3"/>
        <w:spacing w:line="282" w:lineRule="auto"/>
      </w:pPr>
    </w:p>
    <w:p>
      <w:pPr>
        <w:pStyle w:val="3"/>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【美国4月CPI同比上涨3.4%，符合预期，前值3.5%，环比上涨0.3%，预期值和前值均为0.4%。4月核心CPI同比上涨3.6%，较前值3.8%下滑0.2个百分点，预期值3.6%；环比上涨0.3%，前值为0.4%。】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【据芝商所利率观察工具（FedWatch Tool）的数据，交易员押注9月降息概率为69.6%，维持利率不变的概率为30.4%。】</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【美国4月零售销售环比持平，预期升0.4%，前值从升0.7%修正为升0.6%；核心零售销售环比升0.2%，预期升0.2%，前值从升1.1%修正为升0.9%。】</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【美国堪萨斯联储表示，年度经济政策研讨会将于8月22日至24日在杰克逊霍尔举行，主题是“重新评估货币政策的有效性和传导性”。】</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【美国5月纽约联储制造业指数下跌至-15.6，连续第六个月萎缩，远不及市场预期的回升至-10，投入和销售价格指标略有放缓。】</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【美国5月NAHB房产市场指数下滑6个点至45，为2023年11月以来首次下滑，因抵押贷款利率上升打击建筑商信心。】</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【欧洲央行管委穆勒表示，6月降息的可能性很大。欧洲央行管委诺特表示，下一次政策会议可能是开始降息的正确时机。】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【欧元区第一季度GDP终值同比升0.4%，环比升0.3%，均符合预期。欧元区3月工业产出同比降1%，环比升0.6%，均好于预期。欧元区第一季度季调后就业人数初值同比升1%，预期升1%，前值升1.2%。】</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【韩国4月份信息和通信技术（ICT）产品出口同比飙升33.8%，至170.8亿美元，连续第六个月增长。芯片出口同比增长53.9%，达到99.6亿美元，连续第六个月实现两位数增长。】</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3"/>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2"/>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2"/>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2"/>
              <w:spacing w:before="228"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16</w:t>
            </w:r>
          </w:p>
        </w:tc>
        <w:tc>
          <w:tcPr>
            <w:tcW w:w="1143" w:type="dxa"/>
            <w:vAlign w:val="top"/>
          </w:tcPr>
          <w:p>
            <w:pPr>
              <w:pStyle w:val="12"/>
              <w:spacing w:before="243" w:line="172" w:lineRule="auto"/>
              <w:ind w:left="94" w:leftChars="0"/>
              <w:jc w:val="left"/>
              <w:rPr>
                <w:rFonts w:hint="default" w:eastAsia="微软雅黑"/>
                <w:sz w:val="19"/>
                <w:szCs w:val="19"/>
                <w:lang w:val="en-US" w:eastAsia="zh-CN"/>
              </w:rPr>
            </w:pPr>
            <w:r>
              <w:rPr>
                <w:rFonts w:hint="eastAsia"/>
                <w:b/>
                <w:bCs/>
                <w:spacing w:val="5"/>
                <w:sz w:val="19"/>
                <w:szCs w:val="19"/>
                <w:lang w:val="en-US" w:eastAsia="zh-CN"/>
              </w:rPr>
              <w:t>09：30</w:t>
            </w:r>
          </w:p>
        </w:tc>
        <w:tc>
          <w:tcPr>
            <w:tcW w:w="6679" w:type="dxa"/>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澳大利亚4月失业率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2"/>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16</w:t>
            </w:r>
          </w:p>
        </w:tc>
        <w:tc>
          <w:tcPr>
            <w:tcW w:w="1143" w:type="dxa"/>
            <w:shd w:val="clear" w:color="auto" w:fill="D3EAFF"/>
            <w:vAlign w:val="top"/>
          </w:tcPr>
          <w:p>
            <w:pPr>
              <w:pStyle w:val="12"/>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en-US" w:bidi="ar-SA"/>
              </w:rPr>
            </w:pPr>
            <w:r>
              <w:rPr>
                <w:rFonts w:hint="eastAsia"/>
                <w:b/>
                <w:bCs/>
                <w:spacing w:val="5"/>
                <w:sz w:val="19"/>
                <w:szCs w:val="19"/>
                <w:lang w:val="en-US" w:eastAsia="zh-CN"/>
              </w:rPr>
              <w:t>12：30</w:t>
            </w:r>
          </w:p>
        </w:tc>
        <w:tc>
          <w:tcPr>
            <w:tcW w:w="6679" w:type="dxa"/>
            <w:shd w:val="clear" w:color="auto" w:fill="D3EAFF"/>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日本3月工业产出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2"/>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16</w:t>
            </w:r>
          </w:p>
        </w:tc>
        <w:tc>
          <w:tcPr>
            <w:tcW w:w="1143" w:type="dxa"/>
            <w:vAlign w:val="top"/>
          </w:tcPr>
          <w:p>
            <w:pPr>
              <w:pStyle w:val="12"/>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20：30</w:t>
            </w:r>
          </w:p>
        </w:tc>
        <w:tc>
          <w:tcPr>
            <w:tcW w:w="6679" w:type="dxa"/>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美国4月进口价格指数</w:t>
            </w:r>
            <w:r>
              <w:rPr>
                <w:rFonts w:hint="eastAsia"/>
                <w:sz w:val="19"/>
                <w:szCs w:val="19"/>
                <w:lang w:val="en-US" w:eastAsia="zh-CN"/>
              </w:rPr>
              <w:t>、4月营建许可</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D3EAFF"/>
            <w:vAlign w:val="top"/>
          </w:tcPr>
          <w:p>
            <w:pPr>
              <w:pStyle w:val="12"/>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16</w:t>
            </w:r>
          </w:p>
        </w:tc>
        <w:tc>
          <w:tcPr>
            <w:tcW w:w="1143" w:type="dxa"/>
            <w:shd w:val="clear" w:color="auto" w:fill="D3EAFF"/>
            <w:vAlign w:val="top"/>
          </w:tcPr>
          <w:p>
            <w:pPr>
              <w:pStyle w:val="12"/>
              <w:spacing w:before="245" w:line="172" w:lineRule="auto"/>
              <w:ind w:left="101" w:leftChars="0"/>
              <w:jc w:val="left"/>
              <w:rPr>
                <w:rFonts w:hint="eastAsia"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20：30</w:t>
            </w:r>
          </w:p>
        </w:tc>
        <w:tc>
          <w:tcPr>
            <w:tcW w:w="6679" w:type="dxa"/>
            <w:shd w:val="clear" w:color="auto" w:fill="D3EAFF"/>
            <w:vAlign w:val="top"/>
          </w:tcPr>
          <w:p>
            <w:pPr>
              <w:pStyle w:val="12"/>
              <w:spacing w:before="224" w:line="179" w:lineRule="auto"/>
              <w:jc w:val="center"/>
              <w:rPr>
                <w:rFonts w:hint="eastAsia" w:eastAsia="微软雅黑"/>
                <w:sz w:val="19"/>
                <w:szCs w:val="19"/>
                <w:lang w:val="en-US" w:eastAsia="zh-CN"/>
              </w:rPr>
            </w:pPr>
            <w:r>
              <w:rPr>
                <w:rFonts w:hint="eastAsia" w:eastAsia="微软雅黑"/>
                <w:sz w:val="19"/>
                <w:szCs w:val="19"/>
                <w:lang w:val="en-US" w:eastAsia="zh-CN"/>
              </w:rPr>
              <w:t>美国5月4日当周续请失业救济人数</w:t>
            </w:r>
            <w:r>
              <w:rPr>
                <w:rFonts w:hint="eastAsia"/>
                <w:sz w:val="19"/>
                <w:szCs w:val="19"/>
                <w:lang w:val="en-US" w:eastAsia="zh-CN"/>
              </w:rPr>
              <w:t>、5月11日当周首次申请失业救济人数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FFFFFF" w:themeFill="background1"/>
            <w:vAlign w:val="top"/>
          </w:tcPr>
          <w:p>
            <w:pPr>
              <w:pStyle w:val="12"/>
              <w:spacing w:before="230"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16</w:t>
            </w:r>
          </w:p>
        </w:tc>
        <w:tc>
          <w:tcPr>
            <w:tcW w:w="1143" w:type="dxa"/>
            <w:shd w:val="clear" w:color="auto" w:fill="FFFFFF" w:themeFill="background1"/>
            <w:vAlign w:val="top"/>
          </w:tcPr>
          <w:p>
            <w:pPr>
              <w:pStyle w:val="12"/>
              <w:spacing w:before="245" w:line="172" w:lineRule="auto"/>
              <w:ind w:left="101" w:leftChars="0"/>
              <w:jc w:val="left"/>
              <w:rPr>
                <w:rFonts w:hint="default" w:ascii="微软雅黑" w:hAnsi="微软雅黑" w:eastAsia="微软雅黑" w:cs="微软雅黑"/>
                <w:snapToGrid w:val="0"/>
                <w:color w:val="000000"/>
                <w:kern w:val="0"/>
                <w:sz w:val="19"/>
                <w:szCs w:val="19"/>
                <w:lang w:val="en-US" w:eastAsia="zh-CN" w:bidi="ar-SA"/>
              </w:rPr>
            </w:pPr>
            <w:r>
              <w:rPr>
                <w:rFonts w:hint="eastAsia"/>
                <w:b/>
                <w:bCs/>
                <w:spacing w:val="5"/>
                <w:sz w:val="19"/>
                <w:szCs w:val="19"/>
                <w:lang w:val="en-US" w:eastAsia="zh-CN"/>
              </w:rPr>
              <w:t>21：15</w:t>
            </w:r>
          </w:p>
        </w:tc>
        <w:tc>
          <w:tcPr>
            <w:tcW w:w="6679" w:type="dxa"/>
            <w:shd w:val="clear" w:color="auto" w:fill="FFFFFF" w:themeFill="background1"/>
            <w:vAlign w:val="top"/>
          </w:tcPr>
          <w:p>
            <w:pPr>
              <w:pStyle w:val="12"/>
              <w:spacing w:before="224" w:line="179" w:lineRule="auto"/>
              <w:jc w:val="center"/>
              <w:rPr>
                <w:rFonts w:hint="eastAsia" w:eastAsia="微软雅黑"/>
                <w:sz w:val="19"/>
                <w:szCs w:val="19"/>
                <w:lang w:val="en-US" w:eastAsia="zh-CN"/>
              </w:rPr>
            </w:pPr>
            <w:r>
              <w:rPr>
                <w:rFonts w:hint="eastAsia" w:eastAsia="微软雅黑"/>
                <w:sz w:val="19"/>
                <w:szCs w:val="19"/>
                <w:lang w:val="en-US" w:eastAsia="zh-CN"/>
              </w:rPr>
              <w:t>美国4月制造业产出</w:t>
            </w:r>
            <w:r>
              <w:rPr>
                <w:rFonts w:hint="eastAsia"/>
                <w:sz w:val="19"/>
                <w:szCs w:val="19"/>
                <w:lang w:val="en-US" w:eastAsia="zh-CN"/>
              </w:rPr>
              <w:t>、</w:t>
            </w:r>
            <w:r>
              <w:rPr>
                <w:rFonts w:hint="eastAsia" w:eastAsia="微软雅黑"/>
                <w:sz w:val="19"/>
                <w:szCs w:val="19"/>
                <w:lang w:val="en-US" w:eastAsia="zh-CN"/>
              </w:rPr>
              <w:t>4月工业产出</w:t>
            </w:r>
          </w:p>
        </w:tc>
      </w:tr>
    </w:tbl>
    <w:p>
      <w:pPr>
        <w:spacing w:before="120" w:line="190" w:lineRule="auto"/>
        <w:rPr>
          <w:rFonts w:hint="eastAsia" w:ascii="微软雅黑" w:hAnsi="微软雅黑" w:eastAsia="微软雅黑" w:cs="微软雅黑"/>
          <w:color w:val="036EB8"/>
          <w:position w:val="-4"/>
          <w:sz w:val="28"/>
          <w:szCs w:val="28"/>
          <w:lang w:val="en-US" w:eastAsia="zh-CN"/>
        </w:rPr>
      </w:pPr>
      <w:r>
        <w:rPr>
          <w:rFonts w:hint="eastAsia" w:ascii="微软雅黑" w:hAnsi="微软雅黑" w:eastAsia="微软雅黑" w:cs="微软雅黑"/>
          <w:color w:val="036EB8"/>
          <w:position w:val="-4"/>
          <w:sz w:val="28"/>
          <w:szCs w:val="28"/>
          <w:lang w:val="en-US" w:eastAsia="zh-CN"/>
        </w:rPr>
        <w:t xml:space="preserve"> </w:t>
      </w: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周四，美元指数跌0.67%报104.30，非美货币普遍上涨，欧元兑美元涨0.6%报1.0884，英镑兑美元涨0.74%报1.2684，澳元兑美元涨1%报0.6693，美元兑日元跌0.98%报154.88。美国4月CPI同比增长3.4%，符合市场预期，前值为3.5%；环比增长0.3%，预期和前值均为0.4%。4月核心CPI同比降至3.6%，为2021年4月以来最低；核心CPI环比增速从3月份的0.4%下降至0.3%，为6个月来首次下降，符合市场预期。除此之外，美国4月零售销售环比意外持平，此前市场预期为增长0.4%，前值则由0.7%修正为0.6%。整体通胀水平及零售数据显示美国消费需求或逐步走弱，美联储为防止后继经济超预期走弱或提前降息，市场或持续下修年内利率预期，美元指数或相对承压。</w:t>
      </w:r>
    </w:p>
    <w:p>
      <w:pPr>
        <w:spacing w:before="235" w:line="176"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both"/>
      </w:pPr>
      <w:r>
        <w:rPr>
          <w:rFonts w:hint="eastAsia" w:ascii="仿宋" w:hAnsi="仿宋" w:eastAsia="仿宋" w:cs="仿宋"/>
          <w:b w:val="0"/>
          <w:bCs w:val="0"/>
          <w:sz w:val="24"/>
          <w:szCs w:val="24"/>
          <w:lang w:eastAsia="zh-CN"/>
        </w:rPr>
        <w:drawing>
          <wp:inline distT="0" distB="0" distL="114300" distR="114300">
            <wp:extent cx="6068060" cy="2240915"/>
            <wp:effectExtent l="0" t="0" r="8890" b="6985"/>
            <wp:docPr id="20" name="Picture 3" descr="Screen Shot 2024-05-16 at 8.08.45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Screen Shot 2024-05-16 at 8.08.45 AM"/>
                    <pic:cNvPicPr>
                      <a:picLocks noChangeAspect="1"/>
                    </pic:cNvPicPr>
                  </pic:nvPicPr>
                  <pic:blipFill>
                    <a:blip r:embed="rId13"/>
                    <a:stretch>
                      <a:fillRect/>
                    </a:stretch>
                  </pic:blipFill>
                  <pic:spPr>
                    <a:xfrm>
                      <a:off x="0" y="0"/>
                      <a:ext cx="6068060" cy="224091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before="103" w:line="256" w:lineRule="auto"/>
        <w:ind w:left="3" w:right="743" w:firstLine="535"/>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截至5月16日，标普500指数收涨1.17%至5308.15；迷你标普500主力合约收涨1.16%至5330.25点。美股周三收高，三大股指均创盘中与收盘历史新高。道指首次收在39900点之上，逼近40000点大关。标普500指数首次突破5300点关口。美国4月CPI报告显示通胀降温，使市场预期美联储将在2024年加快降息步伐。美国4月零售销售明显放缓。策略上，短线低多为主。</w:t>
      </w: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7"/>
          <w:sz w:val="21"/>
          <w:szCs w:val="21"/>
        </w:rPr>
      </w:pPr>
    </w:p>
    <w:p>
      <w:pPr>
        <w:spacing w:before="103" w:line="256" w:lineRule="auto"/>
        <w:ind w:right="743"/>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both"/>
        <w:rPr>
          <w:rFonts w:ascii="新宋体" w:hAnsi="新宋体" w:eastAsia="新宋体"/>
          <w:b/>
        </w:rPr>
      </w:pPr>
      <w:r>
        <w:rPr>
          <w:rFonts w:ascii="新宋体" w:hAnsi="新宋体" w:eastAsia="新宋体"/>
          <w:b/>
        </w:rPr>
        <w:drawing>
          <wp:inline distT="0" distB="0" distL="0" distR="0">
            <wp:extent cx="5960110" cy="2723515"/>
            <wp:effectExtent l="0" t="0" r="254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5960110" cy="272351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before="103" w:line="256" w:lineRule="auto"/>
        <w:ind w:left="3" w:right="743" w:firstLine="535"/>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12"/>
          <w:sz w:val="24"/>
          <w:szCs w:val="24"/>
        </w:rPr>
        <w:t>截至5月15日，富时中国A50指数收跌0.56%至12532.82点；新交所富时A50期指主力合约收跌0.56%至12561点。美国对华新能源汽车征收关税，一定程度上对市场近期情绪形成影响。超长期国债部署落地，后续或有降准降息配套货币政策落地缓释资金抽取压力，需要注意到的是，4月金融数据异动，货币政策一季度执行报告防空转与当前市场预期形成矛盾，降准操作或优先于降息操作，针对股市而言，把握预期提前的机会。策略上，短线逢低做多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both"/>
        <w:rPr>
          <w:rFonts w:ascii="新宋体" w:hAnsi="新宋体" w:eastAsia="新宋体"/>
        </w:rPr>
      </w:pPr>
      <w:r>
        <w:rPr>
          <w:rFonts w:ascii="新宋体" w:hAnsi="新宋体" w:eastAsia="新宋体"/>
        </w:rPr>
        <w:drawing>
          <wp:inline distT="0" distB="0" distL="0" distR="0">
            <wp:extent cx="5902325" cy="2442845"/>
            <wp:effectExtent l="0" t="0" r="3175" b="146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5902325" cy="244284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before="103" w:line="256" w:lineRule="auto"/>
        <w:ind w:right="743" w:firstLine="528" w:firstLineChars="200"/>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12"/>
          <w:sz w:val="24"/>
          <w:szCs w:val="24"/>
          <w:lang w:val="en-US" w:eastAsia="zh-CN"/>
        </w:rPr>
        <w:t>隔夜COMEX铜先涨后跌，报收4.924美元/磅，涨跌幅+0.59%。国际方面，美国4月CPI数据显示通胀恢复走低趋势以及上月零售销售意外持平，恢复了市场对美联储将于9月降息的信心。芝加哥联储主席古尔斯比表示，需要几个月良好的通胀数据才能满意，因此后续跟踪通胀是否持续回落将是关键。国内方面，商务部办公厅、财政部办公厅联合印发通知提出，统筹用好县域商业建设行动相关资金，聚焦打通废旧家电家具回收堵点，支持以县城、乡镇为重点，改造提升家电家具回收等服务网点，畅通家电更新消费循环。库存方面，截至5月15日，LME铜库存为104625吨，环比-125吨；COMEX铜库存20723短吨，环比-343短吨；SHFE每日仓单241280吨，环比+5501吨。欧美库存减少，国内库存积累明显。操作上，建议COMEX铜2407合约轻仓震荡偏多交易，注意交易节奏及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both"/>
      </w:pPr>
      <w:r>
        <w:drawing>
          <wp:inline distT="0" distB="0" distL="0" distR="0">
            <wp:extent cx="6169025" cy="2590165"/>
            <wp:effectExtent l="0" t="0" r="317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6169025" cy="259016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before="103" w:line="256" w:lineRule="auto"/>
        <w:ind w:right="743" w:firstLine="528" w:firstLineChars="200"/>
        <w:jc w:val="both"/>
        <w:rPr>
          <w:rFonts w:hint="eastAsia" w:ascii="微软雅黑" w:hAnsi="微软雅黑" w:eastAsia="微软雅黑" w:cs="微软雅黑"/>
          <w:spacing w:val="7"/>
          <w:sz w:val="21"/>
          <w:szCs w:val="21"/>
        </w:rPr>
      </w:pPr>
      <w:r>
        <w:rPr>
          <w:rFonts w:hint="eastAsia" w:ascii="微软雅黑" w:hAnsi="微软雅黑" w:eastAsia="微软雅黑" w:cs="微软雅黑"/>
          <w:spacing w:val="12"/>
          <w:sz w:val="24"/>
          <w:szCs w:val="24"/>
          <w:lang w:val="en-US" w:eastAsia="zh-CN"/>
        </w:rPr>
        <w:t>消息面：美国4月CPI同比增长3.4%，符合市场预期，前值为3.5%；环比增长0.3%，预期和前值均为0.4%。4月核心CPI同比降至3.6%，为2021年4月以来最低；核心CPI环比增速从3月份的0.4%下降至0.3%，为6个月来首次下降，符合市场预期。除此之外，美国4月零售销售环比意外持平，此前市场预期为增长0.4%，前值则由0.7%修正为0.6%。外盘持仓方面：截至4月25日，SPDR Gold Trust黄金ETF持仓量为833.36吨，较上一交易日增加1.44吨。整体通胀水平及零售数据显示美国消费需求或逐步走弱，美联储为防止后继经济超预期走弱或提前降息，市场或持续下修年内利率预期，美元指数及美债收益率或相对承压，贵金属价格或持续得到提振。</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rPr>
          <w:rFonts w:hint="eastAsia" w:eastAsiaTheme="minorEastAsia"/>
          <w:lang w:eastAsia="zh-CN"/>
        </w:rPr>
        <w:drawing>
          <wp:inline distT="0" distB="0" distL="114300" distR="114300">
            <wp:extent cx="5881370" cy="2340610"/>
            <wp:effectExtent l="0" t="0" r="5080" b="2540"/>
            <wp:docPr id="22" name="Picture 4" descr="Screen Shot 2024-05-16 at 8.10.11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descr="Screen Shot 2024-05-16 at 8.10.11 AM"/>
                    <pic:cNvPicPr>
                      <a:picLocks noChangeAspect="1"/>
                    </pic:cNvPicPr>
                  </pic:nvPicPr>
                  <pic:blipFill>
                    <a:blip r:embed="rId17"/>
                    <a:stretch>
                      <a:fillRect/>
                    </a:stretch>
                  </pic:blipFill>
                  <pic:spPr>
                    <a:xfrm>
                      <a:off x="0" y="0"/>
                      <a:ext cx="5881370" cy="2340610"/>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before="103" w:line="256" w:lineRule="auto"/>
        <w:ind w:right="743" w:firstLine="528" w:firstLineChars="200"/>
        <w:jc w:val="both"/>
        <w:rPr>
          <w:rFonts w:hint="default" w:ascii="微软雅黑" w:hAnsi="微软雅黑" w:eastAsia="微软雅黑" w:cs="微软雅黑"/>
          <w:spacing w:val="12"/>
          <w:sz w:val="24"/>
          <w:szCs w:val="24"/>
          <w:lang w:val="en-US" w:eastAsia="zh-CN"/>
        </w:rPr>
      </w:pPr>
      <w:r>
        <w:rPr>
          <w:rFonts w:hint="default" w:ascii="微软雅黑" w:hAnsi="微软雅黑" w:eastAsia="微软雅黑" w:cs="微软雅黑"/>
          <w:spacing w:val="12"/>
          <w:sz w:val="24"/>
          <w:szCs w:val="24"/>
          <w:lang w:val="en-US" w:eastAsia="zh-CN"/>
        </w:rPr>
        <w:t>夜盘国际原油市场探低回升，布伦特原油主力合约收盘价报82.90美元/桶，涨幅为0.63%；美轻质原油连续合约收盘价报78.81元/桶，涨幅1.01%。美国4月PPI环比增速高于预期，市场削减对美联储9月降息押注，美元指数小幅回落。欧佩克联盟产油国将自愿减产措施延长到二季度，沙特将自愿减产100万桶/日，俄罗斯在二季度自愿削减供应47.1万桶/日；以色列继续在拉法展开军事行动，巴以停火协议谈判仍呈僵局；欧佩克联盟可能继续延期减产，加拿大西部山火干扰原油供应，而美联储保持高利率抑制需求前景，短线原油期价呈现震荡。</w:t>
      </w:r>
      <w:bookmarkStart w:id="2" w:name="_GoBack"/>
      <w:bookmarkEnd w:id="2"/>
    </w:p>
    <w:p>
      <w:pPr>
        <w:spacing w:before="103" w:line="256" w:lineRule="auto"/>
        <w:ind w:right="743"/>
        <w:jc w:val="both"/>
      </w:pPr>
      <w:r>
        <w:rPr>
          <w:rFonts w:hint="eastAsia" w:ascii="微软雅黑" w:hAnsi="微软雅黑" w:eastAsia="微软雅黑" w:cs="微软雅黑"/>
          <w:spacing w:val="7"/>
          <w:sz w:val="21"/>
          <w:szCs w:val="21"/>
          <w:lang w:val="en-US" w:eastAsia="zh-CN"/>
        </w:rPr>
        <w:t>图7：原油（WTI）走势图</w:t>
      </w:r>
    </w:p>
    <w:p>
      <w:pPr>
        <w:spacing w:before="103" w:line="256" w:lineRule="auto"/>
        <w:ind w:right="743"/>
        <w:jc w:val="both"/>
        <w:rPr>
          <w:rFonts w:hint="eastAsia"/>
        </w:rPr>
      </w:pPr>
      <w:r>
        <w:drawing>
          <wp:inline distT="0" distB="0" distL="0" distR="0">
            <wp:extent cx="6064885" cy="2117725"/>
            <wp:effectExtent l="0" t="0" r="12065" b="158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6064885" cy="211772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default"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ICE</w:t>
      </w:r>
      <w:bookmarkStart w:id="0" w:name="OLE_LINK3"/>
      <w:bookmarkStart w:id="1" w:name="OLE_LINK4"/>
      <w:r>
        <w:rPr>
          <w:rFonts w:hint="eastAsia" w:ascii="微软雅黑" w:hAnsi="微软雅黑" w:eastAsia="微软雅黑" w:cs="微软雅黑"/>
          <w:b/>
          <w:bCs/>
          <w:spacing w:val="12"/>
          <w:sz w:val="24"/>
          <w:szCs w:val="24"/>
          <w:lang w:val="en-US" w:eastAsia="zh-CN"/>
        </w:rPr>
        <w:t>棉花</w:t>
      </w:r>
    </w:p>
    <w:bookmarkEnd w:id="0"/>
    <w:bookmarkEnd w:id="1"/>
    <w:p>
      <w:pPr>
        <w:spacing w:before="103" w:line="256" w:lineRule="auto"/>
        <w:ind w:right="743" w:firstLine="528" w:firstLineChars="200"/>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洲际交易所(ICE)棉花期货周三上涨，因美元走软及其他品种上涨带来提振。交投最活跃的ICE 7月期棉收涨0.78美分或1.05%，结算价报75.41美分/磅。5月供需报告首次发布对美国及全球2024/25年度作物预测，美国产量预计为1600万包，出口预计为1300万包。不过据美国农业部(USDA)报告显示，2024年4月26日-5月2日，2023/24年度美国陆地棉出口签约量57590吨，较前周和前4周平均水平显着增长；2023/24年度美国陆地棉出口装运量56659吨，较前周增长39%，较前4周平均水平增长2%。当周美国棉花出口装船及签约量环比大增，数据表现强劲，利多棉市。美棉主力价格关注上方压力89.0美分/磅，下方支撑70.0美分/磅。建议7月 ICE 期棉短期偏空思路对待。</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8：ICE棉花</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7"/>
          <w:sz w:val="21"/>
          <w:szCs w:val="21"/>
          <w:lang w:val="zh-CN" w:eastAsia="zh-CN"/>
        </w:rPr>
      </w:pPr>
      <w:r>
        <w:rPr>
          <w:rFonts w:hint="eastAsia"/>
          <w:lang w:val="en-US" w:eastAsia="zh-CN"/>
        </w:rPr>
        <w:drawing>
          <wp:inline distT="0" distB="0" distL="114300" distR="114300">
            <wp:extent cx="5962015" cy="2277110"/>
            <wp:effectExtent l="0" t="0" r="635" b="8890"/>
            <wp:docPr id="15" name="图片 3" descr="QQ截图2024051608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QQ截图20240516080255"/>
                    <pic:cNvPicPr>
                      <a:picLocks noChangeAspect="1"/>
                    </pic:cNvPicPr>
                  </pic:nvPicPr>
                  <pic:blipFill>
                    <a:blip r:embed="rId19"/>
                    <a:stretch>
                      <a:fillRect/>
                    </a:stretch>
                  </pic:blipFill>
                  <pic:spPr>
                    <a:xfrm>
                      <a:off x="0" y="0"/>
                      <a:ext cx="5962015" cy="227711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ICE原糖</w:t>
      </w:r>
    </w:p>
    <w:p>
      <w:pPr>
        <w:spacing w:before="103" w:line="256" w:lineRule="auto"/>
        <w:ind w:right="743" w:firstLine="528" w:firstLineChars="200"/>
        <w:jc w:val="both"/>
        <w:rPr>
          <w:rFonts w:hint="eastAsia" w:ascii="微软雅黑" w:hAnsi="微软雅黑" w:eastAsia="微软雅黑" w:cs="微软雅黑"/>
          <w:spacing w:val="12"/>
          <w:sz w:val="24"/>
          <w:szCs w:val="24"/>
          <w:lang w:val="zh-CN" w:eastAsia="zh-CN"/>
        </w:rPr>
      </w:pPr>
      <w:r>
        <w:rPr>
          <w:rFonts w:hint="eastAsia" w:ascii="微软雅黑" w:hAnsi="微软雅黑" w:eastAsia="微软雅黑" w:cs="微软雅黑"/>
          <w:spacing w:val="12"/>
          <w:sz w:val="24"/>
          <w:szCs w:val="24"/>
          <w:lang w:val="zh-CN" w:eastAsia="zh-CN"/>
        </w:rPr>
        <w:t>洲际期货交易所（ICE）原糖期货周三收跌，受累于巴西中南部地区强劲的生产步伐。交投最活跃的ICE 7月原糖期货合约收盘收跌0.22美分或1.2%，结算价每磅18.65美分。巴西新榨季已经开始压榨，且市场预期仍有增产可能，原糖市场仍缺乏有力支撑。当前市场对主产国糖产量预期出现分歧，担忧巴西糖产量存在不确定，价格有所企稳。巴西对外贸易秘书处公布的出口数据显示，巴西4月前五周出口糖及糖蜜188.92万吨，日均出口量为8.59万吨，较上年4月全月的日均出口量5.4万吨增加59%，巴西糖出口量环比增加，预计4月出口糖量仍较大。美糖主力价格关注上方阻力20.6美分/磅，下方支撑17.5美分/磅。操作上，建议7月 ICE 原糖短期逢高抛空思路对待。</w:t>
      </w:r>
    </w:p>
    <w:p>
      <w:pPr>
        <w:spacing w:before="103" w:line="256" w:lineRule="auto"/>
        <w:ind w:right="743"/>
        <w:jc w:val="both"/>
        <w:rPr>
          <w:rFonts w:ascii="微软雅黑" w:hAnsi="微软雅黑" w:eastAsia="微软雅黑" w:cs="微软雅黑"/>
          <w:color w:val="CE393F"/>
          <w:spacing w:val="8"/>
          <w:position w:val="2"/>
          <w:sz w:val="40"/>
          <w:szCs w:val="40"/>
        </w:rPr>
      </w:pPr>
      <w:r>
        <w:rPr>
          <w:rFonts w:hint="eastAsia" w:ascii="微软雅黑" w:hAnsi="微软雅黑" w:eastAsia="微软雅黑" w:cs="微软雅黑"/>
          <w:spacing w:val="7"/>
          <w:sz w:val="21"/>
          <w:szCs w:val="21"/>
          <w:lang w:val="zh-CN" w:eastAsia="zh-CN"/>
        </w:rPr>
        <w:t>图</w:t>
      </w:r>
      <w:r>
        <w:rPr>
          <w:rFonts w:hint="eastAsia" w:ascii="微软雅黑" w:hAnsi="微软雅黑" w:eastAsia="微软雅黑" w:cs="微软雅黑"/>
          <w:spacing w:val="7"/>
          <w:sz w:val="21"/>
          <w:szCs w:val="21"/>
          <w:lang w:val="en-US" w:eastAsia="zh-CN"/>
        </w:rPr>
        <w:t>9：ICE原糖</w:t>
      </w:r>
      <w:r>
        <w:rPr>
          <w:rFonts w:hint="eastAsia" w:ascii="微软雅黑" w:hAnsi="微软雅黑" w:eastAsia="微软雅黑" w:cs="微软雅黑"/>
          <w:spacing w:val="7"/>
          <w:sz w:val="21"/>
          <w:szCs w:val="21"/>
          <w:lang w:val="zh-CN" w:eastAsia="zh-CN"/>
        </w:rPr>
        <w:t>期货主力合约日走势图</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lang w:val="en-US" w:eastAsia="zh-CN"/>
        </w:rPr>
        <w:drawing>
          <wp:inline distT="0" distB="0" distL="114300" distR="114300">
            <wp:extent cx="6078220" cy="2370455"/>
            <wp:effectExtent l="0" t="0" r="17780" b="10795"/>
            <wp:docPr id="13" name="图片 2" descr="QQ截图2024051608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QQ截图20240516080247"/>
                    <pic:cNvPicPr>
                      <a:picLocks noChangeAspect="1"/>
                    </pic:cNvPicPr>
                  </pic:nvPicPr>
                  <pic:blipFill>
                    <a:blip r:embed="rId20"/>
                    <a:stretch>
                      <a:fillRect/>
                    </a:stretch>
                  </pic:blipFill>
                  <pic:spPr>
                    <a:xfrm>
                      <a:off x="0" y="0"/>
                      <a:ext cx="6078220" cy="237045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color w:val="898989"/>
          <w:spacing w:val="-8"/>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pacing w:val="-8"/>
          <w:sz w:val="18"/>
          <w:szCs w:val="18"/>
        </w:rPr>
        <w:t>则。</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line="189" w:lineRule="auto"/>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p>
    <w:p>
      <w:pPr>
        <w:spacing w:before="34" w:line="569" w:lineRule="exact"/>
        <w:ind w:firstLine="6421"/>
      </w:pPr>
    </w:p>
    <w:p>
      <w:pPr>
        <w:spacing w:before="34" w:line="569" w:lineRule="exact"/>
        <w:ind w:firstLine="6421"/>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3"/>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amp;quot">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5"/>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3"/>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s>
  <w:rsids>
    <w:rsidRoot w:val="59DE62A0"/>
    <w:rsid w:val="000A785F"/>
    <w:rsid w:val="000C024B"/>
    <w:rsid w:val="001431C1"/>
    <w:rsid w:val="0018099E"/>
    <w:rsid w:val="00181D4B"/>
    <w:rsid w:val="004E0863"/>
    <w:rsid w:val="004E69F8"/>
    <w:rsid w:val="00593490"/>
    <w:rsid w:val="005F4A09"/>
    <w:rsid w:val="00727595"/>
    <w:rsid w:val="008D4A14"/>
    <w:rsid w:val="00920750"/>
    <w:rsid w:val="00984CAE"/>
    <w:rsid w:val="009D033E"/>
    <w:rsid w:val="00A42231"/>
    <w:rsid w:val="00A437D3"/>
    <w:rsid w:val="00BC57CD"/>
    <w:rsid w:val="00BF6C5D"/>
    <w:rsid w:val="00C177F8"/>
    <w:rsid w:val="00CA7EEA"/>
    <w:rsid w:val="00CE6532"/>
    <w:rsid w:val="00CE72AE"/>
    <w:rsid w:val="00D14CB7"/>
    <w:rsid w:val="00D348C5"/>
    <w:rsid w:val="00DC19CB"/>
    <w:rsid w:val="00E16FE2"/>
    <w:rsid w:val="00E442E6"/>
    <w:rsid w:val="00E64644"/>
    <w:rsid w:val="010235FB"/>
    <w:rsid w:val="011C626C"/>
    <w:rsid w:val="011E3D92"/>
    <w:rsid w:val="013B2B96"/>
    <w:rsid w:val="013C05EC"/>
    <w:rsid w:val="0140116F"/>
    <w:rsid w:val="014337F8"/>
    <w:rsid w:val="014541E2"/>
    <w:rsid w:val="01486DF0"/>
    <w:rsid w:val="01761E20"/>
    <w:rsid w:val="017B7436"/>
    <w:rsid w:val="018F67B1"/>
    <w:rsid w:val="019734A3"/>
    <w:rsid w:val="019E3125"/>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659D3"/>
    <w:rsid w:val="0321400D"/>
    <w:rsid w:val="032338E1"/>
    <w:rsid w:val="03367AB9"/>
    <w:rsid w:val="033C0E47"/>
    <w:rsid w:val="0345193D"/>
    <w:rsid w:val="0350044F"/>
    <w:rsid w:val="035148F2"/>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2799B"/>
    <w:rsid w:val="04040FB1"/>
    <w:rsid w:val="0405375F"/>
    <w:rsid w:val="04145465"/>
    <w:rsid w:val="04253689"/>
    <w:rsid w:val="042751F8"/>
    <w:rsid w:val="043B3CCE"/>
    <w:rsid w:val="04405814"/>
    <w:rsid w:val="044B2E3C"/>
    <w:rsid w:val="044F0706"/>
    <w:rsid w:val="045A6DD9"/>
    <w:rsid w:val="04620439"/>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173E06"/>
    <w:rsid w:val="051A6F66"/>
    <w:rsid w:val="053610E1"/>
    <w:rsid w:val="053D4696"/>
    <w:rsid w:val="05450282"/>
    <w:rsid w:val="054933A7"/>
    <w:rsid w:val="055F4D69"/>
    <w:rsid w:val="056120A1"/>
    <w:rsid w:val="05681A7F"/>
    <w:rsid w:val="056D52E8"/>
    <w:rsid w:val="05701AD8"/>
    <w:rsid w:val="05816FE5"/>
    <w:rsid w:val="058F34B0"/>
    <w:rsid w:val="059D2DAA"/>
    <w:rsid w:val="05AC4062"/>
    <w:rsid w:val="05C869C2"/>
    <w:rsid w:val="061708BA"/>
    <w:rsid w:val="06205AC4"/>
    <w:rsid w:val="06255E8C"/>
    <w:rsid w:val="065C36FD"/>
    <w:rsid w:val="06640499"/>
    <w:rsid w:val="06652463"/>
    <w:rsid w:val="066D7B6C"/>
    <w:rsid w:val="06874187"/>
    <w:rsid w:val="06920D0C"/>
    <w:rsid w:val="069A210C"/>
    <w:rsid w:val="06AC1E40"/>
    <w:rsid w:val="06BD404D"/>
    <w:rsid w:val="06D40C03"/>
    <w:rsid w:val="06D860E7"/>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D9719C"/>
    <w:rsid w:val="07DD49A7"/>
    <w:rsid w:val="07EB25E1"/>
    <w:rsid w:val="07F5280A"/>
    <w:rsid w:val="07F67816"/>
    <w:rsid w:val="080F6B2A"/>
    <w:rsid w:val="0828199A"/>
    <w:rsid w:val="082F186D"/>
    <w:rsid w:val="0853247A"/>
    <w:rsid w:val="08533723"/>
    <w:rsid w:val="08534C69"/>
    <w:rsid w:val="085B34CE"/>
    <w:rsid w:val="085E53BC"/>
    <w:rsid w:val="086115F9"/>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F1E8A"/>
    <w:rsid w:val="09CC4C1C"/>
    <w:rsid w:val="09D26E62"/>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D5FCD"/>
    <w:rsid w:val="0A823CEB"/>
    <w:rsid w:val="0A8F399C"/>
    <w:rsid w:val="0A943317"/>
    <w:rsid w:val="0A9A6B7F"/>
    <w:rsid w:val="0A9B3267"/>
    <w:rsid w:val="0A9C0D2E"/>
    <w:rsid w:val="0AA74DF8"/>
    <w:rsid w:val="0AA82AC5"/>
    <w:rsid w:val="0ABA3A59"/>
    <w:rsid w:val="0ABF0394"/>
    <w:rsid w:val="0AC0235E"/>
    <w:rsid w:val="0AC75B18"/>
    <w:rsid w:val="0AC91212"/>
    <w:rsid w:val="0AF44EDF"/>
    <w:rsid w:val="0AF73FD1"/>
    <w:rsid w:val="0AFB0486"/>
    <w:rsid w:val="0AFB3396"/>
    <w:rsid w:val="0AFD2C6A"/>
    <w:rsid w:val="0B02681E"/>
    <w:rsid w:val="0B0B2B07"/>
    <w:rsid w:val="0B0C10FF"/>
    <w:rsid w:val="0B116814"/>
    <w:rsid w:val="0B156206"/>
    <w:rsid w:val="0B2822B8"/>
    <w:rsid w:val="0B310B66"/>
    <w:rsid w:val="0B3F14D4"/>
    <w:rsid w:val="0B3F6A8F"/>
    <w:rsid w:val="0B6149B5"/>
    <w:rsid w:val="0B696551"/>
    <w:rsid w:val="0B775713"/>
    <w:rsid w:val="0B7C44D7"/>
    <w:rsid w:val="0B837613"/>
    <w:rsid w:val="0B9659E0"/>
    <w:rsid w:val="0BA87886"/>
    <w:rsid w:val="0BB06CD5"/>
    <w:rsid w:val="0BF40511"/>
    <w:rsid w:val="0C023101"/>
    <w:rsid w:val="0C044B13"/>
    <w:rsid w:val="0C16030A"/>
    <w:rsid w:val="0C1618B2"/>
    <w:rsid w:val="0C183A08"/>
    <w:rsid w:val="0C1E10EA"/>
    <w:rsid w:val="0C430B50"/>
    <w:rsid w:val="0C5D60B6"/>
    <w:rsid w:val="0C62339E"/>
    <w:rsid w:val="0C6311F3"/>
    <w:rsid w:val="0C7358DA"/>
    <w:rsid w:val="0C7426EC"/>
    <w:rsid w:val="0C801BEE"/>
    <w:rsid w:val="0C874AB1"/>
    <w:rsid w:val="0C8A677F"/>
    <w:rsid w:val="0C956C25"/>
    <w:rsid w:val="0CA53877"/>
    <w:rsid w:val="0CA912FB"/>
    <w:rsid w:val="0CD12600"/>
    <w:rsid w:val="0CE00A95"/>
    <w:rsid w:val="0CE7389C"/>
    <w:rsid w:val="0CF25247"/>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A7292"/>
    <w:rsid w:val="0DEB161A"/>
    <w:rsid w:val="0DEF3128"/>
    <w:rsid w:val="0DF7787E"/>
    <w:rsid w:val="0E211365"/>
    <w:rsid w:val="0E2B5D40"/>
    <w:rsid w:val="0E304A35"/>
    <w:rsid w:val="0E3A5F83"/>
    <w:rsid w:val="0E4F7C80"/>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65BE6"/>
    <w:rsid w:val="0ED85EC8"/>
    <w:rsid w:val="0EDB7766"/>
    <w:rsid w:val="0EF357FE"/>
    <w:rsid w:val="0F0E09E8"/>
    <w:rsid w:val="0F1B4006"/>
    <w:rsid w:val="0F3B0205"/>
    <w:rsid w:val="0F425337"/>
    <w:rsid w:val="0F465226"/>
    <w:rsid w:val="0F53554E"/>
    <w:rsid w:val="0F83743D"/>
    <w:rsid w:val="0F8B4EFC"/>
    <w:rsid w:val="0FA22032"/>
    <w:rsid w:val="0FA25CB6"/>
    <w:rsid w:val="0FB51D65"/>
    <w:rsid w:val="0FB7564B"/>
    <w:rsid w:val="0FC4644C"/>
    <w:rsid w:val="0FCF7FFC"/>
    <w:rsid w:val="0FD85A54"/>
    <w:rsid w:val="0FDC5544"/>
    <w:rsid w:val="0FE10DAC"/>
    <w:rsid w:val="0FFA2AB6"/>
    <w:rsid w:val="10090303"/>
    <w:rsid w:val="100D7DF3"/>
    <w:rsid w:val="101E5B5C"/>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47B9"/>
    <w:rsid w:val="112C1D96"/>
    <w:rsid w:val="112D2A00"/>
    <w:rsid w:val="115B7EC7"/>
    <w:rsid w:val="115D0CDB"/>
    <w:rsid w:val="115F642C"/>
    <w:rsid w:val="11650E0F"/>
    <w:rsid w:val="118367EC"/>
    <w:rsid w:val="119A2EC2"/>
    <w:rsid w:val="11B0572B"/>
    <w:rsid w:val="11C75D80"/>
    <w:rsid w:val="11DF575B"/>
    <w:rsid w:val="12011292"/>
    <w:rsid w:val="12064AFA"/>
    <w:rsid w:val="120D40DA"/>
    <w:rsid w:val="12241424"/>
    <w:rsid w:val="123A47A4"/>
    <w:rsid w:val="12661A3D"/>
    <w:rsid w:val="127777A6"/>
    <w:rsid w:val="127B416C"/>
    <w:rsid w:val="12837EF9"/>
    <w:rsid w:val="129245E0"/>
    <w:rsid w:val="12AB56A1"/>
    <w:rsid w:val="12B24C82"/>
    <w:rsid w:val="12B72AC8"/>
    <w:rsid w:val="12BB58E4"/>
    <w:rsid w:val="12C14EC5"/>
    <w:rsid w:val="12C53BAB"/>
    <w:rsid w:val="12C56763"/>
    <w:rsid w:val="12D6271E"/>
    <w:rsid w:val="12DD56D0"/>
    <w:rsid w:val="12E453E1"/>
    <w:rsid w:val="130A686C"/>
    <w:rsid w:val="131B748C"/>
    <w:rsid w:val="13392CAD"/>
    <w:rsid w:val="13541895"/>
    <w:rsid w:val="13581385"/>
    <w:rsid w:val="1360023A"/>
    <w:rsid w:val="136F66CF"/>
    <w:rsid w:val="137D0DEC"/>
    <w:rsid w:val="13830281"/>
    <w:rsid w:val="13914897"/>
    <w:rsid w:val="13A33429"/>
    <w:rsid w:val="13AC16D1"/>
    <w:rsid w:val="13AD2810"/>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95475"/>
    <w:rsid w:val="148B7538"/>
    <w:rsid w:val="14914C87"/>
    <w:rsid w:val="14AD6D4E"/>
    <w:rsid w:val="14B24AC5"/>
    <w:rsid w:val="14C111AC"/>
    <w:rsid w:val="14D35F6D"/>
    <w:rsid w:val="14E03753"/>
    <w:rsid w:val="14EB154F"/>
    <w:rsid w:val="14EF7AC7"/>
    <w:rsid w:val="14FE5F5C"/>
    <w:rsid w:val="15035321"/>
    <w:rsid w:val="150A66AF"/>
    <w:rsid w:val="15121673"/>
    <w:rsid w:val="15227E9D"/>
    <w:rsid w:val="15336827"/>
    <w:rsid w:val="153567EB"/>
    <w:rsid w:val="15357EA3"/>
    <w:rsid w:val="1537362A"/>
    <w:rsid w:val="153F7762"/>
    <w:rsid w:val="1546345F"/>
    <w:rsid w:val="154D0C92"/>
    <w:rsid w:val="15595889"/>
    <w:rsid w:val="157A3DE6"/>
    <w:rsid w:val="15A20FDE"/>
    <w:rsid w:val="15AD4515"/>
    <w:rsid w:val="15BD1974"/>
    <w:rsid w:val="15BF56EC"/>
    <w:rsid w:val="15C23767"/>
    <w:rsid w:val="15DC7728"/>
    <w:rsid w:val="15EC4007"/>
    <w:rsid w:val="15ED558A"/>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7A1613"/>
    <w:rsid w:val="167A7865"/>
    <w:rsid w:val="167F4E7B"/>
    <w:rsid w:val="16900E36"/>
    <w:rsid w:val="1697252A"/>
    <w:rsid w:val="169A1CB5"/>
    <w:rsid w:val="169F376F"/>
    <w:rsid w:val="16A86180"/>
    <w:rsid w:val="16AB5CAD"/>
    <w:rsid w:val="16AD19E8"/>
    <w:rsid w:val="16B17A67"/>
    <w:rsid w:val="16BC7E7D"/>
    <w:rsid w:val="16C117E9"/>
    <w:rsid w:val="16C136E5"/>
    <w:rsid w:val="16C3745D"/>
    <w:rsid w:val="16CE195E"/>
    <w:rsid w:val="16E84EEA"/>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D53478"/>
    <w:rsid w:val="18DA6CE0"/>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B80DD0"/>
    <w:rsid w:val="19BF7295"/>
    <w:rsid w:val="19C808E7"/>
    <w:rsid w:val="19C92FDD"/>
    <w:rsid w:val="19D97F87"/>
    <w:rsid w:val="19E37FA1"/>
    <w:rsid w:val="19E576EB"/>
    <w:rsid w:val="19EF40C6"/>
    <w:rsid w:val="19F33BB6"/>
    <w:rsid w:val="1A004525"/>
    <w:rsid w:val="1A1A3838"/>
    <w:rsid w:val="1A2A15A2"/>
    <w:rsid w:val="1A3760C8"/>
    <w:rsid w:val="1A3B37AF"/>
    <w:rsid w:val="1A586B42"/>
    <w:rsid w:val="1A642D06"/>
    <w:rsid w:val="1A6D1DE9"/>
    <w:rsid w:val="1A6F016E"/>
    <w:rsid w:val="1A7F5449"/>
    <w:rsid w:val="1A8C7802"/>
    <w:rsid w:val="1A926B26"/>
    <w:rsid w:val="1A9A6727"/>
    <w:rsid w:val="1AAB623F"/>
    <w:rsid w:val="1AB33345"/>
    <w:rsid w:val="1AC83294"/>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40E30"/>
    <w:rsid w:val="1C847E13"/>
    <w:rsid w:val="1C876837"/>
    <w:rsid w:val="1C8E7BC6"/>
    <w:rsid w:val="1C901219"/>
    <w:rsid w:val="1C9378D2"/>
    <w:rsid w:val="1C9871D4"/>
    <w:rsid w:val="1C9961A4"/>
    <w:rsid w:val="1C9B0EC5"/>
    <w:rsid w:val="1CA32066"/>
    <w:rsid w:val="1CB42B02"/>
    <w:rsid w:val="1CB6536F"/>
    <w:rsid w:val="1CB6711D"/>
    <w:rsid w:val="1CB95D99"/>
    <w:rsid w:val="1CC63804"/>
    <w:rsid w:val="1CDB7F58"/>
    <w:rsid w:val="1CE56411"/>
    <w:rsid w:val="1CEC2B3E"/>
    <w:rsid w:val="1CED39B9"/>
    <w:rsid w:val="1D063C00"/>
    <w:rsid w:val="1D077978"/>
    <w:rsid w:val="1D1522F2"/>
    <w:rsid w:val="1D23360C"/>
    <w:rsid w:val="1D317F46"/>
    <w:rsid w:val="1D3249F5"/>
    <w:rsid w:val="1D5038FF"/>
    <w:rsid w:val="1D5E5FA2"/>
    <w:rsid w:val="1D8A2164"/>
    <w:rsid w:val="1D94745E"/>
    <w:rsid w:val="1D9E0B53"/>
    <w:rsid w:val="1DA358F3"/>
    <w:rsid w:val="1DA8010B"/>
    <w:rsid w:val="1DA87555"/>
    <w:rsid w:val="1DAB47A7"/>
    <w:rsid w:val="1DB70C3A"/>
    <w:rsid w:val="1DD11478"/>
    <w:rsid w:val="1DD62C34"/>
    <w:rsid w:val="1DE026A3"/>
    <w:rsid w:val="1DE877AA"/>
    <w:rsid w:val="1E140822"/>
    <w:rsid w:val="1E181E7C"/>
    <w:rsid w:val="1E1862E1"/>
    <w:rsid w:val="1E1A42FF"/>
    <w:rsid w:val="1E3E4D67"/>
    <w:rsid w:val="1E401394"/>
    <w:rsid w:val="1E827BFE"/>
    <w:rsid w:val="1E854FF8"/>
    <w:rsid w:val="1E983160"/>
    <w:rsid w:val="1E9E60BA"/>
    <w:rsid w:val="1E9F255E"/>
    <w:rsid w:val="1EAB5CA8"/>
    <w:rsid w:val="1ECA0C2F"/>
    <w:rsid w:val="1ECE074D"/>
    <w:rsid w:val="1ED0096A"/>
    <w:rsid w:val="1EDA46D4"/>
    <w:rsid w:val="1F047D4E"/>
    <w:rsid w:val="1F066139"/>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A2CE1"/>
    <w:rsid w:val="210F504D"/>
    <w:rsid w:val="21194443"/>
    <w:rsid w:val="211B39F2"/>
    <w:rsid w:val="213351E0"/>
    <w:rsid w:val="213571AA"/>
    <w:rsid w:val="213836B0"/>
    <w:rsid w:val="213B4094"/>
    <w:rsid w:val="214E7D12"/>
    <w:rsid w:val="214F5414"/>
    <w:rsid w:val="21690C01"/>
    <w:rsid w:val="21791684"/>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4156DA"/>
    <w:rsid w:val="22456F79"/>
    <w:rsid w:val="224C47AB"/>
    <w:rsid w:val="224C6559"/>
    <w:rsid w:val="225243A2"/>
    <w:rsid w:val="22695B2D"/>
    <w:rsid w:val="226D64CF"/>
    <w:rsid w:val="227B0BEC"/>
    <w:rsid w:val="227F2611"/>
    <w:rsid w:val="22916662"/>
    <w:rsid w:val="22937CE6"/>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8717F"/>
    <w:rsid w:val="235F71C6"/>
    <w:rsid w:val="236773C3"/>
    <w:rsid w:val="23694EE9"/>
    <w:rsid w:val="23713D9D"/>
    <w:rsid w:val="237750EB"/>
    <w:rsid w:val="237815D0"/>
    <w:rsid w:val="238179BB"/>
    <w:rsid w:val="238C7853"/>
    <w:rsid w:val="23A26D7D"/>
    <w:rsid w:val="23BA5744"/>
    <w:rsid w:val="23DA7B95"/>
    <w:rsid w:val="23E40A13"/>
    <w:rsid w:val="23F01166"/>
    <w:rsid w:val="23F24EDE"/>
    <w:rsid w:val="23F70746"/>
    <w:rsid w:val="23F82635"/>
    <w:rsid w:val="240B5FA0"/>
    <w:rsid w:val="241F37F9"/>
    <w:rsid w:val="245222E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3F446A"/>
    <w:rsid w:val="28497097"/>
    <w:rsid w:val="284E1834"/>
    <w:rsid w:val="28575C58"/>
    <w:rsid w:val="287265EE"/>
    <w:rsid w:val="2875030A"/>
    <w:rsid w:val="287F4DA2"/>
    <w:rsid w:val="289447B6"/>
    <w:rsid w:val="28C8445F"/>
    <w:rsid w:val="28D01566"/>
    <w:rsid w:val="28D450EA"/>
    <w:rsid w:val="28D5055F"/>
    <w:rsid w:val="28ED2B95"/>
    <w:rsid w:val="28FC39E6"/>
    <w:rsid w:val="29052447"/>
    <w:rsid w:val="29080D00"/>
    <w:rsid w:val="29162311"/>
    <w:rsid w:val="291C5438"/>
    <w:rsid w:val="292A6EC8"/>
    <w:rsid w:val="29314DC9"/>
    <w:rsid w:val="29565F0F"/>
    <w:rsid w:val="29713F9E"/>
    <w:rsid w:val="297457A6"/>
    <w:rsid w:val="29895F83"/>
    <w:rsid w:val="29982084"/>
    <w:rsid w:val="29D80EB5"/>
    <w:rsid w:val="29DF4157"/>
    <w:rsid w:val="29F2084F"/>
    <w:rsid w:val="2A047719"/>
    <w:rsid w:val="2A0C5265"/>
    <w:rsid w:val="2A0E0598"/>
    <w:rsid w:val="2A157B78"/>
    <w:rsid w:val="2A1831C5"/>
    <w:rsid w:val="2A344869"/>
    <w:rsid w:val="2A3B5C65"/>
    <w:rsid w:val="2A471949"/>
    <w:rsid w:val="2A581813"/>
    <w:rsid w:val="2A64640A"/>
    <w:rsid w:val="2A782684"/>
    <w:rsid w:val="2A7D74CC"/>
    <w:rsid w:val="2A89150D"/>
    <w:rsid w:val="2A930039"/>
    <w:rsid w:val="2AA841F2"/>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D0222"/>
    <w:rsid w:val="2BFD08C4"/>
    <w:rsid w:val="2BFD4C22"/>
    <w:rsid w:val="2C083572"/>
    <w:rsid w:val="2C0E487F"/>
    <w:rsid w:val="2C0F5A5F"/>
    <w:rsid w:val="2C4E2ECE"/>
    <w:rsid w:val="2C5030EA"/>
    <w:rsid w:val="2C536973"/>
    <w:rsid w:val="2C5C4DBC"/>
    <w:rsid w:val="2C723060"/>
    <w:rsid w:val="2C725028"/>
    <w:rsid w:val="2C7C5C8D"/>
    <w:rsid w:val="2C815051"/>
    <w:rsid w:val="2C934D84"/>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E5392"/>
    <w:rsid w:val="2D771923"/>
    <w:rsid w:val="2D776454"/>
    <w:rsid w:val="2D7B5F44"/>
    <w:rsid w:val="2D875411"/>
    <w:rsid w:val="2D990AC0"/>
    <w:rsid w:val="2D9B2143"/>
    <w:rsid w:val="2D9E66A8"/>
    <w:rsid w:val="2DA709E8"/>
    <w:rsid w:val="2DA84860"/>
    <w:rsid w:val="2DAF3E40"/>
    <w:rsid w:val="2DC51834"/>
    <w:rsid w:val="2DDD09AD"/>
    <w:rsid w:val="2DDD44E2"/>
    <w:rsid w:val="2DE81100"/>
    <w:rsid w:val="2DEC299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34A16"/>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666780"/>
    <w:rsid w:val="2F7075FF"/>
    <w:rsid w:val="2F725125"/>
    <w:rsid w:val="2F783F8B"/>
    <w:rsid w:val="2F8A06C1"/>
    <w:rsid w:val="2F8C1E45"/>
    <w:rsid w:val="2F9C21A2"/>
    <w:rsid w:val="2FA15A0A"/>
    <w:rsid w:val="2FA63021"/>
    <w:rsid w:val="2FAA2B11"/>
    <w:rsid w:val="2FB614B6"/>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B6B6C"/>
    <w:rsid w:val="3070283C"/>
    <w:rsid w:val="307D6477"/>
    <w:rsid w:val="307F5D4C"/>
    <w:rsid w:val="308528FC"/>
    <w:rsid w:val="3094472C"/>
    <w:rsid w:val="309818CF"/>
    <w:rsid w:val="309A4933"/>
    <w:rsid w:val="30A12166"/>
    <w:rsid w:val="30AE6631"/>
    <w:rsid w:val="30C9346B"/>
    <w:rsid w:val="30E738F1"/>
    <w:rsid w:val="30F32296"/>
    <w:rsid w:val="30F84CE1"/>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C33917"/>
    <w:rsid w:val="31C51E84"/>
    <w:rsid w:val="31CB005B"/>
    <w:rsid w:val="31D644AB"/>
    <w:rsid w:val="31D837D6"/>
    <w:rsid w:val="31E242A6"/>
    <w:rsid w:val="31E247E4"/>
    <w:rsid w:val="31E9393C"/>
    <w:rsid w:val="31FB326A"/>
    <w:rsid w:val="3202374A"/>
    <w:rsid w:val="3216448E"/>
    <w:rsid w:val="32186458"/>
    <w:rsid w:val="322A618B"/>
    <w:rsid w:val="322C0915"/>
    <w:rsid w:val="323E5B9E"/>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F64119"/>
    <w:rsid w:val="33F8661C"/>
    <w:rsid w:val="34003BD4"/>
    <w:rsid w:val="340604EA"/>
    <w:rsid w:val="3416413B"/>
    <w:rsid w:val="341F3A1B"/>
    <w:rsid w:val="342015F4"/>
    <w:rsid w:val="343A1261"/>
    <w:rsid w:val="3454129D"/>
    <w:rsid w:val="34561DF7"/>
    <w:rsid w:val="345968B4"/>
    <w:rsid w:val="347100A1"/>
    <w:rsid w:val="348025C6"/>
    <w:rsid w:val="348558FB"/>
    <w:rsid w:val="3492069F"/>
    <w:rsid w:val="34945433"/>
    <w:rsid w:val="349F4C0E"/>
    <w:rsid w:val="34A2025B"/>
    <w:rsid w:val="34A90E05"/>
    <w:rsid w:val="34C53F49"/>
    <w:rsid w:val="34E940DB"/>
    <w:rsid w:val="34F36F75"/>
    <w:rsid w:val="34F80CDC"/>
    <w:rsid w:val="350C46FB"/>
    <w:rsid w:val="350D601C"/>
    <w:rsid w:val="351A6043"/>
    <w:rsid w:val="35204032"/>
    <w:rsid w:val="352073D1"/>
    <w:rsid w:val="35233101"/>
    <w:rsid w:val="352A25E8"/>
    <w:rsid w:val="35435DE1"/>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311CD"/>
    <w:rsid w:val="360A60B7"/>
    <w:rsid w:val="3628478F"/>
    <w:rsid w:val="36435665"/>
    <w:rsid w:val="36441C39"/>
    <w:rsid w:val="3647730B"/>
    <w:rsid w:val="365D08DD"/>
    <w:rsid w:val="365D5F63"/>
    <w:rsid w:val="367C49A1"/>
    <w:rsid w:val="369C0E0A"/>
    <w:rsid w:val="36B576F9"/>
    <w:rsid w:val="36C06592"/>
    <w:rsid w:val="36C26992"/>
    <w:rsid w:val="36D52B69"/>
    <w:rsid w:val="36D55C7A"/>
    <w:rsid w:val="36D64D97"/>
    <w:rsid w:val="36E6103A"/>
    <w:rsid w:val="36EA0095"/>
    <w:rsid w:val="36EF34FF"/>
    <w:rsid w:val="3710594F"/>
    <w:rsid w:val="37364480"/>
    <w:rsid w:val="373B04F2"/>
    <w:rsid w:val="374B6987"/>
    <w:rsid w:val="37545800"/>
    <w:rsid w:val="375D66BB"/>
    <w:rsid w:val="37677539"/>
    <w:rsid w:val="376B702A"/>
    <w:rsid w:val="376E2791"/>
    <w:rsid w:val="379A346B"/>
    <w:rsid w:val="37C26C87"/>
    <w:rsid w:val="37C329C2"/>
    <w:rsid w:val="37D526F5"/>
    <w:rsid w:val="37D95311"/>
    <w:rsid w:val="37E1553E"/>
    <w:rsid w:val="37F06328"/>
    <w:rsid w:val="38007D90"/>
    <w:rsid w:val="3801529B"/>
    <w:rsid w:val="380C41FD"/>
    <w:rsid w:val="380F3E59"/>
    <w:rsid w:val="381474C6"/>
    <w:rsid w:val="38183E1B"/>
    <w:rsid w:val="38207E14"/>
    <w:rsid w:val="382471D8"/>
    <w:rsid w:val="38295077"/>
    <w:rsid w:val="382B6D50"/>
    <w:rsid w:val="382F0057"/>
    <w:rsid w:val="383C5781"/>
    <w:rsid w:val="384D08D4"/>
    <w:rsid w:val="3851701B"/>
    <w:rsid w:val="38591578"/>
    <w:rsid w:val="38613F89"/>
    <w:rsid w:val="38781A41"/>
    <w:rsid w:val="388D1222"/>
    <w:rsid w:val="3895243A"/>
    <w:rsid w:val="38A10829"/>
    <w:rsid w:val="38B00000"/>
    <w:rsid w:val="38BB18EB"/>
    <w:rsid w:val="38C2047C"/>
    <w:rsid w:val="38D37AC3"/>
    <w:rsid w:val="38E30E42"/>
    <w:rsid w:val="38F66DC7"/>
    <w:rsid w:val="38F92413"/>
    <w:rsid w:val="391060DB"/>
    <w:rsid w:val="39287D16"/>
    <w:rsid w:val="392C04C3"/>
    <w:rsid w:val="39317DFF"/>
    <w:rsid w:val="39377035"/>
    <w:rsid w:val="396C2352"/>
    <w:rsid w:val="39706B79"/>
    <w:rsid w:val="39904B26"/>
    <w:rsid w:val="39A16D33"/>
    <w:rsid w:val="39A409AB"/>
    <w:rsid w:val="39AB195F"/>
    <w:rsid w:val="39D35282"/>
    <w:rsid w:val="39E5380A"/>
    <w:rsid w:val="39F257E0"/>
    <w:rsid w:val="3A1439A9"/>
    <w:rsid w:val="3A2A2737"/>
    <w:rsid w:val="3A2E128F"/>
    <w:rsid w:val="3A357A7E"/>
    <w:rsid w:val="3A3E06F2"/>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755158"/>
    <w:rsid w:val="3B7A3CDF"/>
    <w:rsid w:val="3B7F4E52"/>
    <w:rsid w:val="3B837F8F"/>
    <w:rsid w:val="3B842468"/>
    <w:rsid w:val="3B862684"/>
    <w:rsid w:val="3B885799"/>
    <w:rsid w:val="3B892174"/>
    <w:rsid w:val="3B8D0D14"/>
    <w:rsid w:val="3B9B404F"/>
    <w:rsid w:val="3BA90120"/>
    <w:rsid w:val="3BB42217"/>
    <w:rsid w:val="3BBC1BB7"/>
    <w:rsid w:val="3BCB2E07"/>
    <w:rsid w:val="3BCE402B"/>
    <w:rsid w:val="3BD31B4C"/>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7060DA"/>
    <w:rsid w:val="3C8B7826"/>
    <w:rsid w:val="3C917BA0"/>
    <w:rsid w:val="3CA65F73"/>
    <w:rsid w:val="3CAF1767"/>
    <w:rsid w:val="3CB46D7D"/>
    <w:rsid w:val="3CBA010B"/>
    <w:rsid w:val="3CC01BC6"/>
    <w:rsid w:val="3CC11038"/>
    <w:rsid w:val="3CD236A7"/>
    <w:rsid w:val="3CD4773D"/>
    <w:rsid w:val="3CE31550"/>
    <w:rsid w:val="3CE32F55"/>
    <w:rsid w:val="3D001FC2"/>
    <w:rsid w:val="3D157D3C"/>
    <w:rsid w:val="3D22720B"/>
    <w:rsid w:val="3D255ECD"/>
    <w:rsid w:val="3D281519"/>
    <w:rsid w:val="3D2F0AF9"/>
    <w:rsid w:val="3D346474"/>
    <w:rsid w:val="3D3B2FFA"/>
    <w:rsid w:val="3D566086"/>
    <w:rsid w:val="3D5E3832"/>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F7CCF"/>
    <w:rsid w:val="3FC27A03"/>
    <w:rsid w:val="3FC96FE3"/>
    <w:rsid w:val="3FD3765F"/>
    <w:rsid w:val="3FE32A90"/>
    <w:rsid w:val="3FE43E1D"/>
    <w:rsid w:val="3FE47979"/>
    <w:rsid w:val="3FE8319B"/>
    <w:rsid w:val="3FFA719D"/>
    <w:rsid w:val="4004305D"/>
    <w:rsid w:val="400870B8"/>
    <w:rsid w:val="40153FD6"/>
    <w:rsid w:val="40155D85"/>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B1AA5"/>
    <w:rsid w:val="428F200F"/>
    <w:rsid w:val="429531AD"/>
    <w:rsid w:val="429D02B3"/>
    <w:rsid w:val="429F1251"/>
    <w:rsid w:val="42A33B1C"/>
    <w:rsid w:val="42A763F6"/>
    <w:rsid w:val="42AC04F6"/>
    <w:rsid w:val="42DD3D52"/>
    <w:rsid w:val="42E12404"/>
    <w:rsid w:val="42E31889"/>
    <w:rsid w:val="42E908C7"/>
    <w:rsid w:val="42F223AD"/>
    <w:rsid w:val="42F36125"/>
    <w:rsid w:val="42F62490"/>
    <w:rsid w:val="43000978"/>
    <w:rsid w:val="43004B7A"/>
    <w:rsid w:val="43012E27"/>
    <w:rsid w:val="43094BE2"/>
    <w:rsid w:val="430F539D"/>
    <w:rsid w:val="43160791"/>
    <w:rsid w:val="43212C92"/>
    <w:rsid w:val="432D7889"/>
    <w:rsid w:val="432F3601"/>
    <w:rsid w:val="43374264"/>
    <w:rsid w:val="43394480"/>
    <w:rsid w:val="433E2020"/>
    <w:rsid w:val="43501FEC"/>
    <w:rsid w:val="43502E79"/>
    <w:rsid w:val="43574906"/>
    <w:rsid w:val="435E5C94"/>
    <w:rsid w:val="435E718F"/>
    <w:rsid w:val="436A63E7"/>
    <w:rsid w:val="43784FA8"/>
    <w:rsid w:val="437A41A8"/>
    <w:rsid w:val="438A480E"/>
    <w:rsid w:val="43972F54"/>
    <w:rsid w:val="43994193"/>
    <w:rsid w:val="43996CCD"/>
    <w:rsid w:val="439F6C52"/>
    <w:rsid w:val="43A22025"/>
    <w:rsid w:val="43BC14A4"/>
    <w:rsid w:val="43CC0E50"/>
    <w:rsid w:val="43D16466"/>
    <w:rsid w:val="43EA6480"/>
    <w:rsid w:val="43F108B7"/>
    <w:rsid w:val="43F839F3"/>
    <w:rsid w:val="440F762E"/>
    <w:rsid w:val="44112D07"/>
    <w:rsid w:val="441445A5"/>
    <w:rsid w:val="4416031D"/>
    <w:rsid w:val="442212E6"/>
    <w:rsid w:val="44222F08"/>
    <w:rsid w:val="442514B7"/>
    <w:rsid w:val="443609BF"/>
    <w:rsid w:val="443A0129"/>
    <w:rsid w:val="445B21D4"/>
    <w:rsid w:val="447B0A98"/>
    <w:rsid w:val="447E126A"/>
    <w:rsid w:val="448C3CC5"/>
    <w:rsid w:val="448C6831"/>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50322E"/>
    <w:rsid w:val="455C6204"/>
    <w:rsid w:val="45751042"/>
    <w:rsid w:val="457804D5"/>
    <w:rsid w:val="457C2402"/>
    <w:rsid w:val="45A162CB"/>
    <w:rsid w:val="45A50CD5"/>
    <w:rsid w:val="45B7168C"/>
    <w:rsid w:val="45D409C3"/>
    <w:rsid w:val="45D87F80"/>
    <w:rsid w:val="45DA5C68"/>
    <w:rsid w:val="45EC3A2B"/>
    <w:rsid w:val="45EC7588"/>
    <w:rsid w:val="45F20916"/>
    <w:rsid w:val="45FD1795"/>
    <w:rsid w:val="46026DAB"/>
    <w:rsid w:val="460839C1"/>
    <w:rsid w:val="46222FA9"/>
    <w:rsid w:val="463236F2"/>
    <w:rsid w:val="463D7DE3"/>
    <w:rsid w:val="464473C4"/>
    <w:rsid w:val="464B69A4"/>
    <w:rsid w:val="464D2557"/>
    <w:rsid w:val="465A6BE7"/>
    <w:rsid w:val="465E764C"/>
    <w:rsid w:val="46623CEE"/>
    <w:rsid w:val="466B634C"/>
    <w:rsid w:val="46737CA9"/>
    <w:rsid w:val="4694464B"/>
    <w:rsid w:val="46954ED9"/>
    <w:rsid w:val="46A61E2C"/>
    <w:rsid w:val="46AC6D17"/>
    <w:rsid w:val="46B207D1"/>
    <w:rsid w:val="46B32138"/>
    <w:rsid w:val="46D86BA4"/>
    <w:rsid w:val="46E255B6"/>
    <w:rsid w:val="46EB5A91"/>
    <w:rsid w:val="46F22218"/>
    <w:rsid w:val="46F72688"/>
    <w:rsid w:val="46FA3F26"/>
    <w:rsid w:val="46FB5788"/>
    <w:rsid w:val="471A0124"/>
    <w:rsid w:val="47412EAE"/>
    <w:rsid w:val="474358CD"/>
    <w:rsid w:val="47487D3C"/>
    <w:rsid w:val="474A6C5C"/>
    <w:rsid w:val="475A2C17"/>
    <w:rsid w:val="477D7E68"/>
    <w:rsid w:val="47A02FEE"/>
    <w:rsid w:val="47A80F1E"/>
    <w:rsid w:val="47A83982"/>
    <w:rsid w:val="47AB6999"/>
    <w:rsid w:val="47C66AE7"/>
    <w:rsid w:val="47D26C51"/>
    <w:rsid w:val="47DE55F6"/>
    <w:rsid w:val="47E04ECA"/>
    <w:rsid w:val="47E524E0"/>
    <w:rsid w:val="47EB3E1C"/>
    <w:rsid w:val="47F170D7"/>
    <w:rsid w:val="47F60E93"/>
    <w:rsid w:val="47F96170"/>
    <w:rsid w:val="48027536"/>
    <w:rsid w:val="48180B08"/>
    <w:rsid w:val="481E3AAF"/>
    <w:rsid w:val="48205C0E"/>
    <w:rsid w:val="48376AB4"/>
    <w:rsid w:val="483A2244"/>
    <w:rsid w:val="483B47F6"/>
    <w:rsid w:val="483D056E"/>
    <w:rsid w:val="483D1893"/>
    <w:rsid w:val="484A61BF"/>
    <w:rsid w:val="485422E0"/>
    <w:rsid w:val="48547666"/>
    <w:rsid w:val="485A1120"/>
    <w:rsid w:val="4861761A"/>
    <w:rsid w:val="48683B94"/>
    <w:rsid w:val="486C49B0"/>
    <w:rsid w:val="486F10A5"/>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D7E21"/>
    <w:rsid w:val="49F04DE4"/>
    <w:rsid w:val="49F1786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A7A11"/>
    <w:rsid w:val="4ADF3B5F"/>
    <w:rsid w:val="4ADF52C2"/>
    <w:rsid w:val="4AFB026D"/>
    <w:rsid w:val="4B117F95"/>
    <w:rsid w:val="4B1355B6"/>
    <w:rsid w:val="4B1A34C8"/>
    <w:rsid w:val="4B2253A3"/>
    <w:rsid w:val="4B275B29"/>
    <w:rsid w:val="4B2E23F0"/>
    <w:rsid w:val="4B3774F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E5BC4"/>
    <w:rsid w:val="4BE225CF"/>
    <w:rsid w:val="4BE64A79"/>
    <w:rsid w:val="4BF076A6"/>
    <w:rsid w:val="4BF533FE"/>
    <w:rsid w:val="4C0B48F2"/>
    <w:rsid w:val="4C225B2C"/>
    <w:rsid w:val="4C464A47"/>
    <w:rsid w:val="4C4C1669"/>
    <w:rsid w:val="4C567E51"/>
    <w:rsid w:val="4C600CB1"/>
    <w:rsid w:val="4C667968"/>
    <w:rsid w:val="4C7A7F44"/>
    <w:rsid w:val="4C8C4B93"/>
    <w:rsid w:val="4C9E7102"/>
    <w:rsid w:val="4CA010CC"/>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55A1A"/>
    <w:rsid w:val="4E775E5C"/>
    <w:rsid w:val="4E781BAF"/>
    <w:rsid w:val="4E7D6D7D"/>
    <w:rsid w:val="4E824F2D"/>
    <w:rsid w:val="4E881E17"/>
    <w:rsid w:val="4E9D50CF"/>
    <w:rsid w:val="4EA053B3"/>
    <w:rsid w:val="4EAB2916"/>
    <w:rsid w:val="4EBF4055"/>
    <w:rsid w:val="4EC05A55"/>
    <w:rsid w:val="4EC07803"/>
    <w:rsid w:val="4EC372F3"/>
    <w:rsid w:val="4ECF2C73"/>
    <w:rsid w:val="4ED908C5"/>
    <w:rsid w:val="4EF474AD"/>
    <w:rsid w:val="4EF95E37"/>
    <w:rsid w:val="4F041DE6"/>
    <w:rsid w:val="4F053A58"/>
    <w:rsid w:val="4F1D4C56"/>
    <w:rsid w:val="4F231B40"/>
    <w:rsid w:val="4F2628C7"/>
    <w:rsid w:val="4F2F6737"/>
    <w:rsid w:val="4F471CD3"/>
    <w:rsid w:val="4F4A6F0B"/>
    <w:rsid w:val="4F5246ED"/>
    <w:rsid w:val="4F590025"/>
    <w:rsid w:val="4F692A95"/>
    <w:rsid w:val="4F6F5A23"/>
    <w:rsid w:val="4F7725B8"/>
    <w:rsid w:val="4F8922EB"/>
    <w:rsid w:val="4F907234"/>
    <w:rsid w:val="4F960564"/>
    <w:rsid w:val="4F980780"/>
    <w:rsid w:val="4F9D5D96"/>
    <w:rsid w:val="4FA63B31"/>
    <w:rsid w:val="4FB05ACA"/>
    <w:rsid w:val="4FC1444E"/>
    <w:rsid w:val="4FC652ED"/>
    <w:rsid w:val="4FCD6C7A"/>
    <w:rsid w:val="4FD649D2"/>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F1952"/>
    <w:rsid w:val="51AC22C1"/>
    <w:rsid w:val="51AF590D"/>
    <w:rsid w:val="51CC5275"/>
    <w:rsid w:val="51D04201"/>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B2034"/>
    <w:rsid w:val="555D3FFE"/>
    <w:rsid w:val="556829A3"/>
    <w:rsid w:val="556E620B"/>
    <w:rsid w:val="557A3281"/>
    <w:rsid w:val="558D41B7"/>
    <w:rsid w:val="55A17967"/>
    <w:rsid w:val="55A41C2D"/>
    <w:rsid w:val="55B139E6"/>
    <w:rsid w:val="55CE0A58"/>
    <w:rsid w:val="55CE6156"/>
    <w:rsid w:val="55D50038"/>
    <w:rsid w:val="55E32A1C"/>
    <w:rsid w:val="55FE011D"/>
    <w:rsid w:val="561603B2"/>
    <w:rsid w:val="561641AD"/>
    <w:rsid w:val="561F5757"/>
    <w:rsid w:val="56290384"/>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70341F8"/>
    <w:rsid w:val="5705494D"/>
    <w:rsid w:val="570861EB"/>
    <w:rsid w:val="571D6A2B"/>
    <w:rsid w:val="57201A20"/>
    <w:rsid w:val="572648C3"/>
    <w:rsid w:val="572D5C52"/>
    <w:rsid w:val="57345792"/>
    <w:rsid w:val="57346FE0"/>
    <w:rsid w:val="57475C4D"/>
    <w:rsid w:val="575B27BF"/>
    <w:rsid w:val="576A47B0"/>
    <w:rsid w:val="576F40E4"/>
    <w:rsid w:val="57750F02"/>
    <w:rsid w:val="57835872"/>
    <w:rsid w:val="578C4726"/>
    <w:rsid w:val="57AC45D0"/>
    <w:rsid w:val="57AE1241"/>
    <w:rsid w:val="57B273E9"/>
    <w:rsid w:val="57B27F05"/>
    <w:rsid w:val="57B67C8D"/>
    <w:rsid w:val="57BA2943"/>
    <w:rsid w:val="57C00874"/>
    <w:rsid w:val="57D40540"/>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D1393"/>
    <w:rsid w:val="58B55EFF"/>
    <w:rsid w:val="58C3061C"/>
    <w:rsid w:val="58D42829"/>
    <w:rsid w:val="58E70221"/>
    <w:rsid w:val="58F22CAF"/>
    <w:rsid w:val="58FE1654"/>
    <w:rsid w:val="59007A6C"/>
    <w:rsid w:val="5908019E"/>
    <w:rsid w:val="591B7FEB"/>
    <w:rsid w:val="59314975"/>
    <w:rsid w:val="594401C1"/>
    <w:rsid w:val="594E7A78"/>
    <w:rsid w:val="59550740"/>
    <w:rsid w:val="596279B4"/>
    <w:rsid w:val="5966544B"/>
    <w:rsid w:val="597436C4"/>
    <w:rsid w:val="59814033"/>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57029D"/>
    <w:rsid w:val="5A90452E"/>
    <w:rsid w:val="5A953457"/>
    <w:rsid w:val="5AA004E9"/>
    <w:rsid w:val="5AA955EF"/>
    <w:rsid w:val="5AB3646E"/>
    <w:rsid w:val="5AD61FA7"/>
    <w:rsid w:val="5ADE798F"/>
    <w:rsid w:val="5AE568F8"/>
    <w:rsid w:val="5AE605F2"/>
    <w:rsid w:val="5AE64A95"/>
    <w:rsid w:val="5AEB5C08"/>
    <w:rsid w:val="5AEE74A6"/>
    <w:rsid w:val="5AF251E8"/>
    <w:rsid w:val="5AF54CD9"/>
    <w:rsid w:val="5AFD593B"/>
    <w:rsid w:val="5B0171D9"/>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DD5A24"/>
    <w:rsid w:val="5CE6525A"/>
    <w:rsid w:val="5CE868B8"/>
    <w:rsid w:val="5CFF1E3E"/>
    <w:rsid w:val="5D1134E3"/>
    <w:rsid w:val="5D2D69AC"/>
    <w:rsid w:val="5D3B5199"/>
    <w:rsid w:val="5D4E06D0"/>
    <w:rsid w:val="5D6B3030"/>
    <w:rsid w:val="5D6F2B20"/>
    <w:rsid w:val="5D706AD4"/>
    <w:rsid w:val="5D72616D"/>
    <w:rsid w:val="5D7A3273"/>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8250A4"/>
    <w:rsid w:val="62840A77"/>
    <w:rsid w:val="628D3A49"/>
    <w:rsid w:val="62AF39BF"/>
    <w:rsid w:val="62CD2127"/>
    <w:rsid w:val="62CF5E0F"/>
    <w:rsid w:val="62D277D9"/>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E332E"/>
    <w:rsid w:val="66DB2FD4"/>
    <w:rsid w:val="66F44096"/>
    <w:rsid w:val="670562A3"/>
    <w:rsid w:val="670B7AEA"/>
    <w:rsid w:val="671E1113"/>
    <w:rsid w:val="67220595"/>
    <w:rsid w:val="67241800"/>
    <w:rsid w:val="672A3F5C"/>
    <w:rsid w:val="672C2A5E"/>
    <w:rsid w:val="672D3563"/>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A392E"/>
    <w:rsid w:val="68016A6B"/>
    <w:rsid w:val="68116E94"/>
    <w:rsid w:val="6819475B"/>
    <w:rsid w:val="681A3DE2"/>
    <w:rsid w:val="683F7593"/>
    <w:rsid w:val="685F3791"/>
    <w:rsid w:val="68637725"/>
    <w:rsid w:val="688A7DAC"/>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D56B2"/>
    <w:rsid w:val="6A1F767C"/>
    <w:rsid w:val="6A2627B9"/>
    <w:rsid w:val="6A444CAE"/>
    <w:rsid w:val="6A462E5B"/>
    <w:rsid w:val="6A49294B"/>
    <w:rsid w:val="6A503CD9"/>
    <w:rsid w:val="6A692CB7"/>
    <w:rsid w:val="6A696B49"/>
    <w:rsid w:val="6A7F43C0"/>
    <w:rsid w:val="6A8952C2"/>
    <w:rsid w:val="6A906D98"/>
    <w:rsid w:val="6AA6423E"/>
    <w:rsid w:val="6AB57FE0"/>
    <w:rsid w:val="6AC344AB"/>
    <w:rsid w:val="6AC65D4A"/>
    <w:rsid w:val="6AD46A66"/>
    <w:rsid w:val="6AED37F2"/>
    <w:rsid w:val="6AEF7DCE"/>
    <w:rsid w:val="6AF723A7"/>
    <w:rsid w:val="6B170596"/>
    <w:rsid w:val="6B3A1E2C"/>
    <w:rsid w:val="6B3C7DBA"/>
    <w:rsid w:val="6B621F16"/>
    <w:rsid w:val="6B6F4633"/>
    <w:rsid w:val="6B717BCD"/>
    <w:rsid w:val="6B7B2FD8"/>
    <w:rsid w:val="6B7D161D"/>
    <w:rsid w:val="6B9023FF"/>
    <w:rsid w:val="6B9F5BAD"/>
    <w:rsid w:val="6BA442DD"/>
    <w:rsid w:val="6BA46BE1"/>
    <w:rsid w:val="6BA936A1"/>
    <w:rsid w:val="6BC04E8F"/>
    <w:rsid w:val="6BC06C3D"/>
    <w:rsid w:val="6BC26511"/>
    <w:rsid w:val="6BC404DB"/>
    <w:rsid w:val="6BC95AF1"/>
    <w:rsid w:val="6BCA6224"/>
    <w:rsid w:val="6BD10E4A"/>
    <w:rsid w:val="6BD41C61"/>
    <w:rsid w:val="6BD83F86"/>
    <w:rsid w:val="6BE91CF0"/>
    <w:rsid w:val="6BF32B6E"/>
    <w:rsid w:val="6BFB1A23"/>
    <w:rsid w:val="6BFF5A02"/>
    <w:rsid w:val="6C0A614D"/>
    <w:rsid w:val="6C19152A"/>
    <w:rsid w:val="6C1D4188"/>
    <w:rsid w:val="6C303DC2"/>
    <w:rsid w:val="6C305B70"/>
    <w:rsid w:val="6C3952AC"/>
    <w:rsid w:val="6C3D676B"/>
    <w:rsid w:val="6C440EAF"/>
    <w:rsid w:val="6C5D448C"/>
    <w:rsid w:val="6C692E30"/>
    <w:rsid w:val="6C8C114B"/>
    <w:rsid w:val="6CA672D2"/>
    <w:rsid w:val="6CAD71C1"/>
    <w:rsid w:val="6CCB7647"/>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711527"/>
    <w:rsid w:val="6E751F61"/>
    <w:rsid w:val="6E761835"/>
    <w:rsid w:val="6E79211E"/>
    <w:rsid w:val="6E8126B3"/>
    <w:rsid w:val="6E82467D"/>
    <w:rsid w:val="6E8439ED"/>
    <w:rsid w:val="6E9323E7"/>
    <w:rsid w:val="6E9C129B"/>
    <w:rsid w:val="6E9C573F"/>
    <w:rsid w:val="6EA6211A"/>
    <w:rsid w:val="6EAD16FA"/>
    <w:rsid w:val="6EC23191"/>
    <w:rsid w:val="6EC93EB4"/>
    <w:rsid w:val="6ED85841"/>
    <w:rsid w:val="6EEC3440"/>
    <w:rsid w:val="6F143F5C"/>
    <w:rsid w:val="6F241291"/>
    <w:rsid w:val="6F255735"/>
    <w:rsid w:val="6F3C65DA"/>
    <w:rsid w:val="6F5837CB"/>
    <w:rsid w:val="6F6D5423"/>
    <w:rsid w:val="6F7B1C18"/>
    <w:rsid w:val="6F7C0E3D"/>
    <w:rsid w:val="6F7F4023"/>
    <w:rsid w:val="6F82185F"/>
    <w:rsid w:val="6F886353"/>
    <w:rsid w:val="6F88683F"/>
    <w:rsid w:val="6F887838"/>
    <w:rsid w:val="6F8E41A4"/>
    <w:rsid w:val="6FA32AFD"/>
    <w:rsid w:val="6FB677CD"/>
    <w:rsid w:val="6FB7179E"/>
    <w:rsid w:val="6FB940CF"/>
    <w:rsid w:val="6FBD3BBF"/>
    <w:rsid w:val="6FDD600F"/>
    <w:rsid w:val="6FE4739E"/>
    <w:rsid w:val="6FE532F1"/>
    <w:rsid w:val="6FE86762"/>
    <w:rsid w:val="6FE949B4"/>
    <w:rsid w:val="6FEC0000"/>
    <w:rsid w:val="6FEE70E9"/>
    <w:rsid w:val="6FF54D17"/>
    <w:rsid w:val="70096E04"/>
    <w:rsid w:val="700C2451"/>
    <w:rsid w:val="703235D5"/>
    <w:rsid w:val="70380103"/>
    <w:rsid w:val="703A3D0A"/>
    <w:rsid w:val="703D6AAE"/>
    <w:rsid w:val="704E2AC7"/>
    <w:rsid w:val="70634139"/>
    <w:rsid w:val="7069758F"/>
    <w:rsid w:val="70705949"/>
    <w:rsid w:val="70744007"/>
    <w:rsid w:val="708244C1"/>
    <w:rsid w:val="709C5DB4"/>
    <w:rsid w:val="70B236B4"/>
    <w:rsid w:val="70BF6642"/>
    <w:rsid w:val="70F53102"/>
    <w:rsid w:val="70FF075C"/>
    <w:rsid w:val="710650F2"/>
    <w:rsid w:val="71066EA0"/>
    <w:rsid w:val="711C4915"/>
    <w:rsid w:val="71211F2C"/>
    <w:rsid w:val="71237A52"/>
    <w:rsid w:val="71431EA2"/>
    <w:rsid w:val="71525070"/>
    <w:rsid w:val="715C2F64"/>
    <w:rsid w:val="7162598C"/>
    <w:rsid w:val="71797038"/>
    <w:rsid w:val="71804EA4"/>
    <w:rsid w:val="71983729"/>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634A7D"/>
    <w:rsid w:val="73682094"/>
    <w:rsid w:val="73740A39"/>
    <w:rsid w:val="737C169B"/>
    <w:rsid w:val="73805E5E"/>
    <w:rsid w:val="73814F04"/>
    <w:rsid w:val="7388084A"/>
    <w:rsid w:val="73922C6D"/>
    <w:rsid w:val="73944C37"/>
    <w:rsid w:val="739C3AEB"/>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E2DF5"/>
    <w:rsid w:val="744A79EB"/>
    <w:rsid w:val="745708AE"/>
    <w:rsid w:val="746B557E"/>
    <w:rsid w:val="74806F69"/>
    <w:rsid w:val="74820F33"/>
    <w:rsid w:val="74852401"/>
    <w:rsid w:val="749F1AE5"/>
    <w:rsid w:val="749F7D37"/>
    <w:rsid w:val="74AE1D28"/>
    <w:rsid w:val="74B471B3"/>
    <w:rsid w:val="74B66E2F"/>
    <w:rsid w:val="74E03EAC"/>
    <w:rsid w:val="74E7348C"/>
    <w:rsid w:val="74F55BA9"/>
    <w:rsid w:val="7501454E"/>
    <w:rsid w:val="750202C6"/>
    <w:rsid w:val="75022074"/>
    <w:rsid w:val="751B27D2"/>
    <w:rsid w:val="75221B04"/>
    <w:rsid w:val="752B7759"/>
    <w:rsid w:val="75510906"/>
    <w:rsid w:val="75630D65"/>
    <w:rsid w:val="75643640"/>
    <w:rsid w:val="756B7C19"/>
    <w:rsid w:val="75717E89"/>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740D50"/>
    <w:rsid w:val="76764AC8"/>
    <w:rsid w:val="76816FC9"/>
    <w:rsid w:val="76832D41"/>
    <w:rsid w:val="769614FB"/>
    <w:rsid w:val="76A50965"/>
    <w:rsid w:val="76A6461F"/>
    <w:rsid w:val="76AF3B36"/>
    <w:rsid w:val="76B80C3C"/>
    <w:rsid w:val="76C53359"/>
    <w:rsid w:val="76DE441B"/>
    <w:rsid w:val="76EB3A50"/>
    <w:rsid w:val="76F679B7"/>
    <w:rsid w:val="77132317"/>
    <w:rsid w:val="772E316D"/>
    <w:rsid w:val="77356731"/>
    <w:rsid w:val="773D1603"/>
    <w:rsid w:val="77400C32"/>
    <w:rsid w:val="774A6156"/>
    <w:rsid w:val="7752668D"/>
    <w:rsid w:val="776E3C1A"/>
    <w:rsid w:val="777803CC"/>
    <w:rsid w:val="77876861"/>
    <w:rsid w:val="77C11D73"/>
    <w:rsid w:val="77C34564"/>
    <w:rsid w:val="77D71596"/>
    <w:rsid w:val="77EA751B"/>
    <w:rsid w:val="77EB35FA"/>
    <w:rsid w:val="780103C1"/>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5C2227"/>
    <w:rsid w:val="7A601D17"/>
    <w:rsid w:val="7A6376BF"/>
    <w:rsid w:val="7A756E44"/>
    <w:rsid w:val="7A82542A"/>
    <w:rsid w:val="7A951295"/>
    <w:rsid w:val="7A97688D"/>
    <w:rsid w:val="7A9814B1"/>
    <w:rsid w:val="7AA65250"/>
    <w:rsid w:val="7AB43E11"/>
    <w:rsid w:val="7AD06D06"/>
    <w:rsid w:val="7ADD3367"/>
    <w:rsid w:val="7AF256B6"/>
    <w:rsid w:val="7AF449C4"/>
    <w:rsid w:val="7B051225"/>
    <w:rsid w:val="7B0846E3"/>
    <w:rsid w:val="7B33544A"/>
    <w:rsid w:val="7B457831"/>
    <w:rsid w:val="7B486307"/>
    <w:rsid w:val="7B4C229B"/>
    <w:rsid w:val="7B4C4049"/>
    <w:rsid w:val="7B4C5DF7"/>
    <w:rsid w:val="7B5178B1"/>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F04F9F"/>
    <w:rsid w:val="7CF14EA8"/>
    <w:rsid w:val="7CF718EF"/>
    <w:rsid w:val="7D07647A"/>
    <w:rsid w:val="7D146DE8"/>
    <w:rsid w:val="7D177DFD"/>
    <w:rsid w:val="7D1D5C9D"/>
    <w:rsid w:val="7D1F286A"/>
    <w:rsid w:val="7D2A03BA"/>
    <w:rsid w:val="7D31799A"/>
    <w:rsid w:val="7D3704A9"/>
    <w:rsid w:val="7D3935CB"/>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E62533"/>
    <w:rsid w:val="7DF84014"/>
    <w:rsid w:val="7DFA4423"/>
    <w:rsid w:val="7E0105AB"/>
    <w:rsid w:val="7E0503B7"/>
    <w:rsid w:val="7E074257"/>
    <w:rsid w:val="7E0E55E6"/>
    <w:rsid w:val="7E1C7D03"/>
    <w:rsid w:val="7E384472"/>
    <w:rsid w:val="7E795155"/>
    <w:rsid w:val="7E841FE0"/>
    <w:rsid w:val="7E843AFA"/>
    <w:rsid w:val="7E86748C"/>
    <w:rsid w:val="7E885398"/>
    <w:rsid w:val="7E9F4667"/>
    <w:rsid w:val="7EAD3051"/>
    <w:rsid w:val="7EB20667"/>
    <w:rsid w:val="7EC81C39"/>
    <w:rsid w:val="7EE55250"/>
    <w:rsid w:val="7EF94618"/>
    <w:rsid w:val="7F003D42"/>
    <w:rsid w:val="7F054C3B"/>
    <w:rsid w:val="7F076A8B"/>
    <w:rsid w:val="7F1430D0"/>
    <w:rsid w:val="7F211349"/>
    <w:rsid w:val="7F2B19DA"/>
    <w:rsid w:val="7F2C21C7"/>
    <w:rsid w:val="7F3217A8"/>
    <w:rsid w:val="7F343772"/>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semiHidden/>
    <w:qFormat/>
    <w:uiPriority w:val="0"/>
    <w:rPr>
      <w:rFonts w:ascii="Arial" w:hAnsi="Arial" w:eastAsia="Arial" w:cs="Arial"/>
      <w:sz w:val="21"/>
      <w:szCs w:val="21"/>
      <w:lang w:val="en-US" w:eastAsia="en-US" w:bidi="ar-SA"/>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styleId="11">
    <w:name w:val="Hyperlink"/>
    <w:basedOn w:val="9"/>
    <w:autoRedefine/>
    <w:qFormat/>
    <w:uiPriority w:val="0"/>
    <w:rPr>
      <w:color w:val="0000FF"/>
      <w:u w:val="single"/>
    </w:rPr>
  </w:style>
  <w:style w:type="paragraph" w:customStyle="1" w:styleId="12">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3589</Words>
  <Characters>4389</Characters>
  <Lines>0</Lines>
  <Paragraphs>0</Paragraphs>
  <TotalTime>4</TotalTime>
  <ScaleCrop>false</ScaleCrop>
  <LinksUpToDate>false</LinksUpToDate>
  <CharactersWithSpaces>4432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WPS_1180513195</cp:lastModifiedBy>
  <dcterms:modified xsi:type="dcterms:W3CDTF">2024-05-16T01:05:00Z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