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21</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收盘涨跌不一，道指跌0.49%报39806.77点，标普500指数涨0.09%报5308.13点，纳指涨0.65%报16794.87点，创历史新高。美元指数涨0.11%报104.62，非美货币多数下跌，离岸人民币对美元跌134个基点报7.2471。国际油价小幅收跌，美油6月合约跌0.45%，报79.22美元/桶。布油7月合约跌0.32%，报83.71美元/桶。国际贵金属期货普遍上涨，COMEX黄金期货涨0.43%报2430.3美元/盎司，COMEX白银期货涨2.55%报32.055美元/盎司。LME期铜涨2.27%报10958.5美元/吨。</w:t>
      </w:r>
      <w:r>
        <w:rPr>
          <w:rFonts w:hint="eastAsia" w:ascii="微软雅黑" w:hAnsi="微软雅黑" w:eastAsia="微软雅黑" w:cs="微软雅黑"/>
          <w:spacing w:val="4"/>
          <w:sz w:val="24"/>
          <w:szCs w:val="24"/>
          <w:lang w:eastAsia="zh-CN"/>
        </w:rPr>
        <w:t>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期货合收跌涨3%</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18.68</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期货合约收涨0.2%</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76.03美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283960" cy="3357245"/>
            <wp:effectExtent l="0" t="0" r="2540" b="146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6283960" cy="335724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理事杰斐逊表示，判断通胀放缓是否会持续为时尚早；将评估最新数据、经济前景变化和风险平衡，以确定适当的政策利率立场；美联储工作人员估计2024年前四个月核心PCE价格年化增长4.1%，12个月变化为2.75%；长期通胀预期显示美国人相信美联储将实现2%的通胀目标。】</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【旧金山联储主席戴利表示，尚未获得通胀将持续下行至2%的信心；目前没有看到需要加息的任何证据。】</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【国财政部长耶伦说，美国反对向亿万富翁征收全球财富税的提议，拒绝了巴西、法国和其他国家提出的这一想法。】</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【日本经济团体联合会公布的2024年春季劳资谈判第一轮统计结果显示，包括定期涨薪和上调基本工资在内的大企业月薪涨幅平均为5.58%。这是可进行比较的1992年以来，第一轮统计之际的最大涨幅。】</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【伊朗总统莱希及伊朗外长阿卜杜拉希扬在19日的直升机事故中罹难。】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【上金所发布通知，自5月21日收盘清算时起，黄金(T+D)等合约的保证金比例从9%调整为10%，涨跌幅度限制从8%调整为9%;白银（T+D)合约保证金比例从12%调整为13%，涨跌幅度限制从11%调整为12%。】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21</w:t>
            </w:r>
          </w:p>
        </w:tc>
        <w:tc>
          <w:tcPr>
            <w:tcW w:w="1143" w:type="dxa"/>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09：30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澳洲联储公布5月货币政策会议纪要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21</w:t>
            </w:r>
          </w:p>
        </w:tc>
        <w:tc>
          <w:tcPr>
            <w:tcW w:w="1143" w:type="dxa"/>
            <w:shd w:val="clear" w:color="auto" w:fill="D3EAFF"/>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14：00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德国4月PPI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21</w:t>
            </w:r>
          </w:p>
        </w:tc>
        <w:tc>
          <w:tcPr>
            <w:tcW w:w="1143" w:type="dxa"/>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16：00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美国财长耶伦、欧洲央行行长拉加德、德国财长林德纳发表讲话</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30" w:line="191" w:lineRule="auto"/>
              <w:ind w:left="449" w:leftChars="0"/>
              <w:rPr>
                <w:b/>
                <w:bCs/>
                <w:spacing w:val="3"/>
                <w:sz w:val="19"/>
                <w:szCs w:val="19"/>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21</w:t>
            </w:r>
          </w:p>
        </w:tc>
        <w:tc>
          <w:tcPr>
            <w:tcW w:w="1143" w:type="dxa"/>
            <w:shd w:val="clear" w:color="auto" w:fill="D3EAFF"/>
            <w:vAlign w:val="top"/>
          </w:tcPr>
          <w:p>
            <w:pPr>
              <w:pStyle w:val="12"/>
              <w:spacing w:before="245" w:line="172" w:lineRule="auto"/>
              <w:ind w:left="101" w:leftChars="0"/>
              <w:jc w:val="left"/>
              <w:rPr>
                <w:rFonts w:hint="eastAsia"/>
                <w:b/>
                <w:bCs/>
                <w:spacing w:val="5"/>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加拿大4月CPI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30" w:line="191" w:lineRule="auto"/>
              <w:ind w:left="449" w:leftChars="0"/>
              <w:rPr>
                <w:b/>
                <w:bCs/>
                <w:spacing w:val="3"/>
                <w:sz w:val="19"/>
                <w:szCs w:val="19"/>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21</w:t>
            </w:r>
          </w:p>
        </w:tc>
        <w:tc>
          <w:tcPr>
            <w:tcW w:w="1143" w:type="dxa"/>
            <w:vAlign w:val="top"/>
          </w:tcPr>
          <w:p>
            <w:pPr>
              <w:pStyle w:val="12"/>
              <w:spacing w:before="245" w:line="172" w:lineRule="auto"/>
              <w:ind w:left="101" w:leftChars="0"/>
              <w:jc w:val="left"/>
              <w:rPr>
                <w:rFonts w:hint="eastAsia"/>
                <w:b/>
                <w:bCs/>
                <w:spacing w:val="5"/>
                <w:sz w:val="19"/>
                <w:szCs w:val="19"/>
                <w:lang w:val="en-US" w:eastAsia="zh-CN"/>
              </w:rPr>
            </w:pPr>
            <w:r>
              <w:rPr>
                <w:rFonts w:hint="eastAsia"/>
                <w:b/>
                <w:bCs/>
                <w:spacing w:val="5"/>
                <w:sz w:val="19"/>
                <w:szCs w:val="19"/>
                <w:lang w:val="en-US" w:eastAsia="zh-CN"/>
              </w:rPr>
              <w:t>21：00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美联储理事沃勒就美国经济发表讲话</w:t>
            </w:r>
          </w:p>
        </w:tc>
      </w:tr>
    </w:tbl>
    <w:p>
      <w:pPr>
        <w:spacing w:before="120" w:line="190" w:lineRule="auto"/>
        <w:rPr>
          <w:rFonts w:hint="eastAsia" w:ascii="微软雅黑" w:hAnsi="微软雅黑" w:eastAsia="微软雅黑" w:cs="微软雅黑"/>
          <w:color w:val="036EB8"/>
          <w:position w:val="-4"/>
          <w:sz w:val="28"/>
          <w:szCs w:val="28"/>
          <w:lang w:val="en-US" w:eastAsia="zh-CN"/>
        </w:rPr>
      </w:pPr>
    </w:p>
    <w:p>
      <w:pPr>
        <w:spacing w:before="120" w:line="190" w:lineRule="auto"/>
        <w:rPr>
          <w:rFonts w:hint="eastAsia" w:ascii="微软雅黑" w:hAnsi="微软雅黑" w:eastAsia="微软雅黑" w:cs="微软雅黑"/>
          <w:color w:val="036EB8"/>
          <w:position w:val="-4"/>
          <w:sz w:val="28"/>
          <w:szCs w:val="28"/>
          <w:lang w:val="en-US" w:eastAsia="zh-CN"/>
        </w:rPr>
      </w:pPr>
      <w:r>
        <w:rPr>
          <w:rFonts w:hint="eastAsia" w:ascii="微软雅黑" w:hAnsi="微软雅黑" w:eastAsia="微软雅黑" w:cs="微软雅黑"/>
          <w:color w:val="036EB8"/>
          <w:position w:val="-4"/>
          <w:sz w:val="28"/>
          <w:szCs w:val="28"/>
          <w:lang w:val="en-US" w:eastAsia="zh-CN"/>
        </w:rPr>
        <w:t xml:space="preserve"> </w:t>
      </w: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二美元指数涨0.11%报104.62，非美货币多数下跌，欧元兑美元跌0.12%报1.0857，英镑兑美元涨0.05%报1.2706，澳元兑美元跌0.42%报0.6667，美元兑日元涨0.37%报156.26。美联储理事杰斐逊表示，判断通胀放缓是否会持续为时尚早；将评估最新数据、经济前景变化和风险平衡，以确定适当的政策利率立场；美联储工作人员估计2024年前四个月核心PCE价格年化增长4.1%，12个月变化为2.75%；长期通胀预期显示美国人相信美联储将实现2%的通胀目标。克利夫兰联储主席梅斯特称，仍然认为通胀将会下降，但不会迅速下降；如果经济出现意外恶化，可以降息；而如果通胀回落进程停滞或逆转，可以保持利率在当前水平，甚至加息；之前预计今年会有三次降息；认为这种预期已经不再合适。整体发言基调偏鸽。往后看，短期内美国经济数据走弱或持续降低市场利率预期，美元指数或相对承压。</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5947410" cy="2047875"/>
            <wp:effectExtent l="0" t="0" r="1524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5947410" cy="204787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截至5月21日，标普500指数收涨0.09%至5308.13；迷你标普500主力合约收涨0.08%至5331.75点。美股周一收盘涨跌不一，道指收跌约200点，纳指创历史新高。本周市场重点关注英伟达财报与微软的Build开发者大会。美联储将在周三公布上次货币政策会议纪要。策略上，短线逢低做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197600" cy="2357755"/>
            <wp:effectExtent l="0" t="0" r="1270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6197600" cy="235775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20日，富时中国A50指数收涨0.42%至12846.95点；新交所富时A50期指主力合约收涨0.12%至12887点。随着4月经济数据披露，基本面底部特征更为清晰，地产政策多线齐发托底地产链，提振下半年经济预期，进一步推升市场风险偏好，周五A股市场在地产板块引领下拉升。另外，随着超长期国债部署落地，考虑到一季度货币政策对防空转的态度，后续或有降准配套货币政策落地缓释资金抽取压力。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5949950" cy="2143125"/>
            <wp:effectExtent l="0" t="0" r="1270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5949950" cy="214312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COMEX铜偏强震荡，报收5.106美元/磅，涨跌幅+1.11%。国际方面，克利夫兰联储主席梅斯特：今年降息三次的预期已经不再合适。在必要的情况下可能加息，但这并非基准情景。有理由相信中性利率升高。美联储副主席杰斐逊：判断通胀放缓是否会持续为时尚早。旧金山联储主席戴利：目前没有看到需要加息的任何证据，对通胀可持续地下降尚无信心。亚特兰大联储主席博斯蒂克：降息周期开始后的稳定利率可能比过去十年中的高。美联储多位官员发言偏鹰。国内方面，国家发展改革委：采取更多举措巩固扩大新能源汽车产业发展优势。库存方面，截至5月20日，LME铜库存为105900吨，环比+2250吨；COMEX铜库存19922短吨，环比-188短吨；SHFE每日仓单231103吨，环比+1568吨。美元指数震荡走高，最终收涨0.122%，报104.62，美债收益率保持坚挺。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113145" cy="1848485"/>
            <wp:effectExtent l="0" t="0" r="1905" b="184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6113145" cy="184848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 xml:space="preserve">消息面：当前地缘冲突持续，周末伊朗总理坠机遇难，地缘不确定性有所提升。在前期美国通胀及就业数据接连走弱的情况下，美联储官员发言基调逐渐出现改变。美联储理事鲍曼表示通胀将在一段时间内保持高位，若通胀停滞或反弹，美联储愿意重启加息；劳动力市场再平衡进展已放缓，政策具有约束性，正在监测是否足够，整体发言基调中性。外盘持仓方面：截至5月20日，SPDR Gold Trust黄金ETF持仓量为838.54吨，较上一交易日持平。往后看，短期内市场或持续对美国年内降息预期重新定价，利率预期回落或相对提振贵金属价格。操作上建议，日内轻仓做多，请投资者注意风险控制。 </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bookmarkStart w:id="2" w:name="_GoBack"/>
      <w:r>
        <w:drawing>
          <wp:inline distT="0" distB="0" distL="114300" distR="114300">
            <wp:extent cx="5869940" cy="1755140"/>
            <wp:effectExtent l="0" t="0" r="16510" b="165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5869940" cy="1755140"/>
                    </a:xfrm>
                    <a:prstGeom prst="rect">
                      <a:avLst/>
                    </a:prstGeom>
                    <a:noFill/>
                    <a:ln>
                      <a:noFill/>
                    </a:ln>
                  </pic:spPr>
                </pic:pic>
              </a:graphicData>
            </a:graphic>
          </wp:inline>
        </w:drawing>
      </w:r>
      <w:bookmarkEnd w:id="2"/>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国际原油市场小幅回落，布伦特原油7月期货合约结算价报83.71美元/桶，跌幅为0.3%；美国WTI原油7月期货合约结算价报79.3元/桶，跌幅0.4%。美联储官员对降息和抗通胀前景保持谨慎，美元指数小幅回升。欧佩克联盟产油国将自愿减产措施延长到二季度，沙特将自愿减产100万桶/日，俄罗斯在二季度自愿削减供应47.1万桶/日；以色列继续在拉法展开军事行动，巴以停火协议谈判仍呈僵局，伊朗总统莱希坠机遇难，中东地缘局势仍存风险；美联储官员暗示降息短期内不会到来，市场对经济和需求前景仍有担忧，短线原油期价呈现震荡。WTI原油7月期货合约支撑位：77.5；压力位：80.6。</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026150" cy="1957705"/>
            <wp:effectExtent l="0" t="0" r="1270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6026150" cy="195770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洲际交易所(ICE)棉花期货周一小幅收高，因稳定的需求和广泛金融市场的积极情绪所带来支撑。交投最活跃的ICE 7月期棉收涨0.14美分或0.2%，结算价报76.03美分/磅。新年度全球棉花产量增加至近六年高位预期，且美棉出口数据下滑，利空棉市。据美国农业部(USDA)报告显示，2024年5月3-9日，2023/24年度美国陆地棉出口签约量35526吨，较前周下降38%，较前4周平均水平下降7%；2023/24年度美国陆地棉出口装运量54208吨，较前周下降4%，较前4周平均水平持平。美棉主力价格关注上方压力89.0美分/磅，下方支撑70.0美分/磅。建议7月 ICE 期棉短期观望。</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111875" cy="1454785"/>
            <wp:effectExtent l="0" t="0" r="3175" b="12065"/>
            <wp:docPr id="23" name="图片 2" descr="QQ截图2024052108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QQ截图20240521080510"/>
                    <pic:cNvPicPr>
                      <a:picLocks noChangeAspect="1"/>
                    </pic:cNvPicPr>
                  </pic:nvPicPr>
                  <pic:blipFill>
                    <a:blip r:embed="rId19"/>
                    <a:stretch>
                      <a:fillRect/>
                    </a:stretch>
                  </pic:blipFill>
                  <pic:spPr>
                    <a:xfrm>
                      <a:off x="0" y="0"/>
                      <a:ext cx="6111875" cy="145478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val="zh-CN" w:eastAsia="zh-CN"/>
        </w:rPr>
        <w:t>洲际期货交易所（ICE）原糖期货周一收高，延续反弹趋势，受外围积极情绪提振。交投最活跃的ICE 7月原糖期货合约收盘收涨0.55美分或3.0%，结算价每磅18.68美分。新榨季巴西糖压榨进度加快，产糖量同比大增，生产数据强劲。据巴西蔗糖工业协会Unica称，自4月1日开始的巴西2024/25新榨季，截至5月1日巴西主产区（中南部地区）入榨甘蔗5061万吨，同比增长43.41%，产糖255.8万吨，同比增长65.91%，而乙醇产量为23.6亿升，同比增长32.42%。巴西甘蔗用于生产食糖的比例从上榨季同期的41.42%提高至46.96%。美糖主力价格关注上方阻力20.6美分/磅，下方支撑17.5美分/磅。操作上，建议7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5968365" cy="1845310"/>
            <wp:effectExtent l="0" t="0" r="13335" b="2540"/>
            <wp:docPr id="24" name="图片 3" descr="QQ截图2024052108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QQ截图20240521080501"/>
                    <pic:cNvPicPr>
                      <a:picLocks noChangeAspect="1"/>
                    </pic:cNvPicPr>
                  </pic:nvPicPr>
                  <pic:blipFill>
                    <a:blip r:embed="rId20"/>
                    <a:stretch>
                      <a:fillRect/>
                    </a:stretch>
                  </pic:blipFill>
                  <pic:spPr>
                    <a:xfrm>
                      <a:off x="0" y="0"/>
                      <a:ext cx="5968365" cy="184531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amp;quo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4E69F8"/>
    <w:rsid w:val="00593490"/>
    <w:rsid w:val="005F4A09"/>
    <w:rsid w:val="00727595"/>
    <w:rsid w:val="00816288"/>
    <w:rsid w:val="008813CF"/>
    <w:rsid w:val="008D4A14"/>
    <w:rsid w:val="00920750"/>
    <w:rsid w:val="00984CAE"/>
    <w:rsid w:val="009D033E"/>
    <w:rsid w:val="00A42231"/>
    <w:rsid w:val="00A437D3"/>
    <w:rsid w:val="00BC57CD"/>
    <w:rsid w:val="00BF6C5D"/>
    <w:rsid w:val="00C177F8"/>
    <w:rsid w:val="00CA7EEA"/>
    <w:rsid w:val="00CE6532"/>
    <w:rsid w:val="00CE72AE"/>
    <w:rsid w:val="00D14CB7"/>
    <w:rsid w:val="00D348C5"/>
    <w:rsid w:val="00DC19CB"/>
    <w:rsid w:val="00E16FE2"/>
    <w:rsid w:val="00E442E6"/>
    <w:rsid w:val="00E64644"/>
    <w:rsid w:val="010235FB"/>
    <w:rsid w:val="011C626C"/>
    <w:rsid w:val="011E3D92"/>
    <w:rsid w:val="013B2B96"/>
    <w:rsid w:val="013C05EC"/>
    <w:rsid w:val="0140116F"/>
    <w:rsid w:val="014337F8"/>
    <w:rsid w:val="014541E2"/>
    <w:rsid w:val="01486DF0"/>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659D3"/>
    <w:rsid w:val="0321400D"/>
    <w:rsid w:val="032338E1"/>
    <w:rsid w:val="03367AB9"/>
    <w:rsid w:val="033C0E47"/>
    <w:rsid w:val="0345193D"/>
    <w:rsid w:val="0350044F"/>
    <w:rsid w:val="035148F2"/>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2799B"/>
    <w:rsid w:val="04040FB1"/>
    <w:rsid w:val="0405375F"/>
    <w:rsid w:val="04145465"/>
    <w:rsid w:val="04253689"/>
    <w:rsid w:val="042751F8"/>
    <w:rsid w:val="043B3CCE"/>
    <w:rsid w:val="04405814"/>
    <w:rsid w:val="044B2E3C"/>
    <w:rsid w:val="044F0706"/>
    <w:rsid w:val="045A6DD9"/>
    <w:rsid w:val="04620439"/>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D40C03"/>
    <w:rsid w:val="06D66EBD"/>
    <w:rsid w:val="06D860E7"/>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D9719C"/>
    <w:rsid w:val="07DD49A7"/>
    <w:rsid w:val="07E86EA8"/>
    <w:rsid w:val="07EB25E1"/>
    <w:rsid w:val="07F5280A"/>
    <w:rsid w:val="07F67816"/>
    <w:rsid w:val="080F6B2A"/>
    <w:rsid w:val="08275C22"/>
    <w:rsid w:val="0828199A"/>
    <w:rsid w:val="082F186D"/>
    <w:rsid w:val="0853247A"/>
    <w:rsid w:val="08533723"/>
    <w:rsid w:val="08534C69"/>
    <w:rsid w:val="085B34CE"/>
    <w:rsid w:val="085E53BC"/>
    <w:rsid w:val="086115F9"/>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801BEE"/>
    <w:rsid w:val="0C874AB1"/>
    <w:rsid w:val="0C8A677F"/>
    <w:rsid w:val="0C956C25"/>
    <w:rsid w:val="0C9622BB"/>
    <w:rsid w:val="0CA53877"/>
    <w:rsid w:val="0CA912FB"/>
    <w:rsid w:val="0CD12600"/>
    <w:rsid w:val="0CE00A95"/>
    <w:rsid w:val="0CE7389C"/>
    <w:rsid w:val="0CF25247"/>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B0205"/>
    <w:rsid w:val="0F425337"/>
    <w:rsid w:val="0F465226"/>
    <w:rsid w:val="0F53554E"/>
    <w:rsid w:val="0F83743D"/>
    <w:rsid w:val="0F8B4EFC"/>
    <w:rsid w:val="0FA22032"/>
    <w:rsid w:val="0FA25CB6"/>
    <w:rsid w:val="0FB51D65"/>
    <w:rsid w:val="0FB7564B"/>
    <w:rsid w:val="0FC4644C"/>
    <w:rsid w:val="0FCF7FFC"/>
    <w:rsid w:val="0FD85A54"/>
    <w:rsid w:val="0FDC5544"/>
    <w:rsid w:val="0FE10DAC"/>
    <w:rsid w:val="0FFA2AB6"/>
    <w:rsid w:val="10090303"/>
    <w:rsid w:val="100D7DF3"/>
    <w:rsid w:val="101E5B5C"/>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47B9"/>
    <w:rsid w:val="112C1D96"/>
    <w:rsid w:val="112D2A00"/>
    <w:rsid w:val="114A472F"/>
    <w:rsid w:val="115B7EC7"/>
    <w:rsid w:val="115D0CDB"/>
    <w:rsid w:val="115F642C"/>
    <w:rsid w:val="11650E0F"/>
    <w:rsid w:val="118367EC"/>
    <w:rsid w:val="119A2EC2"/>
    <w:rsid w:val="11B0572B"/>
    <w:rsid w:val="11C75D80"/>
    <w:rsid w:val="11DF575B"/>
    <w:rsid w:val="11FF19BD"/>
    <w:rsid w:val="12011292"/>
    <w:rsid w:val="12064AFA"/>
    <w:rsid w:val="120D40DA"/>
    <w:rsid w:val="12241424"/>
    <w:rsid w:val="123A47A4"/>
    <w:rsid w:val="12661A3D"/>
    <w:rsid w:val="127777A6"/>
    <w:rsid w:val="127B416C"/>
    <w:rsid w:val="12837EF9"/>
    <w:rsid w:val="129245E0"/>
    <w:rsid w:val="12AB56A1"/>
    <w:rsid w:val="12B24C82"/>
    <w:rsid w:val="12B72AC8"/>
    <w:rsid w:val="12BB58E4"/>
    <w:rsid w:val="12C14EC5"/>
    <w:rsid w:val="12C53BAB"/>
    <w:rsid w:val="12C56763"/>
    <w:rsid w:val="12D6271E"/>
    <w:rsid w:val="12DD56D0"/>
    <w:rsid w:val="12E453E1"/>
    <w:rsid w:val="130A686C"/>
    <w:rsid w:val="131B748C"/>
    <w:rsid w:val="13392CAD"/>
    <w:rsid w:val="13405DEA"/>
    <w:rsid w:val="134C0C32"/>
    <w:rsid w:val="13541895"/>
    <w:rsid w:val="13581385"/>
    <w:rsid w:val="1360023A"/>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E195E"/>
    <w:rsid w:val="16E84EEA"/>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586B42"/>
    <w:rsid w:val="1A642D06"/>
    <w:rsid w:val="1A6D1DE9"/>
    <w:rsid w:val="1A6F016E"/>
    <w:rsid w:val="1A7F5449"/>
    <w:rsid w:val="1A8C7802"/>
    <w:rsid w:val="1A926B26"/>
    <w:rsid w:val="1A9A6727"/>
    <w:rsid w:val="1AAB623F"/>
    <w:rsid w:val="1AB33345"/>
    <w:rsid w:val="1AC83294"/>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1522F2"/>
    <w:rsid w:val="1D23360C"/>
    <w:rsid w:val="1D317F46"/>
    <w:rsid w:val="1D3249F5"/>
    <w:rsid w:val="1D5038FF"/>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3E4D67"/>
    <w:rsid w:val="1E401394"/>
    <w:rsid w:val="1E827BFE"/>
    <w:rsid w:val="1E854FF8"/>
    <w:rsid w:val="1E983160"/>
    <w:rsid w:val="1E9E60BA"/>
    <w:rsid w:val="1E9F255E"/>
    <w:rsid w:val="1EAB5CA8"/>
    <w:rsid w:val="1ECA0C2F"/>
    <w:rsid w:val="1ECE074D"/>
    <w:rsid w:val="1ED0096A"/>
    <w:rsid w:val="1EDA46D4"/>
    <w:rsid w:val="1EEC5078"/>
    <w:rsid w:val="1F047D4E"/>
    <w:rsid w:val="1F066139"/>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3351E0"/>
    <w:rsid w:val="213571AA"/>
    <w:rsid w:val="213836B0"/>
    <w:rsid w:val="213B4094"/>
    <w:rsid w:val="214E7D12"/>
    <w:rsid w:val="214F5414"/>
    <w:rsid w:val="21690C01"/>
    <w:rsid w:val="21791684"/>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8717F"/>
    <w:rsid w:val="235F71C6"/>
    <w:rsid w:val="236773C3"/>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3F446A"/>
    <w:rsid w:val="28445F24"/>
    <w:rsid w:val="28497097"/>
    <w:rsid w:val="284E1834"/>
    <w:rsid w:val="28575C58"/>
    <w:rsid w:val="287265EE"/>
    <w:rsid w:val="2875030A"/>
    <w:rsid w:val="287F4DA2"/>
    <w:rsid w:val="28885E11"/>
    <w:rsid w:val="289447B6"/>
    <w:rsid w:val="28C8445F"/>
    <w:rsid w:val="28D01566"/>
    <w:rsid w:val="28D450EA"/>
    <w:rsid w:val="28D5055F"/>
    <w:rsid w:val="28ED2B95"/>
    <w:rsid w:val="28FC39E6"/>
    <w:rsid w:val="29052447"/>
    <w:rsid w:val="29080D00"/>
    <w:rsid w:val="29162311"/>
    <w:rsid w:val="291C5438"/>
    <w:rsid w:val="292A6EC8"/>
    <w:rsid w:val="29314DC9"/>
    <w:rsid w:val="29565F0F"/>
    <w:rsid w:val="29713F9E"/>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D0222"/>
    <w:rsid w:val="2BFD08C4"/>
    <w:rsid w:val="2BFD4C22"/>
    <w:rsid w:val="2C083572"/>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34A16"/>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C33917"/>
    <w:rsid w:val="31C51E84"/>
    <w:rsid w:val="31CB005B"/>
    <w:rsid w:val="31D644AB"/>
    <w:rsid w:val="31D837D6"/>
    <w:rsid w:val="31E242A6"/>
    <w:rsid w:val="31E247E4"/>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311CD"/>
    <w:rsid w:val="360A60B7"/>
    <w:rsid w:val="3628478F"/>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710594F"/>
    <w:rsid w:val="37364480"/>
    <w:rsid w:val="373B04F2"/>
    <w:rsid w:val="374B6987"/>
    <w:rsid w:val="37545800"/>
    <w:rsid w:val="375D66BB"/>
    <w:rsid w:val="37677539"/>
    <w:rsid w:val="376B702A"/>
    <w:rsid w:val="376E2791"/>
    <w:rsid w:val="379A346B"/>
    <w:rsid w:val="37C26C87"/>
    <w:rsid w:val="37C329C2"/>
    <w:rsid w:val="37D526F5"/>
    <w:rsid w:val="37D95311"/>
    <w:rsid w:val="37E1553E"/>
    <w:rsid w:val="37F06328"/>
    <w:rsid w:val="38007D90"/>
    <w:rsid w:val="3801529B"/>
    <w:rsid w:val="380C41FD"/>
    <w:rsid w:val="380F3E59"/>
    <w:rsid w:val="381474C6"/>
    <w:rsid w:val="38183E1B"/>
    <w:rsid w:val="38207E14"/>
    <w:rsid w:val="382471D8"/>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E30E42"/>
    <w:rsid w:val="38F66DC7"/>
    <w:rsid w:val="38F92413"/>
    <w:rsid w:val="391060DB"/>
    <w:rsid w:val="39287D16"/>
    <w:rsid w:val="392C04C3"/>
    <w:rsid w:val="39317DFF"/>
    <w:rsid w:val="39377035"/>
    <w:rsid w:val="396C2352"/>
    <w:rsid w:val="39706B79"/>
    <w:rsid w:val="39904B26"/>
    <w:rsid w:val="39A16D33"/>
    <w:rsid w:val="39A409AB"/>
    <w:rsid w:val="39AB195F"/>
    <w:rsid w:val="39D35282"/>
    <w:rsid w:val="39E5380A"/>
    <w:rsid w:val="39F257E0"/>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755158"/>
    <w:rsid w:val="3B7A3CDF"/>
    <w:rsid w:val="3B7F4E52"/>
    <w:rsid w:val="3B837F8F"/>
    <w:rsid w:val="3B842468"/>
    <w:rsid w:val="3B862684"/>
    <w:rsid w:val="3B885799"/>
    <w:rsid w:val="3B892174"/>
    <w:rsid w:val="3B8D0D14"/>
    <w:rsid w:val="3B9B404F"/>
    <w:rsid w:val="3BA90120"/>
    <w:rsid w:val="3BB42217"/>
    <w:rsid w:val="3BBC1BB7"/>
    <w:rsid w:val="3BBC42F8"/>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7060DA"/>
    <w:rsid w:val="3C8B7826"/>
    <w:rsid w:val="3C917BA0"/>
    <w:rsid w:val="3CA65F73"/>
    <w:rsid w:val="3CAF1767"/>
    <w:rsid w:val="3CB46D7D"/>
    <w:rsid w:val="3CBA010B"/>
    <w:rsid w:val="3CC01BC6"/>
    <w:rsid w:val="3CC11038"/>
    <w:rsid w:val="3CD236A7"/>
    <w:rsid w:val="3CD4773D"/>
    <w:rsid w:val="3CE31550"/>
    <w:rsid w:val="3CE32F55"/>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C27A03"/>
    <w:rsid w:val="3FC96FE3"/>
    <w:rsid w:val="3FD3765F"/>
    <w:rsid w:val="3FE32A90"/>
    <w:rsid w:val="3FE43E1D"/>
    <w:rsid w:val="3FE47979"/>
    <w:rsid w:val="3FE8319B"/>
    <w:rsid w:val="3FFA719D"/>
    <w:rsid w:val="4004305D"/>
    <w:rsid w:val="400870B8"/>
    <w:rsid w:val="40153FD6"/>
    <w:rsid w:val="40155D85"/>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456849"/>
    <w:rsid w:val="43501FEC"/>
    <w:rsid w:val="43502E79"/>
    <w:rsid w:val="43574906"/>
    <w:rsid w:val="435E5C94"/>
    <w:rsid w:val="435E718F"/>
    <w:rsid w:val="436A63E7"/>
    <w:rsid w:val="43784FA8"/>
    <w:rsid w:val="437A41A8"/>
    <w:rsid w:val="438A480E"/>
    <w:rsid w:val="43972F54"/>
    <w:rsid w:val="43994193"/>
    <w:rsid w:val="43996CCD"/>
    <w:rsid w:val="439F6C52"/>
    <w:rsid w:val="43A22025"/>
    <w:rsid w:val="43BC14A4"/>
    <w:rsid w:val="43CC0E50"/>
    <w:rsid w:val="43D16466"/>
    <w:rsid w:val="43EA6480"/>
    <w:rsid w:val="43F108B7"/>
    <w:rsid w:val="43F839F3"/>
    <w:rsid w:val="440F762E"/>
    <w:rsid w:val="44112D07"/>
    <w:rsid w:val="441445A5"/>
    <w:rsid w:val="4416031D"/>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7168C"/>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94464B"/>
    <w:rsid w:val="46954ED9"/>
    <w:rsid w:val="46A61E2C"/>
    <w:rsid w:val="46AC6D17"/>
    <w:rsid w:val="46B207D1"/>
    <w:rsid w:val="46B32138"/>
    <w:rsid w:val="46D86BA4"/>
    <w:rsid w:val="46E255B6"/>
    <w:rsid w:val="46EB5A91"/>
    <w:rsid w:val="46F22218"/>
    <w:rsid w:val="46F72688"/>
    <w:rsid w:val="46FA3F26"/>
    <w:rsid w:val="46FB5788"/>
    <w:rsid w:val="471A0124"/>
    <w:rsid w:val="47412EAE"/>
    <w:rsid w:val="474358CD"/>
    <w:rsid w:val="47487D3C"/>
    <w:rsid w:val="474A6C5C"/>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E5BC4"/>
    <w:rsid w:val="4BE225CF"/>
    <w:rsid w:val="4BE64A79"/>
    <w:rsid w:val="4BF076A6"/>
    <w:rsid w:val="4BF533FE"/>
    <w:rsid w:val="4C0B48F2"/>
    <w:rsid w:val="4C225B2C"/>
    <w:rsid w:val="4C464A47"/>
    <w:rsid w:val="4C4C1669"/>
    <w:rsid w:val="4C567E51"/>
    <w:rsid w:val="4C600CB1"/>
    <w:rsid w:val="4C667968"/>
    <w:rsid w:val="4C7A7F44"/>
    <w:rsid w:val="4C8C4B93"/>
    <w:rsid w:val="4C9E7102"/>
    <w:rsid w:val="4CA010CC"/>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55A1A"/>
    <w:rsid w:val="4E775E5C"/>
    <w:rsid w:val="4E781BAF"/>
    <w:rsid w:val="4E7D6D7D"/>
    <w:rsid w:val="4E824F2D"/>
    <w:rsid w:val="4E881E17"/>
    <w:rsid w:val="4E9D50CF"/>
    <w:rsid w:val="4EA053B3"/>
    <w:rsid w:val="4EAB2916"/>
    <w:rsid w:val="4EBF4055"/>
    <w:rsid w:val="4EC05A55"/>
    <w:rsid w:val="4EC07803"/>
    <w:rsid w:val="4EC372F3"/>
    <w:rsid w:val="4ECF2C73"/>
    <w:rsid w:val="4ED908C5"/>
    <w:rsid w:val="4EF474AD"/>
    <w:rsid w:val="4EF95E37"/>
    <w:rsid w:val="4F041DE6"/>
    <w:rsid w:val="4F053A58"/>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ACA"/>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F1952"/>
    <w:rsid w:val="51AC22C1"/>
    <w:rsid w:val="51AF590D"/>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B2034"/>
    <w:rsid w:val="555D3FFE"/>
    <w:rsid w:val="556829A3"/>
    <w:rsid w:val="556E620B"/>
    <w:rsid w:val="557A3281"/>
    <w:rsid w:val="558D41B7"/>
    <w:rsid w:val="55A17967"/>
    <w:rsid w:val="55A41C2D"/>
    <w:rsid w:val="55B139E6"/>
    <w:rsid w:val="55CE0A58"/>
    <w:rsid w:val="55CE6156"/>
    <w:rsid w:val="55D50038"/>
    <w:rsid w:val="55E32A1C"/>
    <w:rsid w:val="55FE011D"/>
    <w:rsid w:val="561603B2"/>
    <w:rsid w:val="561641AD"/>
    <w:rsid w:val="561F5757"/>
    <w:rsid w:val="56290384"/>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6A2B"/>
    <w:rsid w:val="57201A20"/>
    <w:rsid w:val="572648C3"/>
    <w:rsid w:val="572D5C52"/>
    <w:rsid w:val="57345792"/>
    <w:rsid w:val="57346FE0"/>
    <w:rsid w:val="57475C4D"/>
    <w:rsid w:val="575B27BF"/>
    <w:rsid w:val="576A47B0"/>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D1393"/>
    <w:rsid w:val="58B55EFF"/>
    <w:rsid w:val="58C3061C"/>
    <w:rsid w:val="58D42829"/>
    <w:rsid w:val="58E70221"/>
    <w:rsid w:val="58F22CAF"/>
    <w:rsid w:val="58FE1654"/>
    <w:rsid w:val="59007A6C"/>
    <w:rsid w:val="5908019E"/>
    <w:rsid w:val="591B7FEB"/>
    <w:rsid w:val="59314975"/>
    <w:rsid w:val="594401C1"/>
    <w:rsid w:val="594E7A78"/>
    <w:rsid w:val="59550740"/>
    <w:rsid w:val="596279B4"/>
    <w:rsid w:val="5966544B"/>
    <w:rsid w:val="597436C4"/>
    <w:rsid w:val="59814033"/>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57029D"/>
    <w:rsid w:val="5A90452E"/>
    <w:rsid w:val="5A953457"/>
    <w:rsid w:val="5AA004E9"/>
    <w:rsid w:val="5AA955EF"/>
    <w:rsid w:val="5AB3646E"/>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DD5A24"/>
    <w:rsid w:val="5CE6525A"/>
    <w:rsid w:val="5CE868B8"/>
    <w:rsid w:val="5CFF1E3E"/>
    <w:rsid w:val="5D1134E3"/>
    <w:rsid w:val="5D2D69AC"/>
    <w:rsid w:val="5D3B5199"/>
    <w:rsid w:val="5D4E06D0"/>
    <w:rsid w:val="5D682369"/>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F44096"/>
    <w:rsid w:val="670562A3"/>
    <w:rsid w:val="670B7AEA"/>
    <w:rsid w:val="671E1113"/>
    <w:rsid w:val="67220595"/>
    <w:rsid w:val="67241800"/>
    <w:rsid w:val="672A3F5C"/>
    <w:rsid w:val="672C2A5E"/>
    <w:rsid w:val="672D3563"/>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F7593"/>
    <w:rsid w:val="685F3791"/>
    <w:rsid w:val="68637725"/>
    <w:rsid w:val="688A7DAC"/>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D56B2"/>
    <w:rsid w:val="6A1F767C"/>
    <w:rsid w:val="6A2627B9"/>
    <w:rsid w:val="6A444CAE"/>
    <w:rsid w:val="6A462E5B"/>
    <w:rsid w:val="6A49294B"/>
    <w:rsid w:val="6A503CD9"/>
    <w:rsid w:val="6A55529A"/>
    <w:rsid w:val="6A692CB7"/>
    <w:rsid w:val="6A696B49"/>
    <w:rsid w:val="6A7F43C0"/>
    <w:rsid w:val="6A8952C2"/>
    <w:rsid w:val="6A906D98"/>
    <w:rsid w:val="6AA6423E"/>
    <w:rsid w:val="6AB57FE0"/>
    <w:rsid w:val="6AC344AB"/>
    <w:rsid w:val="6AC65D4A"/>
    <w:rsid w:val="6AD46A66"/>
    <w:rsid w:val="6AED37F2"/>
    <w:rsid w:val="6AEF7DCE"/>
    <w:rsid w:val="6AF723A7"/>
    <w:rsid w:val="6B170596"/>
    <w:rsid w:val="6B3A1E2C"/>
    <w:rsid w:val="6B3C7DBA"/>
    <w:rsid w:val="6B621F16"/>
    <w:rsid w:val="6B6F4633"/>
    <w:rsid w:val="6B717BCD"/>
    <w:rsid w:val="6B7B2FD8"/>
    <w:rsid w:val="6B7D161D"/>
    <w:rsid w:val="6B9023FF"/>
    <w:rsid w:val="6B9F5BAD"/>
    <w:rsid w:val="6BA442DD"/>
    <w:rsid w:val="6BA46BE1"/>
    <w:rsid w:val="6BA936A1"/>
    <w:rsid w:val="6BC04E8F"/>
    <w:rsid w:val="6BC06C3D"/>
    <w:rsid w:val="6BC26511"/>
    <w:rsid w:val="6BC404DB"/>
    <w:rsid w:val="6BC95AF1"/>
    <w:rsid w:val="6BCA6224"/>
    <w:rsid w:val="6BD10E4A"/>
    <w:rsid w:val="6BD41C61"/>
    <w:rsid w:val="6BD83F86"/>
    <w:rsid w:val="6BE91CF0"/>
    <w:rsid w:val="6BF32B6E"/>
    <w:rsid w:val="6BFB1A23"/>
    <w:rsid w:val="6BFF5A02"/>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3F5C"/>
    <w:rsid w:val="6F241291"/>
    <w:rsid w:val="6F255735"/>
    <w:rsid w:val="6F3C65DA"/>
    <w:rsid w:val="6F5837CB"/>
    <w:rsid w:val="6F6D5423"/>
    <w:rsid w:val="6F7B1C18"/>
    <w:rsid w:val="6F7C0E3D"/>
    <w:rsid w:val="6F7F4023"/>
    <w:rsid w:val="6F82185F"/>
    <w:rsid w:val="6F886353"/>
    <w:rsid w:val="6F88683F"/>
    <w:rsid w:val="6F887838"/>
    <w:rsid w:val="6F8E41A4"/>
    <w:rsid w:val="6FA32AFD"/>
    <w:rsid w:val="6FB677CD"/>
    <w:rsid w:val="6FB7179E"/>
    <w:rsid w:val="6FB940CF"/>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E2AC7"/>
    <w:rsid w:val="70634139"/>
    <w:rsid w:val="7069758F"/>
    <w:rsid w:val="70705949"/>
    <w:rsid w:val="70744007"/>
    <w:rsid w:val="708244C1"/>
    <w:rsid w:val="709C5DB4"/>
    <w:rsid w:val="70B236B4"/>
    <w:rsid w:val="70BF6642"/>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1B27D2"/>
    <w:rsid w:val="75221B04"/>
    <w:rsid w:val="752B7759"/>
    <w:rsid w:val="75510906"/>
    <w:rsid w:val="75630D65"/>
    <w:rsid w:val="75643640"/>
    <w:rsid w:val="756B7C19"/>
    <w:rsid w:val="75717E89"/>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AF3B36"/>
    <w:rsid w:val="76B80C3C"/>
    <w:rsid w:val="76C53359"/>
    <w:rsid w:val="76DE441B"/>
    <w:rsid w:val="76EB3A50"/>
    <w:rsid w:val="76F679B7"/>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5C2227"/>
    <w:rsid w:val="7A601D17"/>
    <w:rsid w:val="7A6376BF"/>
    <w:rsid w:val="7A756E44"/>
    <w:rsid w:val="7A82542A"/>
    <w:rsid w:val="7A951295"/>
    <w:rsid w:val="7A97688D"/>
    <w:rsid w:val="7A9814B1"/>
    <w:rsid w:val="7AA65250"/>
    <w:rsid w:val="7AB43E11"/>
    <w:rsid w:val="7AD06D06"/>
    <w:rsid w:val="7ADD3367"/>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E62533"/>
    <w:rsid w:val="7DF84014"/>
    <w:rsid w:val="7DFA4423"/>
    <w:rsid w:val="7E0105AB"/>
    <w:rsid w:val="7E0503B7"/>
    <w:rsid w:val="7E074257"/>
    <w:rsid w:val="7E0E55E6"/>
    <w:rsid w:val="7E1C7D03"/>
    <w:rsid w:val="7E384472"/>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21C7"/>
    <w:rsid w:val="7F3217A8"/>
    <w:rsid w:val="7F343772"/>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3464</Words>
  <Characters>4126</Characters>
  <Lines>0</Lines>
  <Paragraphs>0</Paragraphs>
  <TotalTime>0</TotalTime>
  <ScaleCrop>false</ScaleCrop>
  <LinksUpToDate>false</LinksUpToDate>
  <CharactersWithSpaces>4169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2024-05-21T01:18:12Z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