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1"/>
          <w:szCs w:val="21"/>
          <w:lang w:val="en-US" w:eastAsia="zh-CN"/>
        </w:rPr>
      </w:pPr>
      <w:bookmarkStart w:id="0" w:name="_GoBack"/>
      <w:r>
        <w:rPr>
          <w:rFonts w:hint="eastAsia" w:ascii="宋体" w:hAnsi="宋体" w:eastAsia="宋体" w:cs="宋体"/>
          <w:b/>
          <w:bCs/>
          <w:sz w:val="21"/>
          <w:szCs w:val="21"/>
          <w:lang w:val="en-US" w:eastAsia="zh-CN"/>
        </w:rPr>
        <w:t>异动分析：银价狂飙，风险机遇并存</w:t>
      </w:r>
    </w:p>
    <w:bookmarkEnd w:id="0"/>
    <w:p>
      <w:pPr>
        <w:spacing w:line="360" w:lineRule="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异动情况：</w:t>
      </w:r>
      <w:r>
        <w:rPr>
          <w:rFonts w:hint="eastAsia" w:ascii="宋体" w:hAnsi="宋体" w:eastAsia="宋体" w:cs="宋体"/>
          <w:sz w:val="21"/>
          <w:szCs w:val="21"/>
          <w:lang w:val="en-US" w:eastAsia="zh-CN"/>
        </w:rPr>
        <w:t>5月17日至5月20日，受市场对美联储降息预期调整影响，伦敦白银现货累计上涨7.53%，报31.813美元/盎司，COMEX银2407主力合约累计上涨8.91%，报32.055美元/盎司。</w:t>
      </w:r>
    </w:p>
    <w:p>
      <w:pPr>
        <w:spacing w:line="360" w:lineRule="auto"/>
        <w:rPr>
          <w:rFonts w:hint="eastAsia" w:ascii="宋体" w:hAnsi="宋体" w:eastAsia="宋体" w:cs="宋体"/>
          <w:sz w:val="21"/>
          <w:szCs w:val="21"/>
          <w:lang w:val="en-US" w:eastAsia="zh-CN"/>
        </w:rPr>
      </w:pPr>
    </w:p>
    <w:p>
      <w:p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异动分析：美国经济数据超预期回落，降息预期回升</w:t>
      </w:r>
    </w:p>
    <w:p>
      <w:pPr>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原因1：</w:t>
      </w:r>
      <w:r>
        <w:rPr>
          <w:rFonts w:hint="eastAsia" w:ascii="宋体" w:hAnsi="宋体" w:eastAsia="宋体" w:cs="宋体"/>
          <w:b w:val="0"/>
          <w:bCs w:val="0"/>
          <w:sz w:val="21"/>
          <w:szCs w:val="21"/>
          <w:lang w:val="en-US" w:eastAsia="zh-CN"/>
        </w:rPr>
        <w:t>自5月以来，美国非农就业数据以及通胀数据均超预期走弱，非农就业数据方面，美国4月非农新增就业人数录得17.5万人，低于预期的24万人及前值31.5万人，失业率同样由3.8%上升至3.9%，高于预期的3.8%。前期作为新增就业人数主要推手的服务业劳需求或进一步走弱，而这也进一步反映在持续放缓的薪资增速上（4月平均时薪同比增速3.9%，预期4%，前值4.1%）。在劳动力需求下降的情况下，劳动力市场接纳度回落或导致未来工人薪资议价权或有所转弱，整体居民收入减少或有利削弱经济消费能力，相关核心价格或失去相应支撑。</w:t>
      </w:r>
    </w:p>
    <w:p>
      <w:pPr>
        <w:spacing w:line="360" w:lineRule="auto"/>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图1美国新增就业人数回落，失业率走高</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041140" cy="2432050"/>
            <wp:effectExtent l="0" t="0" r="1651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stretch>
                      <a:fillRect/>
                    </a:stretch>
                  </pic:blipFill>
                  <pic:spPr>
                    <a:xfrm>
                      <a:off x="0" y="0"/>
                      <a:ext cx="4041140" cy="2432050"/>
                    </a:xfrm>
                    <a:prstGeom prst="rect">
                      <a:avLst/>
                    </a:prstGeom>
                    <a:noFill/>
                    <a:ln>
                      <a:noFill/>
                    </a:ln>
                  </pic:spPr>
                </pic:pic>
              </a:graphicData>
            </a:graphic>
          </wp:inline>
        </w:drawing>
      </w:r>
    </w:p>
    <w:p>
      <w:pPr>
        <w:spacing w:line="360" w:lineRule="auto"/>
        <w:jc w:val="both"/>
        <w:rPr>
          <w:rFonts w:hint="eastAsia" w:ascii="宋体" w:hAnsi="宋体" w:eastAsia="宋体" w:cs="宋体"/>
          <w:b w:val="0"/>
          <w:bCs w:val="0"/>
          <w:sz w:val="21"/>
          <w:szCs w:val="21"/>
          <w:lang w:val="en-US" w:eastAsia="zh-CN"/>
        </w:rPr>
      </w:pPr>
      <w:r>
        <w:rPr>
          <w:rFonts w:hint="eastAsia" w:ascii="宋体" w:hAnsi="宋体" w:eastAsia="宋体" w:cs="宋体"/>
          <w:i/>
          <w:iCs/>
          <w:sz w:val="21"/>
          <w:szCs w:val="21"/>
          <w:lang w:val="en-US" w:eastAsia="zh-CN"/>
        </w:rPr>
        <w:t>图表来源：Wind，瑞达期货研究院</w:t>
      </w:r>
    </w:p>
    <w:p>
      <w:pPr>
        <w:keepNext w:val="0"/>
        <w:keepLines w:val="0"/>
        <w:widowControl/>
        <w:suppressLineNumbers w:val="0"/>
        <w:spacing w:line="360" w:lineRule="auto"/>
        <w:jc w:val="left"/>
        <w:rPr>
          <w:rFonts w:hint="eastAsia" w:ascii="宋体" w:hAnsi="宋体" w:eastAsia="宋体" w:cs="宋体"/>
          <w:i w:val="0"/>
          <w:iCs w:val="0"/>
          <w:caps w:val="0"/>
          <w:color w:val="222222"/>
          <w:spacing w:val="4"/>
          <w:kern w:val="0"/>
          <w:sz w:val="21"/>
          <w:szCs w:val="21"/>
          <w:shd w:val="clear" w:fill="FFFFFF"/>
          <w:lang w:val="en-US" w:eastAsia="zh-CN" w:bidi="ar"/>
        </w:rPr>
      </w:pPr>
      <w:r>
        <w:rPr>
          <w:rFonts w:hint="eastAsia" w:ascii="宋体" w:hAnsi="宋体" w:eastAsia="宋体" w:cs="宋体"/>
          <w:b/>
          <w:bCs/>
          <w:sz w:val="21"/>
          <w:szCs w:val="21"/>
          <w:lang w:val="en-US" w:eastAsia="zh-CN"/>
        </w:rPr>
        <w:t>原因2：</w:t>
      </w:r>
      <w:r>
        <w:rPr>
          <w:rFonts w:hint="eastAsia" w:ascii="宋体" w:hAnsi="宋体" w:eastAsia="宋体" w:cs="宋体"/>
          <w:b w:val="0"/>
          <w:bCs w:val="0"/>
          <w:sz w:val="21"/>
          <w:szCs w:val="21"/>
          <w:lang w:val="en-US" w:eastAsia="zh-CN"/>
        </w:rPr>
        <w:t>通胀数据方面，</w:t>
      </w:r>
      <w:r>
        <w:rPr>
          <w:rFonts w:hint="eastAsia" w:ascii="宋体" w:hAnsi="宋体" w:eastAsia="宋体" w:cs="宋体"/>
          <w:i w:val="0"/>
          <w:iCs w:val="0"/>
          <w:caps w:val="0"/>
          <w:color w:val="222222"/>
          <w:spacing w:val="4"/>
          <w:kern w:val="0"/>
          <w:sz w:val="21"/>
          <w:szCs w:val="21"/>
          <w:shd w:val="clear" w:fill="FFFFFF"/>
          <w:lang w:val="en-US" w:eastAsia="zh-CN" w:bidi="ar"/>
        </w:rPr>
        <w:t>美国4月CPI同比涨幅录得3.4%，与预期持平，并略低于前值3.5%；4月CPI环比上涨0.3%，低于预期及前值对0.4%。核心CPI同比上涨3.6%，持平预期并低于前值3.8%，环比增速则放缓至0.3%，为近半年首次降温，整体通胀水平在新车及二手车等商品价格带动下持续回落，同时住房价格同比增速持续放缓，未来或持续朝市场价格走势收敛。</w:t>
      </w:r>
    </w:p>
    <w:p>
      <w:pPr>
        <w:keepNext w:val="0"/>
        <w:keepLines w:val="0"/>
        <w:widowControl/>
        <w:suppressLineNumbers w:val="0"/>
        <w:spacing w:line="360" w:lineRule="auto"/>
        <w:ind w:firstLine="720" w:firstLineChars="0"/>
        <w:jc w:val="left"/>
        <w:rPr>
          <w:rFonts w:hint="eastAsia" w:ascii="宋体" w:hAnsi="宋体" w:eastAsia="宋体" w:cs="宋体"/>
          <w:i w:val="0"/>
          <w:iCs w:val="0"/>
          <w:caps w:val="0"/>
          <w:color w:val="222222"/>
          <w:spacing w:val="4"/>
          <w:kern w:val="0"/>
          <w:sz w:val="21"/>
          <w:szCs w:val="21"/>
          <w:shd w:val="clear" w:fill="FFFFFF"/>
          <w:lang w:val="en-US" w:eastAsia="zh-CN" w:bidi="ar"/>
        </w:rPr>
      </w:pPr>
    </w:p>
    <w:p>
      <w:pPr>
        <w:keepNext w:val="0"/>
        <w:keepLines w:val="0"/>
        <w:widowControl/>
        <w:suppressLineNumbers w:val="0"/>
        <w:spacing w:line="360" w:lineRule="auto"/>
        <w:ind w:firstLine="720" w:firstLineChars="0"/>
        <w:jc w:val="left"/>
        <w:rPr>
          <w:rFonts w:hint="eastAsia" w:ascii="宋体" w:hAnsi="宋体" w:eastAsia="宋体" w:cs="宋体"/>
          <w:i w:val="0"/>
          <w:iCs w:val="0"/>
          <w:caps w:val="0"/>
          <w:color w:val="222222"/>
          <w:spacing w:val="4"/>
          <w:kern w:val="0"/>
          <w:sz w:val="21"/>
          <w:szCs w:val="21"/>
          <w:shd w:val="clear" w:fill="FFFFFF"/>
          <w:lang w:val="en-US" w:eastAsia="zh-CN" w:bidi="ar"/>
        </w:rPr>
      </w:pPr>
    </w:p>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eastAsia" w:ascii="宋体" w:hAnsi="宋体" w:eastAsia="宋体" w:cs="宋体"/>
          <w:b/>
          <w:bCs/>
          <w:sz w:val="21"/>
          <w:szCs w:val="21"/>
          <w:lang w:val="en-US" w:eastAsia="zh-CN"/>
        </w:rPr>
      </w:pPr>
    </w:p>
    <w:p>
      <w:pPr>
        <w:spacing w:line="360" w:lineRule="auto"/>
        <w:jc w:val="center"/>
        <w:rPr>
          <w:rFonts w:hint="eastAsia" w:ascii="宋体" w:hAnsi="宋体" w:eastAsia="宋体" w:cs="宋体"/>
          <w:i w:val="0"/>
          <w:iCs w:val="0"/>
          <w:caps w:val="0"/>
          <w:color w:val="222222"/>
          <w:spacing w:val="4"/>
          <w:kern w:val="0"/>
          <w:sz w:val="21"/>
          <w:szCs w:val="21"/>
          <w:shd w:val="clear" w:fill="FFFFFF"/>
          <w:lang w:val="en-US" w:eastAsia="zh-CN" w:bidi="ar"/>
        </w:rPr>
      </w:pPr>
      <w:r>
        <w:rPr>
          <w:rFonts w:hint="eastAsia" w:ascii="宋体" w:hAnsi="宋体" w:eastAsia="宋体" w:cs="宋体"/>
          <w:b/>
          <w:bCs/>
          <w:sz w:val="21"/>
          <w:szCs w:val="21"/>
          <w:lang w:val="en-US" w:eastAsia="zh-CN"/>
        </w:rPr>
        <w:t>图2美国CPI数据超预期走弱</w:t>
      </w:r>
    </w:p>
    <w:p>
      <w:pPr>
        <w:keepNext w:val="0"/>
        <w:keepLines w:val="0"/>
        <w:widowControl/>
        <w:suppressLineNumbers w:val="0"/>
        <w:spacing w:line="360" w:lineRule="auto"/>
        <w:jc w:val="center"/>
        <w:rPr>
          <w:rFonts w:hint="eastAsia" w:ascii="宋体" w:hAnsi="宋体" w:eastAsia="宋体" w:cs="宋体"/>
          <w:i w:val="0"/>
          <w:iCs w:val="0"/>
          <w:caps w:val="0"/>
          <w:color w:val="222222"/>
          <w:spacing w:val="4"/>
          <w:kern w:val="0"/>
          <w:sz w:val="21"/>
          <w:szCs w:val="21"/>
          <w:shd w:val="clear" w:fill="FFFFFF"/>
          <w:lang w:val="en-US" w:eastAsia="zh-CN" w:bidi="ar"/>
        </w:rPr>
      </w:pPr>
      <w:r>
        <w:rPr>
          <w:rFonts w:hint="eastAsia" w:ascii="宋体" w:hAnsi="宋体" w:eastAsia="宋体" w:cs="宋体"/>
          <w:sz w:val="21"/>
          <w:szCs w:val="21"/>
        </w:rPr>
        <w:drawing>
          <wp:inline distT="0" distB="0" distL="114300" distR="114300">
            <wp:extent cx="4348480" cy="2613660"/>
            <wp:effectExtent l="0" t="0" r="1397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348480" cy="2613660"/>
                    </a:xfrm>
                    <a:prstGeom prst="rect">
                      <a:avLst/>
                    </a:prstGeom>
                    <a:noFill/>
                    <a:ln>
                      <a:noFill/>
                    </a:ln>
                  </pic:spPr>
                </pic:pic>
              </a:graphicData>
            </a:graphic>
          </wp:inline>
        </w:drawing>
      </w:r>
    </w:p>
    <w:p>
      <w:pPr>
        <w:spacing w:line="360" w:lineRule="auto"/>
        <w:jc w:val="both"/>
        <w:rPr>
          <w:rFonts w:hint="eastAsia" w:ascii="宋体" w:hAnsi="宋体" w:eastAsia="宋体" w:cs="宋体"/>
          <w:i/>
          <w:iCs/>
          <w:sz w:val="21"/>
          <w:szCs w:val="21"/>
          <w:lang w:val="en-US" w:eastAsia="zh-CN"/>
        </w:rPr>
      </w:pPr>
      <w:r>
        <w:rPr>
          <w:rFonts w:hint="eastAsia" w:ascii="宋体" w:hAnsi="宋体" w:eastAsia="宋体" w:cs="宋体"/>
          <w:i/>
          <w:iCs/>
          <w:sz w:val="21"/>
          <w:szCs w:val="21"/>
          <w:lang w:val="en-US" w:eastAsia="zh-CN"/>
        </w:rPr>
        <w:t>图表来源：Wind，瑞达期货研究院</w:t>
      </w:r>
    </w:p>
    <w:p>
      <w:pPr>
        <w:spacing w:line="360" w:lineRule="auto"/>
        <w:jc w:val="both"/>
        <w:rPr>
          <w:rFonts w:hint="eastAsia" w:ascii="宋体" w:hAnsi="宋体" w:eastAsia="宋体" w:cs="宋体"/>
          <w:i w:val="0"/>
          <w:iCs w:val="0"/>
          <w:sz w:val="21"/>
          <w:szCs w:val="21"/>
          <w:lang w:val="en-US" w:eastAsia="zh-CN"/>
        </w:rPr>
      </w:pPr>
      <w:r>
        <w:rPr>
          <w:rFonts w:hint="eastAsia" w:ascii="宋体" w:hAnsi="宋体" w:eastAsia="宋体" w:cs="宋体"/>
          <w:b/>
          <w:bCs/>
          <w:sz w:val="21"/>
          <w:szCs w:val="21"/>
          <w:lang w:val="en-US" w:eastAsia="zh-CN"/>
        </w:rPr>
        <w:t>原因3：</w:t>
      </w:r>
      <w:r>
        <w:rPr>
          <w:rFonts w:hint="eastAsia" w:ascii="宋体" w:hAnsi="宋体" w:eastAsia="宋体" w:cs="宋体"/>
          <w:i w:val="0"/>
          <w:iCs w:val="0"/>
          <w:sz w:val="21"/>
          <w:szCs w:val="21"/>
          <w:lang w:val="en-US" w:eastAsia="zh-CN"/>
        </w:rPr>
        <w:t>在非农及CPI数据公布后，市场大幅抬升了年内美联储降息概率的预期，同时年内首次降息时间再次回到9月会议，而整体降息幅度预期则落在50基点左右的水平，一改先前悲观态度。在利率预期回落的情况下，10年期美债收益率以及美元指数同样失去相应支撑开始回落，以美元计价的商品接连得到提振，同时多数工业金属在全球央行降息预期抬高推升制造业复苏概率的情况下大幅上涨。</w:t>
      </w:r>
    </w:p>
    <w:p>
      <w:pPr>
        <w:spacing w:line="360" w:lineRule="auto"/>
        <w:jc w:val="center"/>
        <w:rPr>
          <w:rFonts w:hint="eastAsia" w:ascii="宋体" w:hAnsi="宋体" w:eastAsia="宋体" w:cs="宋体"/>
          <w:i w:val="0"/>
          <w:iCs w:val="0"/>
          <w:sz w:val="21"/>
          <w:szCs w:val="21"/>
          <w:lang w:val="en-US" w:eastAsia="zh-CN"/>
        </w:rPr>
      </w:pPr>
      <w:r>
        <w:rPr>
          <w:rFonts w:hint="eastAsia" w:ascii="宋体" w:hAnsi="宋体" w:eastAsia="宋体" w:cs="宋体"/>
          <w:b/>
          <w:bCs/>
          <w:sz w:val="21"/>
          <w:szCs w:val="21"/>
          <w:lang w:val="en-US" w:eastAsia="zh-CN"/>
        </w:rPr>
        <w:t>图3市场押注美联储9月开启降息</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591050" cy="2324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591050" cy="2324100"/>
                    </a:xfrm>
                    <a:prstGeom prst="rect">
                      <a:avLst/>
                    </a:prstGeom>
                    <a:noFill/>
                    <a:ln>
                      <a:noFill/>
                    </a:ln>
                  </pic:spPr>
                </pic:pic>
              </a:graphicData>
            </a:graphic>
          </wp:inline>
        </w:drawing>
      </w:r>
    </w:p>
    <w:p>
      <w:pPr>
        <w:spacing w:line="360" w:lineRule="auto"/>
        <w:jc w:val="both"/>
        <w:rPr>
          <w:rFonts w:hint="eastAsia" w:ascii="宋体" w:hAnsi="宋体" w:eastAsia="宋体" w:cs="宋体"/>
          <w:i/>
          <w:iCs/>
          <w:sz w:val="21"/>
          <w:szCs w:val="21"/>
          <w:lang w:val="en-US" w:eastAsia="zh-CN"/>
        </w:rPr>
      </w:pPr>
      <w:r>
        <w:rPr>
          <w:rFonts w:hint="eastAsia" w:ascii="宋体" w:hAnsi="宋体" w:eastAsia="宋体" w:cs="宋体"/>
          <w:i/>
          <w:iCs/>
          <w:sz w:val="21"/>
          <w:szCs w:val="21"/>
          <w:lang w:val="en-US" w:eastAsia="zh-CN"/>
        </w:rPr>
        <w:t>图表来源：CME，瑞达期货研究院</w:t>
      </w:r>
    </w:p>
    <w:p>
      <w:pPr>
        <w:spacing w:line="360" w:lineRule="auto"/>
        <w:jc w:val="both"/>
        <w:rPr>
          <w:rFonts w:hint="eastAsia" w:ascii="宋体" w:hAnsi="宋体" w:eastAsia="宋体" w:cs="宋体"/>
          <w:sz w:val="21"/>
          <w:szCs w:val="21"/>
        </w:rPr>
      </w:pPr>
    </w:p>
    <w:p>
      <w:pPr>
        <w:spacing w:line="360" w:lineRule="auto"/>
        <w:jc w:val="both"/>
        <w:rPr>
          <w:rFonts w:hint="eastAsia" w:ascii="宋体" w:hAnsi="宋体" w:eastAsia="宋体" w:cs="宋体"/>
          <w:sz w:val="21"/>
          <w:szCs w:val="21"/>
        </w:rPr>
      </w:pPr>
    </w:p>
    <w:p>
      <w:pPr>
        <w:spacing w:line="360" w:lineRule="auto"/>
        <w:jc w:val="both"/>
        <w:rPr>
          <w:rFonts w:hint="eastAsia" w:ascii="宋体" w:hAnsi="宋体" w:eastAsia="宋体" w:cs="宋体"/>
          <w:sz w:val="21"/>
          <w:szCs w:val="21"/>
        </w:rPr>
      </w:pPr>
    </w:p>
    <w:p>
      <w:pPr>
        <w:spacing w:line="360" w:lineRule="auto"/>
        <w:jc w:val="both"/>
        <w:rPr>
          <w:rFonts w:hint="eastAsia" w:ascii="宋体" w:hAnsi="宋体" w:eastAsia="宋体" w:cs="宋体"/>
          <w:sz w:val="21"/>
          <w:szCs w:val="21"/>
        </w:rPr>
      </w:pPr>
    </w:p>
    <w:p>
      <w:pPr>
        <w:spacing w:line="360" w:lineRule="auto"/>
        <w:jc w:val="both"/>
        <w:rPr>
          <w:rFonts w:hint="eastAsia" w:ascii="宋体" w:hAnsi="宋体" w:eastAsia="宋体" w:cs="宋体"/>
          <w:sz w:val="21"/>
          <w:szCs w:val="21"/>
        </w:rPr>
      </w:pPr>
    </w:p>
    <w:p>
      <w:pPr>
        <w:spacing w:line="360" w:lineRule="auto"/>
        <w:jc w:val="both"/>
        <w:rPr>
          <w:rFonts w:hint="eastAsia" w:ascii="宋体" w:hAnsi="宋体" w:eastAsia="宋体" w:cs="宋体"/>
          <w:sz w:val="21"/>
          <w:szCs w:val="21"/>
        </w:rPr>
      </w:pP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sz w:val="21"/>
          <w:szCs w:val="21"/>
          <w:lang w:val="en-US"/>
        </w:rPr>
      </w:pPr>
      <w:r>
        <w:rPr>
          <w:rFonts w:hint="eastAsia" w:ascii="宋体" w:hAnsi="宋体" w:eastAsia="宋体" w:cs="宋体"/>
          <w:b/>
          <w:bCs/>
          <w:sz w:val="21"/>
          <w:szCs w:val="21"/>
          <w:lang w:val="en-US" w:eastAsia="zh-CN"/>
        </w:rPr>
        <w:t>图4利率预期回落，美债收益率及美元承压</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4578350" cy="2755265"/>
            <wp:effectExtent l="0" t="0" r="1270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578350" cy="2755265"/>
                    </a:xfrm>
                    <a:prstGeom prst="rect">
                      <a:avLst/>
                    </a:prstGeom>
                    <a:noFill/>
                    <a:ln>
                      <a:noFill/>
                    </a:ln>
                  </pic:spPr>
                </pic:pic>
              </a:graphicData>
            </a:graphic>
          </wp:inline>
        </w:drawing>
      </w:r>
    </w:p>
    <w:p>
      <w:pPr>
        <w:spacing w:line="360" w:lineRule="auto"/>
        <w:jc w:val="both"/>
        <w:rPr>
          <w:rFonts w:hint="eastAsia" w:ascii="宋体" w:hAnsi="宋体" w:eastAsia="宋体" w:cs="宋体"/>
          <w:sz w:val="21"/>
          <w:szCs w:val="21"/>
          <w:lang w:val="en-US" w:eastAsia="zh-CN"/>
        </w:rPr>
      </w:pPr>
      <w:r>
        <w:rPr>
          <w:rFonts w:hint="eastAsia" w:ascii="宋体" w:hAnsi="宋体" w:eastAsia="宋体" w:cs="宋体"/>
          <w:i/>
          <w:iCs/>
          <w:sz w:val="21"/>
          <w:szCs w:val="21"/>
          <w:lang w:val="en-US" w:eastAsia="zh-CN"/>
        </w:rPr>
        <w:t>图表来源：Wind，瑞达期货研究院</w:t>
      </w:r>
    </w:p>
    <w:p>
      <w:pPr>
        <w:keepNext w:val="0"/>
        <w:keepLines w:val="0"/>
        <w:widowControl/>
        <w:suppressLineNumbers w:val="0"/>
        <w:spacing w:line="360" w:lineRule="auto"/>
        <w:jc w:val="left"/>
        <w:rPr>
          <w:rFonts w:hint="eastAsia" w:ascii="宋体" w:hAnsi="宋体" w:eastAsia="宋体" w:cs="宋体"/>
          <w:b/>
          <w:bCs/>
          <w:i w:val="0"/>
          <w:iCs w:val="0"/>
          <w:caps w:val="0"/>
          <w:color w:val="222222"/>
          <w:spacing w:val="4"/>
          <w:kern w:val="0"/>
          <w:sz w:val="21"/>
          <w:szCs w:val="21"/>
          <w:shd w:val="clear" w:fill="FFFFFF"/>
          <w:lang w:val="en-US" w:eastAsia="zh-CN" w:bidi="ar"/>
        </w:rPr>
      </w:pPr>
      <w:r>
        <w:rPr>
          <w:rFonts w:hint="eastAsia" w:ascii="宋体" w:hAnsi="宋体" w:eastAsia="宋体" w:cs="宋体"/>
          <w:b/>
          <w:bCs/>
          <w:i w:val="0"/>
          <w:iCs w:val="0"/>
          <w:caps w:val="0"/>
          <w:color w:val="222222"/>
          <w:spacing w:val="4"/>
          <w:kern w:val="0"/>
          <w:sz w:val="21"/>
          <w:szCs w:val="21"/>
          <w:shd w:val="clear" w:fill="FFFFFF"/>
          <w:lang w:val="en-US" w:eastAsia="zh-CN" w:bidi="ar"/>
        </w:rPr>
        <w:t>观点：</w:t>
      </w:r>
    </w:p>
    <w:p>
      <w:pPr>
        <w:spacing w:line="360" w:lineRule="auto"/>
        <w:ind w:firstLine="72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一季度美国经济数据持续走强的情况下，市场逐渐下调年内美联储降息的预期，甚至出现年内美联储不降息的呼声，导致整体利率水平预期上移，长端美债收益率及美元指数保持强势。然而自4月经济数据陆续公布，年内利率预期再次下降，同时预期反转给予利率相关交易更大变动空间，贵金属价格得到显著提升。除与黄金相关的金融及货币属性发酵外，近期全球制造业pmi回升更是助推具有工业属性的白银大幅上涨。未来在全球央行接连开启降息潮伴随信用宽松的情况下，全球制造业复苏趋势或将持续，白银在金融、货币以及工业三重属性发力下或仍存有一定上涨空间。</w:t>
      </w:r>
    </w:p>
    <w:p>
      <w:pPr>
        <w:spacing w:line="360" w:lineRule="auto"/>
        <w:ind w:firstLine="720" w:firstLineChars="0"/>
        <w:rPr>
          <w:rFonts w:hint="eastAsia" w:ascii="宋体" w:hAnsi="宋体" w:eastAsia="宋体" w:cs="宋体"/>
          <w:b w:val="0"/>
          <w:bCs w:val="0"/>
          <w:sz w:val="21"/>
          <w:szCs w:val="21"/>
          <w:lang w:val="en-US" w:eastAsia="zh-CN"/>
        </w:rPr>
      </w:pPr>
    </w:p>
    <w:p>
      <w:pPr>
        <w:spacing w:line="360" w:lineRule="auto"/>
        <w:ind w:firstLine="720" w:firstLineChars="0"/>
        <w:rPr>
          <w:rFonts w:hint="eastAsia" w:ascii="宋体" w:hAnsi="宋体" w:eastAsia="宋体" w:cs="宋体"/>
          <w:b w:val="0"/>
          <w:bCs w:val="0"/>
          <w:sz w:val="21"/>
          <w:szCs w:val="21"/>
          <w:lang w:val="en-US" w:eastAsia="zh-CN"/>
        </w:rPr>
      </w:pPr>
    </w:p>
    <w:p>
      <w:pPr>
        <w:spacing w:line="360" w:lineRule="auto"/>
        <w:ind w:firstLine="720" w:firstLineChars="0"/>
        <w:rPr>
          <w:rFonts w:hint="eastAsia" w:ascii="宋体" w:hAnsi="宋体" w:eastAsia="宋体" w:cs="宋体"/>
          <w:b w:val="0"/>
          <w:bCs w:val="0"/>
          <w:sz w:val="21"/>
          <w:szCs w:val="21"/>
          <w:lang w:val="en-US" w:eastAsia="zh-CN"/>
        </w:rPr>
      </w:pPr>
    </w:p>
    <w:p>
      <w:pPr>
        <w:spacing w:line="360" w:lineRule="auto"/>
        <w:ind w:firstLine="720" w:firstLineChars="0"/>
        <w:rPr>
          <w:rFonts w:hint="eastAsia" w:ascii="宋体" w:hAnsi="宋体" w:eastAsia="宋体" w:cs="宋体"/>
          <w:b w:val="0"/>
          <w:bCs w:val="0"/>
          <w:sz w:val="21"/>
          <w:szCs w:val="21"/>
          <w:lang w:val="en-US" w:eastAsia="zh-CN"/>
        </w:rPr>
      </w:pPr>
    </w:p>
    <w:p>
      <w:pPr>
        <w:spacing w:line="360" w:lineRule="auto"/>
        <w:ind w:firstLine="720" w:firstLineChars="0"/>
        <w:rPr>
          <w:rFonts w:hint="eastAsia" w:ascii="宋体" w:hAnsi="宋体" w:eastAsia="宋体" w:cs="宋体"/>
          <w:b w:val="0"/>
          <w:bCs w:val="0"/>
          <w:sz w:val="21"/>
          <w:szCs w:val="21"/>
          <w:lang w:val="en-US" w:eastAsia="zh-CN"/>
        </w:rPr>
      </w:pPr>
    </w:p>
    <w:p>
      <w:pPr>
        <w:spacing w:line="360" w:lineRule="auto"/>
        <w:ind w:firstLine="720" w:firstLineChars="0"/>
        <w:rPr>
          <w:rFonts w:hint="eastAsia" w:ascii="宋体" w:hAnsi="宋体" w:eastAsia="宋体" w:cs="宋体"/>
          <w:b w:val="0"/>
          <w:bCs w:val="0"/>
          <w:sz w:val="21"/>
          <w:szCs w:val="21"/>
          <w:lang w:val="en-US" w:eastAsia="zh-CN"/>
        </w:rPr>
      </w:pPr>
    </w:p>
    <w:p>
      <w:pPr>
        <w:spacing w:line="360" w:lineRule="auto"/>
        <w:ind w:firstLine="720" w:firstLineChars="0"/>
        <w:rPr>
          <w:rFonts w:hint="eastAsia" w:ascii="宋体" w:hAnsi="宋体" w:eastAsia="宋体" w:cs="宋体"/>
          <w:b w:val="0"/>
          <w:bCs w:val="0"/>
          <w:sz w:val="21"/>
          <w:szCs w:val="21"/>
          <w:lang w:val="en-US" w:eastAsia="zh-CN"/>
        </w:rPr>
      </w:pPr>
    </w:p>
    <w:p>
      <w:pPr>
        <w:spacing w:line="360" w:lineRule="auto"/>
        <w:ind w:firstLine="720" w:firstLineChars="0"/>
        <w:rPr>
          <w:rFonts w:hint="eastAsia" w:ascii="宋体" w:hAnsi="宋体" w:eastAsia="宋体" w:cs="宋体"/>
          <w:b w:val="0"/>
          <w:bCs w:val="0"/>
          <w:sz w:val="21"/>
          <w:szCs w:val="21"/>
          <w:lang w:val="en-US" w:eastAsia="zh-CN"/>
        </w:rPr>
      </w:pPr>
    </w:p>
    <w:p>
      <w:pPr>
        <w:spacing w:line="360" w:lineRule="auto"/>
        <w:rPr>
          <w:rFonts w:hint="eastAsia" w:ascii="宋体" w:hAnsi="宋体" w:eastAsia="宋体" w:cs="宋体"/>
          <w:b w:val="0"/>
          <w:bCs w:val="0"/>
          <w:sz w:val="21"/>
          <w:szCs w:val="21"/>
          <w:lang w:val="en-US" w:eastAsia="zh-CN"/>
        </w:rPr>
      </w:pPr>
    </w:p>
    <w:p>
      <w:pPr>
        <w:spacing w:line="360" w:lineRule="auto"/>
        <w:rPr>
          <w:rFonts w:hint="eastAsia" w:ascii="宋体" w:hAnsi="宋体" w:eastAsia="宋体" w:cs="宋体"/>
          <w:b w:val="0"/>
          <w:bCs w:val="0"/>
          <w:sz w:val="21"/>
          <w:szCs w:val="21"/>
          <w:lang w:val="en-US" w:eastAsia="zh-CN"/>
        </w:rPr>
      </w:pPr>
    </w:p>
    <w:p>
      <w:pPr>
        <w:spacing w:line="360" w:lineRule="auto"/>
        <w:rPr>
          <w:rFonts w:hint="eastAsia" w:ascii="宋体" w:hAnsi="宋体" w:eastAsia="宋体" w:cs="宋体"/>
          <w:b w:val="0"/>
          <w:bCs w:val="0"/>
          <w:sz w:val="21"/>
          <w:szCs w:val="21"/>
          <w:lang w:val="en-US" w:eastAsia="zh-CN"/>
        </w:rPr>
      </w:pPr>
    </w:p>
    <w:p>
      <w:pPr>
        <w:spacing w:line="360" w:lineRule="auto"/>
        <w:rPr>
          <w:rFonts w:hint="eastAsia" w:ascii="宋体" w:hAnsi="宋体" w:eastAsia="宋体" w:cs="宋体"/>
          <w:b w:val="0"/>
          <w:bCs w:val="0"/>
          <w:sz w:val="21"/>
          <w:szCs w:val="21"/>
          <w:lang w:val="en-US" w:eastAsia="zh-CN"/>
        </w:rPr>
      </w:pPr>
    </w:p>
    <w:p>
      <w:pPr>
        <w:spacing w:line="360" w:lineRule="auto"/>
        <w:jc w:val="both"/>
        <w:rPr>
          <w:rFonts w:hint="eastAsia" w:ascii="宋体" w:hAnsi="宋体" w:eastAsia="宋体" w:cs="宋体"/>
          <w:b/>
          <w:bCs/>
          <w:i w:val="0"/>
          <w:iCs w:val="0"/>
          <w:sz w:val="21"/>
          <w:szCs w:val="21"/>
          <w:lang w:val="en-US" w:eastAsia="zh-CN"/>
        </w:rPr>
      </w:pPr>
      <w:r>
        <w:rPr>
          <w:rFonts w:hint="eastAsia" w:ascii="宋体" w:hAnsi="宋体" w:eastAsia="宋体" w:cs="宋体"/>
          <w:b/>
          <w:bCs/>
          <w:i w:val="0"/>
          <w:iCs w:val="0"/>
          <w:sz w:val="21"/>
          <w:szCs w:val="21"/>
          <w:lang w:val="en-US" w:eastAsia="zh-CN"/>
        </w:rPr>
        <w:t>作者：</w:t>
      </w:r>
    </w:p>
    <w:p>
      <w:pPr>
        <w:spacing w:line="360" w:lineRule="auto"/>
        <w:jc w:val="both"/>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研究员：</w:t>
      </w:r>
    </w:p>
    <w:p>
      <w:pPr>
        <w:spacing w:line="360" w:lineRule="auto"/>
        <w:jc w:val="both"/>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许方莉  期货从业资格号F3073708  期货投资咨询从业证书号Z0017638</w:t>
      </w:r>
    </w:p>
    <w:p>
      <w:pPr>
        <w:spacing w:line="360" w:lineRule="auto"/>
        <w:jc w:val="both"/>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助理研究员：</w:t>
      </w:r>
    </w:p>
    <w:p>
      <w:pPr>
        <w:spacing w:line="360" w:lineRule="auto"/>
        <w:jc w:val="both"/>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王世霖  期货从业资格号F03118150</w:t>
      </w:r>
    </w:p>
    <w:p>
      <w:pPr>
        <w:spacing w:line="360" w:lineRule="auto"/>
        <w:jc w:val="both"/>
        <w:rPr>
          <w:rFonts w:hint="eastAsia" w:ascii="宋体" w:hAnsi="宋体" w:eastAsia="宋体" w:cs="宋体"/>
          <w:i w:val="0"/>
          <w:iCs w:val="0"/>
          <w:sz w:val="21"/>
          <w:szCs w:val="21"/>
          <w:lang w:val="en-US" w:eastAsia="zh-CN"/>
        </w:rPr>
      </w:pPr>
    </w:p>
    <w:p>
      <w:pPr>
        <w:spacing w:line="360" w:lineRule="auto"/>
        <w:jc w:val="both"/>
        <w:rPr>
          <w:rFonts w:hint="eastAsia" w:ascii="宋体" w:hAnsi="宋体" w:eastAsia="宋体" w:cs="宋体"/>
          <w:b/>
          <w:bCs/>
          <w:i w:val="0"/>
          <w:iCs w:val="0"/>
          <w:sz w:val="21"/>
          <w:szCs w:val="21"/>
          <w:lang w:val="en-US" w:eastAsia="zh-CN"/>
        </w:rPr>
      </w:pPr>
      <w:r>
        <w:rPr>
          <w:rFonts w:hint="eastAsia" w:ascii="宋体" w:hAnsi="宋体" w:eastAsia="宋体" w:cs="宋体"/>
          <w:b/>
          <w:bCs/>
          <w:i w:val="0"/>
          <w:iCs w:val="0"/>
          <w:sz w:val="21"/>
          <w:szCs w:val="21"/>
          <w:lang w:val="en-US" w:eastAsia="zh-CN"/>
        </w:rPr>
        <w:t>免责声明：</w:t>
      </w:r>
    </w:p>
    <w:p>
      <w:pPr>
        <w:spacing w:line="360" w:lineRule="auto"/>
        <w:jc w:val="both"/>
        <w:rPr>
          <w:rFonts w:hint="default"/>
          <w:i w:val="0"/>
          <w:iCs w:val="0"/>
          <w:sz w:val="21"/>
          <w:szCs w:val="21"/>
          <w:lang w:val="en-US" w:eastAsia="zh-CN"/>
        </w:rPr>
      </w:pPr>
      <w:r>
        <w:rPr>
          <w:rFonts w:hint="eastAsia" w:ascii="宋体" w:hAnsi="宋体" w:eastAsia="宋体" w:cs="宋体"/>
          <w:i w:val="0"/>
          <w:iCs w:val="0"/>
          <w:sz w:val="21"/>
          <w:szCs w:val="21"/>
          <w:lang w:val="en-US" w:eastAsia="zh-CN"/>
        </w:rPr>
        <w:t>本报告中的信息均来源于公开可获得资料，瑞达期货股份有限公司力求准确可靠，但对这些信息的准确性及完整性不做任何保证，据此投资，责任自负。本报告不构成个人投资建议，客户应考虑本报告中的任何意见或建议是否符合其特定状况。本报告版权仅为我公司所有，未经书面许可，任何机构和个人不得以任何形式翻版、复制和发布。如引用、刊发，需注明出处为瑞达期货股份有限公司研究院，且不得对本报告进行有悖原意的引用、删节</w:t>
      </w:r>
      <w:r>
        <w:rPr>
          <w:rFonts w:hint="default"/>
          <w:i w:val="0"/>
          <w:iCs w:val="0"/>
          <w:sz w:val="21"/>
          <w:szCs w:val="21"/>
          <w:lang w:val="en-US" w:eastAsia="zh-CN"/>
        </w:rPr>
        <w:t>和修改。</w:t>
      </w:r>
    </w:p>
    <w:p>
      <w:pPr>
        <w:spacing w:line="360" w:lineRule="auto"/>
        <w:rPr>
          <w:rFonts w:hint="default" w:ascii="宋体" w:hAnsi="宋体" w:eastAsia="宋体" w:cs="宋体"/>
          <w:b w:val="0"/>
          <w:bCs w:val="0"/>
          <w:sz w:val="24"/>
          <w:szCs w:val="24"/>
          <w:lang w:val="en-US" w:eastAsia="zh-C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Q2YTkyMzU3YjI3Y2QwOGNkYzVjNGE5OTQxYWMifQ=="/>
  </w:docVars>
  <w:rsids>
    <w:rsidRoot w:val="B7F8F283"/>
    <w:rsid w:val="30AE7BE1"/>
    <w:rsid w:val="517F4011"/>
    <w:rsid w:val="712438DD"/>
    <w:rsid w:val="B7F8F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2024-05-20T22:47:00Z</dcterms:created>
  <dc:creator>TimmyW</dc:creator>
  <cp:lastModifiedBy>TimmyW</cp:lastModifiedBy>
  <dcterms:modified xsi:type="dcterms:W3CDTF">2024-05-21T02:03:40Z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B65B36D91158480F9F2C567274F6EA27_13</vt:lpwstr>
  </property>
</Properties>
</file>