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256" w:lineRule="auto"/>
      </w:pPr>
      <w: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upright="0"/>
                    </wps:wsp>
                  </a:graphicData>
                </a:graphic>
              </wp:anchor>
            </w:drawing>
          </mc:Choice>
          <mc:Fallback>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SUMJ2AAAAAsBAAAPAAAAAAAAAAEAIAAAACIAAABkcnMvZG93bnJldi54bWxQSwECFAAUAAAACACH&#10;TuJAiyX8T7IBAABgAwAADgAAAAAAAAABACAAAAAnAQAAZHJzL2Uyb0RvYy54bWxQSwUGAAAAAAYA&#10;BgBZAQAASwUAAAAA&#10;">
                <v:fill on="t" focussize="0,0"/>
                <v:stroke on="f"/>
                <v:imagedata o:title=""/>
                <o:lock v:ext="edit" aspectratio="f"/>
              </v:rect>
            </w:pict>
          </mc:Fallback>
        </mc:AlternateContent>
      </w:r>
    </w:p>
    <w:p>
      <w:pPr>
        <w:pStyle w:val="3"/>
        <w:spacing w:line="256" w:lineRule="auto"/>
      </w:pPr>
    </w:p>
    <w:p>
      <w:pPr>
        <w:pStyle w:val="3"/>
        <w:spacing w:line="256" w:lineRule="auto"/>
      </w:pPr>
    </w:p>
    <w:p>
      <w:pPr>
        <w:pStyle w:val="3"/>
        <w:spacing w:line="256" w:lineRule="auto"/>
      </w:pPr>
    </w:p>
    <w:p>
      <w:pPr>
        <w:pStyle w:val="3"/>
        <w:spacing w:line="256" w:lineRule="auto"/>
      </w:pPr>
    </w:p>
    <w:p>
      <w:pPr>
        <w:pStyle w:val="3"/>
        <w:spacing w:line="256" w:lineRule="auto"/>
      </w:pPr>
    </w:p>
    <w:p>
      <w:pPr>
        <w:spacing w:line="240" w:lineRule="auto"/>
        <w:ind w:firstLine="1421"/>
        <w:rPr>
          <w:rFonts w:hint="eastAsia" w:eastAsia="宋体"/>
          <w:lang w:eastAsia="zh-CN"/>
        </w:rPr>
      </w:pPr>
      <w:r>
        <w:rPr>
          <w:rFonts w:hint="eastAsia" w:eastAsia="宋体"/>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pPr>
        <w:spacing w:line="240" w:lineRule="auto"/>
        <w:ind w:firstLine="1421"/>
        <w:rPr>
          <w:rFonts w:ascii="微软雅黑" w:hAnsi="微软雅黑" w:eastAsia="微软雅黑" w:cs="微软雅黑"/>
          <w:sz w:val="96"/>
          <w:szCs w:val="96"/>
        </w:rPr>
      </w:pPr>
      <w:r>
        <w:rPr>
          <w:rFonts w:hint="eastAsia" w:ascii="微软雅黑" w:hAnsi="微软雅黑" w:eastAsia="微软雅黑" w:cs="微软雅黑"/>
          <w:b/>
          <w:bCs/>
          <w:color w:val="FFFFFF"/>
          <w:spacing w:val="6"/>
          <w:sz w:val="96"/>
          <w:szCs w:val="96"/>
          <w:lang w:val="en-US" w:eastAsia="zh-CN"/>
        </w:rPr>
        <w:t>每日</w:t>
      </w:r>
      <w:r>
        <w:rPr>
          <w:rFonts w:ascii="微软雅黑" w:hAnsi="微软雅黑" w:eastAsia="微软雅黑" w:cs="微软雅黑"/>
          <w:b/>
          <w:bCs/>
          <w:color w:val="FFFFFF"/>
          <w:spacing w:val="6"/>
          <w:sz w:val="96"/>
          <w:szCs w:val="96"/>
        </w:rPr>
        <w:t>市场报告</w:t>
      </w: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spacing w:before="206" w:line="204" w:lineRule="auto"/>
        <w:ind w:left="7323"/>
        <w:rPr>
          <w:sz w:val="48"/>
          <w:szCs w:val="48"/>
        </w:rPr>
      </w:pPr>
      <w:r>
        <w:rPr>
          <w:rFonts w:ascii="微软雅黑" w:hAnsi="微软雅黑" w:eastAsia="微软雅黑" w:cs="微软雅黑"/>
          <w:b/>
          <w:bCs/>
          <w:color w:val="005D97"/>
          <w:spacing w:val="-22"/>
          <w:sz w:val="48"/>
          <w:szCs w:val="48"/>
        </w:rPr>
        <w:t>2024年</w:t>
      </w:r>
      <w:r>
        <w:rPr>
          <w:rFonts w:hint="eastAsia" w:ascii="微软雅黑" w:hAnsi="微软雅黑" w:eastAsia="微软雅黑" w:cs="微软雅黑"/>
          <w:b/>
          <w:bCs/>
          <w:color w:val="005D97"/>
          <w:spacing w:val="-22"/>
          <w:sz w:val="48"/>
          <w:szCs w:val="48"/>
          <w:lang w:val="en-US" w:eastAsia="zh-CN"/>
        </w:rPr>
        <w:t>5</w:t>
      </w:r>
      <w:r>
        <w:rPr>
          <w:rFonts w:ascii="微软雅黑" w:hAnsi="微软雅黑" w:eastAsia="微软雅黑" w:cs="微软雅黑"/>
          <w:b/>
          <w:bCs/>
          <w:color w:val="005D97"/>
          <w:spacing w:val="-22"/>
          <w:sz w:val="48"/>
          <w:szCs w:val="48"/>
        </w:rPr>
        <w:t>月</w:t>
      </w:r>
      <w:r>
        <w:rPr>
          <w:rFonts w:hint="eastAsia" w:ascii="微软雅黑" w:hAnsi="微软雅黑" w:eastAsia="微软雅黑" w:cs="微软雅黑"/>
          <w:b/>
          <w:bCs/>
          <w:color w:val="005D97"/>
          <w:spacing w:val="-22"/>
          <w:sz w:val="48"/>
          <w:szCs w:val="48"/>
          <w:lang w:val="en-US" w:eastAsia="zh-CN"/>
        </w:rPr>
        <w:t>24</w:t>
      </w:r>
      <w:r>
        <w:rPr>
          <w:rFonts w:ascii="微软雅黑" w:hAnsi="微软雅黑" w:eastAsia="微软雅黑" w:cs="微软雅黑"/>
          <w:b/>
          <w:bCs/>
          <w:color w:val="005D97"/>
          <w:spacing w:val="-22"/>
          <w:sz w:val="48"/>
          <w:szCs w:val="48"/>
        </w:rPr>
        <w:t>日</w:t>
      </w:r>
      <w:r>
        <w:rPr>
          <w:rFonts w:ascii="微软雅黑" w:hAnsi="微软雅黑" w:eastAsia="微软雅黑" w:cs="微软雅黑"/>
          <w:b/>
          <w:bCs/>
          <w:color w:val="005D97"/>
          <w:spacing w:val="38"/>
          <w:sz w:val="48"/>
          <w:szCs w:val="48"/>
        </w:rPr>
        <w:t xml:space="preserve"> </w:t>
      </w:r>
      <w:r>
        <w:rPr>
          <w:position w:val="-3"/>
          <w:sz w:val="48"/>
          <w:szCs w:val="48"/>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pPr>
        <w:spacing w:line="204" w:lineRule="auto"/>
        <w:rPr>
          <w:sz w:val="48"/>
          <w:szCs w:val="48"/>
        </w:rPr>
        <w:sectPr>
          <w:headerReference r:id="rId5" w:type="default"/>
          <w:pgSz w:w="11906" w:h="16838"/>
          <w:pgMar w:top="400" w:right="0" w:bottom="0" w:left="0" w:header="0" w:footer="340" w:gutter="0"/>
          <w:pgBorders>
            <w:top w:val="none" w:sz="0" w:space="0"/>
            <w:left w:val="none" w:sz="0" w:space="0"/>
            <w:bottom w:val="none" w:sz="0" w:space="0"/>
            <w:right w:val="none" w:sz="0" w:space="0"/>
          </w:pgBorders>
          <w:pgNumType w:fmt="decimal"/>
          <w:cols w:space="720" w:num="1"/>
        </w:sectPr>
      </w:pPr>
    </w:p>
    <w:p>
      <w:pPr>
        <w:pBdr>
          <w:top w:val="none" w:color="auto" w:sz="0" w:space="1"/>
          <w:left w:val="none" w:color="auto" w:sz="0" w:space="4"/>
          <w:bottom w:val="none" w:color="auto" w:sz="0" w:space="1"/>
          <w:right w:val="none" w:color="auto" w:sz="0" w:space="4"/>
          <w:between w:val="none" w:color="auto" w:sz="0" w:space="0"/>
        </w:pBdr>
        <w:kinsoku w:val="0"/>
        <w:autoSpaceDE w:val="0"/>
        <w:autoSpaceDN w:val="0"/>
        <w:adjustRightInd w:val="0"/>
        <w:snapToGrid w:val="0"/>
        <w:spacing w:line="240" w:lineRule="auto"/>
        <w:ind w:right="420" w:rightChars="200" w:firstLine="0" w:firstLineChars="0"/>
        <w:jc w:val="left"/>
        <w:textAlignment w:val="baseline"/>
        <w:rPr>
          <w:rFonts w:hint="eastAsia" w:eastAsia="宋体"/>
          <w:lang w:eastAsia="zh-CN"/>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市场综述</w:t>
      </w:r>
    </w:p>
    <w:p>
      <w:pPr>
        <w:keepNext w:val="0"/>
        <w:keepLines w:val="0"/>
        <w:pageBreakBefore w:val="0"/>
        <w:widowControl/>
        <w:kinsoku w:val="0"/>
        <w:wordWrap/>
        <w:overflowPunct/>
        <w:topLinePunct w:val="0"/>
        <w:autoSpaceDE w:val="0"/>
        <w:autoSpaceDN w:val="0"/>
        <w:bidi w:val="0"/>
        <w:adjustRightInd w:val="0"/>
        <w:snapToGrid w:val="0"/>
        <w:spacing w:before="103" w:line="257" w:lineRule="auto"/>
        <w:ind w:right="584" w:firstLine="528"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12"/>
          <w:sz w:val="24"/>
          <w:szCs w:val="24"/>
          <w:lang w:val="en-US" w:eastAsia="zh-CN"/>
        </w:rPr>
        <w:t>美国三大股指全线收跌，道指跌1.53%报39065.26点，创2023年3月以来最差单日表现，标普500指数跌0.74%报5267.84点，纳指跌0.39%报16736.03点。美元指数涨0.09%报105.03，非美货币多数下跌，离岸人民币对美元跌30个基点报7.2579。国际油价全线下跌，美油6月合约跌0.76%，报76.98美元/桶。布油7月合约跌0.51%，报81.48美元/桶。国际贵金属期货大幅收跌，COMEX黄金期货跌2.6%报2330.6美元/盎司，COMEX白银期货跌3.72%报30.325美元/盎司。LME期铜跌0.58%报10359美元/吨。</w:t>
      </w:r>
      <w:r>
        <w:rPr>
          <w:rFonts w:hint="eastAsia" w:ascii="微软雅黑" w:hAnsi="微软雅黑" w:eastAsia="微软雅黑" w:cs="微软雅黑"/>
          <w:spacing w:val="4"/>
          <w:sz w:val="24"/>
          <w:szCs w:val="24"/>
          <w:lang w:eastAsia="zh-CN"/>
        </w:rPr>
        <w:t>ICE</w:t>
      </w:r>
      <w:r>
        <w:rPr>
          <w:rFonts w:hint="eastAsia" w:ascii="微软雅黑" w:hAnsi="微软雅黑" w:eastAsia="微软雅黑" w:cs="微软雅黑"/>
          <w:spacing w:val="4"/>
          <w:sz w:val="24"/>
          <w:szCs w:val="24"/>
          <w:lang w:val="en-US" w:eastAsia="zh-CN"/>
        </w:rPr>
        <w:t xml:space="preserve"> 7</w:t>
      </w:r>
      <w:r>
        <w:rPr>
          <w:rFonts w:hint="eastAsia" w:ascii="微软雅黑" w:hAnsi="微软雅黑" w:eastAsia="微软雅黑" w:cs="微软雅黑"/>
          <w:spacing w:val="4"/>
          <w:sz w:val="24"/>
          <w:szCs w:val="24"/>
          <w:lang w:eastAsia="zh-CN"/>
        </w:rPr>
        <w:t>月原糖</w:t>
      </w:r>
      <w:r>
        <w:rPr>
          <w:rFonts w:hint="eastAsia" w:ascii="微软雅黑" w:hAnsi="微软雅黑" w:eastAsia="微软雅黑" w:cs="微软雅黑"/>
          <w:spacing w:val="4"/>
          <w:sz w:val="24"/>
          <w:szCs w:val="24"/>
          <w:lang w:val="en-US" w:eastAsia="zh-CN"/>
        </w:rPr>
        <w:t>期货合收涨0.12%</w:t>
      </w:r>
      <w:r>
        <w:rPr>
          <w:rFonts w:hint="eastAsia" w:ascii="微软雅黑" w:hAnsi="微软雅黑" w:eastAsia="微软雅黑" w:cs="微软雅黑"/>
          <w:spacing w:val="4"/>
          <w:sz w:val="24"/>
          <w:szCs w:val="24"/>
          <w:lang w:eastAsia="zh-CN"/>
        </w:rPr>
        <w:t>报</w:t>
      </w:r>
      <w:r>
        <w:rPr>
          <w:rFonts w:hint="eastAsia" w:ascii="微软雅黑" w:hAnsi="微软雅黑" w:eastAsia="微软雅黑" w:cs="微软雅黑"/>
          <w:spacing w:val="4"/>
          <w:sz w:val="24"/>
          <w:szCs w:val="24"/>
          <w:lang w:val="en-US" w:eastAsia="zh-CN"/>
        </w:rPr>
        <w:t>18.26</w:t>
      </w:r>
      <w:r>
        <w:rPr>
          <w:rFonts w:hint="eastAsia" w:ascii="微软雅黑" w:hAnsi="微软雅黑" w:eastAsia="微软雅黑" w:cs="微软雅黑"/>
          <w:spacing w:val="4"/>
          <w:sz w:val="24"/>
          <w:szCs w:val="24"/>
          <w:lang w:eastAsia="zh-CN"/>
        </w:rPr>
        <w:t>美分/磅。ICE</w:t>
      </w:r>
      <w:r>
        <w:rPr>
          <w:rFonts w:hint="eastAsia" w:ascii="微软雅黑" w:hAnsi="微软雅黑" w:eastAsia="微软雅黑" w:cs="微软雅黑"/>
          <w:spacing w:val="4"/>
          <w:sz w:val="24"/>
          <w:szCs w:val="24"/>
          <w:lang w:val="en-US" w:eastAsia="zh-CN"/>
        </w:rPr>
        <w:t>7</w:t>
      </w:r>
      <w:r>
        <w:rPr>
          <w:rFonts w:hint="eastAsia" w:ascii="微软雅黑" w:hAnsi="微软雅黑" w:eastAsia="微软雅黑" w:cs="微软雅黑"/>
          <w:spacing w:val="4"/>
          <w:sz w:val="24"/>
          <w:szCs w:val="24"/>
          <w:lang w:eastAsia="zh-CN"/>
        </w:rPr>
        <w:t>月期棉</w:t>
      </w:r>
      <w:r>
        <w:rPr>
          <w:rFonts w:hint="eastAsia" w:ascii="微软雅黑" w:hAnsi="微软雅黑" w:eastAsia="微软雅黑" w:cs="微软雅黑"/>
          <w:spacing w:val="4"/>
          <w:sz w:val="24"/>
          <w:szCs w:val="24"/>
          <w:lang w:val="en-US" w:eastAsia="zh-CN"/>
        </w:rPr>
        <w:t>期货合约收涨3%</w:t>
      </w:r>
      <w:r>
        <w:rPr>
          <w:rFonts w:hint="eastAsia" w:ascii="微软雅黑" w:hAnsi="微软雅黑" w:eastAsia="微软雅黑" w:cs="微软雅黑"/>
          <w:spacing w:val="4"/>
          <w:sz w:val="24"/>
          <w:szCs w:val="24"/>
          <w:lang w:eastAsia="zh-CN"/>
        </w:rPr>
        <w:t>报</w:t>
      </w:r>
      <w:r>
        <w:rPr>
          <w:rFonts w:hint="eastAsia" w:ascii="微软雅黑" w:hAnsi="微软雅黑" w:eastAsia="微软雅黑" w:cs="微软雅黑"/>
          <w:spacing w:val="4"/>
          <w:sz w:val="24"/>
          <w:szCs w:val="24"/>
          <w:lang w:val="en-US" w:eastAsia="zh-CN"/>
        </w:rPr>
        <w:t>81.72美</w:t>
      </w:r>
      <w:r>
        <w:rPr>
          <w:rFonts w:hint="eastAsia" w:ascii="微软雅黑" w:hAnsi="微软雅黑" w:eastAsia="微软雅黑" w:cs="微软雅黑"/>
          <w:spacing w:val="4"/>
          <w:sz w:val="24"/>
          <w:szCs w:val="24"/>
          <w:lang w:eastAsia="zh-CN"/>
        </w:rPr>
        <w:t>分/磅。</w:t>
      </w:r>
    </w:p>
    <w:p>
      <w:pPr>
        <w:spacing w:before="235" w:line="176" w:lineRule="auto"/>
        <w:jc w:val="both"/>
        <w:rPr>
          <w:rFonts w:hint="default" w:ascii="微软雅黑" w:hAnsi="微软雅黑" w:eastAsia="微软雅黑" w:cs="微软雅黑"/>
          <w:spacing w:val="7"/>
          <w:sz w:val="21"/>
          <w:szCs w:val="21"/>
          <w:lang w:val="en-US" w:eastAsia="zh-CN"/>
        </w:rPr>
      </w:pPr>
      <w:r>
        <w:rPr>
          <w:rFonts w:ascii="微软雅黑" w:hAnsi="微软雅黑" w:eastAsia="微软雅黑" w:cs="微软雅黑"/>
          <w:spacing w:val="7"/>
          <w:sz w:val="21"/>
          <w:szCs w:val="21"/>
        </w:rPr>
        <w:t>图表1</w:t>
      </w:r>
      <w:r>
        <w:rPr>
          <w:rFonts w:hint="eastAsia" w:ascii="微软雅黑" w:hAnsi="微软雅黑" w:eastAsia="微软雅黑" w:cs="微软雅黑"/>
          <w:spacing w:val="7"/>
          <w:sz w:val="21"/>
          <w:szCs w:val="21"/>
          <w:lang w:eastAsia="zh-CN"/>
        </w:rPr>
        <w:t>：</w:t>
      </w:r>
      <w:r>
        <w:rPr>
          <w:rFonts w:ascii="微软雅黑" w:hAnsi="微软雅黑" w:eastAsia="微软雅黑" w:cs="微软雅黑"/>
          <w:spacing w:val="7"/>
          <w:sz w:val="21"/>
          <w:szCs w:val="21"/>
        </w:rPr>
        <w:t>全球</w:t>
      </w:r>
      <w:r>
        <w:rPr>
          <w:rFonts w:hint="eastAsia" w:ascii="微软雅黑" w:hAnsi="微软雅黑" w:eastAsia="微软雅黑" w:cs="微软雅黑"/>
          <w:spacing w:val="7"/>
          <w:sz w:val="21"/>
          <w:szCs w:val="21"/>
          <w:lang w:val="en-US" w:eastAsia="zh-CN"/>
        </w:rPr>
        <w:t>主要股指</w:t>
      </w:r>
      <w:r>
        <w:rPr>
          <w:rFonts w:ascii="微软雅黑" w:hAnsi="微软雅黑" w:eastAsia="微软雅黑" w:cs="微软雅黑"/>
          <w:spacing w:val="7"/>
          <w:sz w:val="21"/>
          <w:szCs w:val="21"/>
        </w:rPr>
        <w:t>涨跌幅</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t>
      </w:r>
    </w:p>
    <w:p>
      <w:pPr>
        <w:spacing w:before="235" w:line="176" w:lineRule="auto"/>
        <w:jc w:val="both"/>
        <w:rPr>
          <w:rFonts w:hint="eastAsia"/>
          <w:lang w:eastAsia="zh-CN"/>
        </w:rPr>
      </w:pPr>
      <w:r>
        <w:drawing>
          <wp:inline distT="0" distB="0" distL="114300" distR="114300">
            <wp:extent cx="6197600" cy="3434715"/>
            <wp:effectExtent l="0" t="0" r="12700" b="1333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tretch>
                      <a:fillRect/>
                    </a:stretch>
                  </pic:blipFill>
                  <pic:spPr>
                    <a:xfrm>
                      <a:off x="0" y="0"/>
                      <a:ext cx="6197600" cy="3434715"/>
                    </a:xfrm>
                    <a:prstGeom prst="rect">
                      <a:avLst/>
                    </a:prstGeom>
                    <a:noFill/>
                    <a:ln>
                      <a:noFill/>
                    </a:ln>
                  </pic:spPr>
                </pic:pic>
              </a:graphicData>
            </a:graphic>
          </wp:inline>
        </w:drawing>
      </w:r>
    </w:p>
    <w:p>
      <w:pPr>
        <w:spacing w:before="120" w:line="190" w:lineRule="auto"/>
        <w:jc w:val="both"/>
        <w:rPr>
          <w:rFonts w:ascii="微软雅黑" w:hAnsi="微软雅黑" w:eastAsia="微软雅黑" w:cs="微软雅黑"/>
          <w:spacing w:val="7"/>
          <w:sz w:val="21"/>
          <w:szCs w:val="21"/>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公开资料整理、瑞达国际</w:t>
      </w:r>
    </w:p>
    <w:p>
      <w:pPr>
        <w:pStyle w:val="3"/>
        <w:spacing w:line="282" w:lineRule="auto"/>
      </w:pPr>
    </w:p>
    <w:p>
      <w:pPr>
        <w:pStyle w:val="3"/>
        <w:spacing w:line="282" w:lineRule="auto"/>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消息回顾</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【美国截至5月18日当周初请失业金人数21.5万人，较前一周修正值22.3万人下降8000人，创去年9月以来最大降幅。截至5月11日当周续请失业金人数179.4万人，较前值持平。】</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b/>
          <w:bCs/>
          <w:spacing w:val="4"/>
          <w:sz w:val="24"/>
          <w:szCs w:val="24"/>
          <w:lang w:eastAsia="zh-CN"/>
        </w:rPr>
      </w:pPr>
      <w:r>
        <w:rPr>
          <w:rFonts w:hint="eastAsia" w:ascii="微软雅黑" w:hAnsi="微软雅黑" w:eastAsia="微软雅黑" w:cs="微软雅黑"/>
          <w:spacing w:val="4"/>
          <w:sz w:val="24"/>
          <w:szCs w:val="24"/>
          <w:lang w:eastAsia="zh-CN"/>
        </w:rPr>
        <w:t>【美国4月新屋销售下降4.7%，至折合年率63.4万套，低于市场预期的67.8万套，房价和抵押贷款利率高企令购房者望而却步。】</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【美国5月标普全球制造业PMI初值50.9，创两个月新高；服务业PMI初值54.8，创12个月新高；综合PMI指数升至54.4，为2022年4月以来最高。交易员将美联储首次降息时间预估从11月推迟到12月。】</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【欧洲央行副行长金多斯表示，6月降息25个基点似乎是合理的。欧洲央行管委维勒鲁瓦称，很有可能在6月份降息，最迟到明年将通胀率提升至2%。】</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【欧元区5月制造业PMI初值47.4，创15个月新高，高于预期46.1；服务业PMI初值持平于53.3，不及预期53.6；综合PMI初值升至52.3，为12个月新高。企业信心指数升至27个月以来的最高水平。】</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【德国5月制造业PMI升至45.4，创4个月新高；服务业PMI初值53.9，创11个月新高；综合PMI初值52.2，创12个月新高，同时为10个月来首次突破荣枯线。】</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【法国5月制造业PMI初值46.7，为3个月来新高；服务业PMI初值49.4，综合PMI初值49.1，均为2个月来最低。】</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【英国5月制造业PMI初值51.3，为22个月以来新高，远超预期的49.4；服务业PMI初值降至52.9，预期54.7；综合PMI初值52.8，预期54。】</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【印度5月制造业PMI由58.8微降至58.4；服务业PMI由60.8增至61.4，创下四个月新高；综合PMI由61.5升至61.7，为连续第34个月位于荣枯线上。】</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【日本5月制造业PMI初值50.5，4月终值49.6；服务业PMI初值53.6，4月终值54.3；综合PMI初值52.4，4月终值52.3。】</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【韩国计划推出规模高达26万亿韩元（约合190亿美元）芯片产业综合支援方案，其中包括为某些投资提供17万亿韩元的财政支持以及税收优惠。】</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【韩国央行维持基准利率3.5%不变，为连续11次按兵不动。韩国央行将今年经济增长预期从2.1%上调至2.5%，维持CPI涨幅预期2.6%不变。】</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p>
    <w:p>
      <w:pPr>
        <w:spacing w:before="120" w:line="190" w:lineRule="auto"/>
        <w:ind w:left="6"/>
        <w:rPr>
          <w:rFonts w:hint="default" w:ascii="微软雅黑" w:hAnsi="微软雅黑" w:eastAsia="微软雅黑" w:cs="微软雅黑"/>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9"/>
          <w:sz w:val="28"/>
          <w:szCs w:val="28"/>
          <w:lang w:val="en-US" w:eastAsia="zh-CN"/>
        </w:rPr>
        <w:t>今日关注</w:t>
      </w:r>
    </w:p>
    <w:p>
      <w:pPr>
        <w:spacing w:before="84"/>
      </w:pPr>
    </w:p>
    <w:tbl>
      <w:tblPr>
        <w:tblStyle w:val="13"/>
        <w:tblW w:w="9389" w:type="dxa"/>
        <w:tblInd w:w="25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67"/>
        <w:gridCol w:w="1143"/>
        <w:gridCol w:w="667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2710" w:type="dxa"/>
            <w:gridSpan w:val="2"/>
            <w:shd w:val="clear" w:color="auto" w:fill="3D85C1"/>
            <w:vAlign w:val="top"/>
          </w:tcPr>
          <w:p>
            <w:pPr>
              <w:pStyle w:val="12"/>
              <w:spacing w:before="221" w:line="182" w:lineRule="auto"/>
              <w:ind w:left="1142"/>
              <w:rPr>
                <w:sz w:val="19"/>
                <w:szCs w:val="19"/>
              </w:rPr>
            </w:pPr>
            <w:r>
              <w:rPr>
                <w:b/>
                <w:bCs/>
                <w:color w:val="FFFFFF"/>
                <w:spacing w:val="4"/>
                <w:sz w:val="19"/>
                <w:szCs w:val="19"/>
              </w:rPr>
              <w:t>时间</w:t>
            </w:r>
          </w:p>
        </w:tc>
        <w:tc>
          <w:tcPr>
            <w:tcW w:w="6679" w:type="dxa"/>
            <w:shd w:val="clear" w:color="auto" w:fill="3D85C1"/>
            <w:vAlign w:val="top"/>
          </w:tcPr>
          <w:p>
            <w:pPr>
              <w:pStyle w:val="12"/>
              <w:spacing w:before="221" w:line="195" w:lineRule="auto"/>
              <w:ind w:left="2866"/>
              <w:rPr>
                <w:sz w:val="19"/>
                <w:szCs w:val="19"/>
              </w:rPr>
            </w:pPr>
            <w:r>
              <w:rPr>
                <w:b/>
                <w:bCs/>
                <w:color w:val="FFFFFF"/>
                <w:spacing w:val="16"/>
                <w:sz w:val="19"/>
                <w:szCs w:val="19"/>
              </w:rPr>
              <w:t>数据/事件</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2"/>
              <w:spacing w:before="228"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24</w:t>
            </w:r>
          </w:p>
        </w:tc>
        <w:tc>
          <w:tcPr>
            <w:tcW w:w="1143" w:type="dxa"/>
            <w:vAlign w:val="top"/>
          </w:tcPr>
          <w:p>
            <w:pPr>
              <w:pStyle w:val="12"/>
              <w:spacing w:before="243" w:line="172" w:lineRule="auto"/>
              <w:ind w:left="94" w:leftChars="0"/>
              <w:jc w:val="left"/>
              <w:rPr>
                <w:rFonts w:hint="default"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14：00</w:t>
            </w:r>
          </w:p>
        </w:tc>
        <w:tc>
          <w:tcPr>
            <w:tcW w:w="6679" w:type="dxa"/>
            <w:vAlign w:val="top"/>
          </w:tcPr>
          <w:p>
            <w:pPr>
              <w:pStyle w:val="12"/>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德国一季度未季调GDP终值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2"/>
              <w:spacing w:before="228"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24</w:t>
            </w:r>
          </w:p>
        </w:tc>
        <w:tc>
          <w:tcPr>
            <w:tcW w:w="1143" w:type="dxa"/>
            <w:shd w:val="clear" w:color="auto" w:fill="D3EAFF"/>
            <w:vAlign w:val="top"/>
          </w:tcPr>
          <w:p>
            <w:pPr>
              <w:pStyle w:val="12"/>
              <w:spacing w:before="243" w:line="172" w:lineRule="auto"/>
              <w:ind w:left="94" w:leftChars="0"/>
              <w:jc w:val="left"/>
              <w:rPr>
                <w:rFonts w:hint="default" w:ascii="微软雅黑" w:hAnsi="微软雅黑" w:eastAsia="微软雅黑" w:cs="微软雅黑"/>
                <w:snapToGrid w:val="0"/>
                <w:color w:val="000000"/>
                <w:kern w:val="0"/>
                <w:sz w:val="19"/>
                <w:szCs w:val="19"/>
                <w:lang w:val="en-US" w:eastAsia="en-US" w:bidi="ar-SA"/>
              </w:rPr>
            </w:pPr>
            <w:r>
              <w:rPr>
                <w:rFonts w:hint="eastAsia"/>
                <w:b/>
                <w:bCs/>
                <w:spacing w:val="5"/>
                <w:sz w:val="19"/>
                <w:szCs w:val="19"/>
                <w:lang w:val="en-US" w:eastAsia="zh-CN"/>
              </w:rPr>
              <w:t>14：00</w:t>
            </w:r>
          </w:p>
        </w:tc>
        <w:tc>
          <w:tcPr>
            <w:tcW w:w="6679" w:type="dxa"/>
            <w:shd w:val="clear" w:color="auto" w:fill="D3EAFF"/>
            <w:vAlign w:val="top"/>
          </w:tcPr>
          <w:p>
            <w:pPr>
              <w:pStyle w:val="12"/>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英国4月核心零售销售</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12"/>
              <w:spacing w:before="228"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24</w:t>
            </w:r>
          </w:p>
        </w:tc>
        <w:tc>
          <w:tcPr>
            <w:tcW w:w="1143" w:type="dxa"/>
            <w:vAlign w:val="top"/>
          </w:tcPr>
          <w:p>
            <w:pPr>
              <w:pStyle w:val="12"/>
              <w:spacing w:before="243" w:line="172" w:lineRule="auto"/>
              <w:ind w:left="94" w:leftChars="0"/>
              <w:jc w:val="left"/>
              <w:rPr>
                <w:rFonts w:hint="default"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20：30</w:t>
            </w:r>
          </w:p>
        </w:tc>
        <w:tc>
          <w:tcPr>
            <w:tcW w:w="6679" w:type="dxa"/>
            <w:vAlign w:val="top"/>
          </w:tcPr>
          <w:p>
            <w:pPr>
              <w:pStyle w:val="12"/>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美国4月耐用品订单初值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shd w:val="clear" w:color="auto" w:fill="D3EAFF"/>
            <w:vAlign w:val="top"/>
          </w:tcPr>
          <w:p>
            <w:pPr>
              <w:pStyle w:val="12"/>
              <w:spacing w:before="228" w:line="191" w:lineRule="auto"/>
              <w:ind w:left="449" w:leftChars="0"/>
              <w:rPr>
                <w:rFonts w:hint="default"/>
                <w:b/>
                <w:bCs/>
                <w:spacing w:val="3"/>
                <w:sz w:val="19"/>
                <w:szCs w:val="19"/>
                <w:lang w:val="en-US"/>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24</w:t>
            </w:r>
          </w:p>
        </w:tc>
        <w:tc>
          <w:tcPr>
            <w:tcW w:w="1143" w:type="dxa"/>
            <w:shd w:val="clear" w:color="auto" w:fill="D3EAFF"/>
            <w:vAlign w:val="top"/>
          </w:tcPr>
          <w:p>
            <w:pPr>
              <w:pStyle w:val="12"/>
              <w:spacing w:before="243" w:line="172" w:lineRule="auto"/>
              <w:ind w:left="94" w:leftChars="0"/>
              <w:jc w:val="left"/>
              <w:rPr>
                <w:rFonts w:hint="eastAsia"/>
                <w:b/>
                <w:bCs/>
                <w:spacing w:val="3"/>
                <w:sz w:val="19"/>
                <w:szCs w:val="19"/>
                <w:lang w:val="en-US" w:eastAsia="zh-CN"/>
              </w:rPr>
            </w:pPr>
            <w:r>
              <w:rPr>
                <w:rFonts w:hint="eastAsia"/>
                <w:b/>
                <w:bCs/>
                <w:spacing w:val="5"/>
                <w:sz w:val="19"/>
                <w:szCs w:val="19"/>
                <w:lang w:val="en-US" w:eastAsia="zh-CN"/>
              </w:rPr>
              <w:t>20：30</w:t>
            </w:r>
          </w:p>
        </w:tc>
        <w:tc>
          <w:tcPr>
            <w:tcW w:w="6679" w:type="dxa"/>
            <w:shd w:val="clear" w:color="auto" w:fill="D3EAFF"/>
            <w:vAlign w:val="top"/>
          </w:tcPr>
          <w:p>
            <w:pPr>
              <w:pStyle w:val="12"/>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加拿大3月零售销售</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shd w:val="clear" w:color="auto" w:fill="FFFFFF"/>
            <w:vAlign w:val="top"/>
          </w:tcPr>
          <w:p>
            <w:pPr>
              <w:pStyle w:val="12"/>
              <w:spacing w:before="228" w:line="191" w:lineRule="auto"/>
              <w:ind w:left="449" w:leftChars="0"/>
              <w:rPr>
                <w:rFonts w:hint="default" w:ascii="微软雅黑" w:hAnsi="微软雅黑" w:eastAsia="微软雅黑" w:cs="微软雅黑"/>
                <w:b/>
                <w:bCs/>
                <w:snapToGrid w:val="0"/>
                <w:color w:val="000000"/>
                <w:spacing w:val="3"/>
                <w:kern w:val="0"/>
                <w:sz w:val="19"/>
                <w:szCs w:val="19"/>
                <w:lang w:val="en-US" w:eastAsia="en-US"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24</w:t>
            </w:r>
          </w:p>
        </w:tc>
        <w:tc>
          <w:tcPr>
            <w:tcW w:w="1143" w:type="dxa"/>
            <w:shd w:val="clear" w:color="auto" w:fill="FFFFFF"/>
            <w:vAlign w:val="top"/>
          </w:tcPr>
          <w:p>
            <w:pPr>
              <w:pStyle w:val="12"/>
              <w:spacing w:before="243" w:line="172" w:lineRule="auto"/>
              <w:ind w:left="94" w:leftChars="0"/>
              <w:jc w:val="left"/>
              <w:rPr>
                <w:rFonts w:hint="default" w:ascii="微软雅黑" w:hAnsi="微软雅黑" w:eastAsia="微软雅黑" w:cs="微软雅黑"/>
                <w:b/>
                <w:bCs/>
                <w:snapToGrid w:val="0"/>
                <w:color w:val="000000"/>
                <w:spacing w:val="3"/>
                <w:kern w:val="0"/>
                <w:sz w:val="19"/>
                <w:szCs w:val="19"/>
                <w:lang w:val="en-US" w:eastAsia="zh-CN" w:bidi="ar-SA"/>
              </w:rPr>
            </w:pPr>
            <w:r>
              <w:rPr>
                <w:rFonts w:hint="eastAsia"/>
                <w:b/>
                <w:bCs/>
                <w:spacing w:val="5"/>
                <w:sz w:val="19"/>
                <w:szCs w:val="19"/>
                <w:lang w:val="en-US" w:eastAsia="zh-CN"/>
              </w:rPr>
              <w:t>22：00</w:t>
            </w:r>
          </w:p>
        </w:tc>
        <w:tc>
          <w:tcPr>
            <w:tcW w:w="6679" w:type="dxa"/>
            <w:shd w:val="clear" w:color="auto" w:fill="FFFFFF"/>
            <w:vAlign w:val="top"/>
          </w:tcPr>
          <w:p>
            <w:pPr>
              <w:pStyle w:val="12"/>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美国5月密歇根大学消费者预期指数终值</w:t>
            </w:r>
          </w:p>
        </w:tc>
      </w:tr>
    </w:tbl>
    <w:p>
      <w:pPr>
        <w:spacing w:before="120" w:line="190" w:lineRule="auto"/>
        <w:rPr>
          <w:rFonts w:ascii="微软雅黑" w:hAnsi="微软雅黑" w:eastAsia="微软雅黑" w:cs="微软雅黑"/>
          <w:color w:val="036EB8"/>
          <w:position w:val="-4"/>
          <w:sz w:val="28"/>
          <w:szCs w:val="28"/>
        </w:rPr>
      </w:pPr>
    </w:p>
    <w:p>
      <w:pPr>
        <w:spacing w:before="120" w:line="190" w:lineRule="auto"/>
        <w:rPr>
          <w:rFonts w:ascii="微软雅黑" w:hAnsi="微软雅黑" w:eastAsia="微软雅黑" w:cs="微软雅黑"/>
          <w:color w:val="036EB8"/>
          <w:position w:val="-4"/>
          <w:sz w:val="28"/>
          <w:szCs w:val="28"/>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8" name="IM 14"/>
            <wp:cNvGraphicFramePr/>
            <a:graphic xmlns:a="http://schemas.openxmlformats.org/drawingml/2006/main">
              <a:graphicData uri="http://schemas.openxmlformats.org/drawingml/2006/picture">
                <pic:pic xmlns:pic="http://schemas.openxmlformats.org/drawingml/2006/picture">
                  <pic:nvPicPr>
                    <pic:cNvPr id="8"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观点汇总</w:t>
      </w: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美元指数</w:t>
      </w:r>
    </w:p>
    <w:p>
      <w:pPr>
        <w:spacing w:before="103" w:line="256" w:lineRule="auto"/>
        <w:ind w:right="743" w:firstLine="528" w:firstLineChars="200"/>
        <w:jc w:val="both"/>
        <w:rPr>
          <w:rFonts w:hint="default"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截至周五.美元指数涨0.09%报105.03，非美货币多数下跌，欧元兑美元跌0.07%报1.0815，英镑兑美元跌0.15%报1.2700，澳元兑美元跌0.19%报0.6607，美元兑日元涨0.08%报156.93。昨日公布的美国5月标普全球制造业PMI初值50.9，创两个月新高；服务业PMI初值54.8，创12个月新高；综合PMI指数升至54.4，为2022年4月以来最高，整体经济活跃度不降反升或不利后继通胀放缓进程。与此同时，美国截至5月18日当周初请失业金人数21.5万人，较前一周修正值22.3万人下降8000人，创去年9月以来最大降幅，失业金申请人数回落或暗示后继失业率或仍有一定下行空间，整体劳动力市场仍处于供需均衡修复状态。往后看，短期内美国经济数据走强或持续推高年内利率预期，美元指数或得到一定支撑。</w:t>
      </w:r>
    </w:p>
    <w:p>
      <w:pPr>
        <w:spacing w:before="235" w:line="176" w:lineRule="auto"/>
        <w:jc w:val="both"/>
        <w:rPr>
          <w:rFonts w:hint="default" w:ascii="微软雅黑" w:hAnsi="微软雅黑" w:eastAsia="微软雅黑" w:cs="微软雅黑"/>
          <w:spacing w:val="12"/>
          <w:sz w:val="24"/>
          <w:szCs w:val="24"/>
          <w:lang w:val="en-US" w:eastAsia="zh-CN"/>
        </w:rPr>
      </w:pPr>
      <w:r>
        <w:rPr>
          <w:rFonts w:ascii="微软雅黑" w:hAnsi="微软雅黑" w:eastAsia="微软雅黑" w:cs="微软雅黑"/>
          <w:spacing w:val="7"/>
          <w:sz w:val="21"/>
          <w:szCs w:val="21"/>
        </w:rPr>
        <w:t>图表</w:t>
      </w:r>
      <w:r>
        <w:rPr>
          <w:rFonts w:hint="eastAsia" w:ascii="微软雅黑" w:hAnsi="微软雅黑" w:eastAsia="微软雅黑" w:cs="微软雅黑"/>
          <w:spacing w:val="7"/>
          <w:sz w:val="21"/>
          <w:szCs w:val="21"/>
          <w:lang w:val="en-US" w:eastAsia="zh-CN"/>
        </w:rPr>
        <w:t>2</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美元指数走势图</w:t>
      </w:r>
    </w:p>
    <w:p>
      <w:pPr>
        <w:spacing w:before="103" w:line="256" w:lineRule="auto"/>
        <w:ind w:right="743"/>
        <w:jc w:val="both"/>
      </w:pPr>
      <w:r>
        <w:drawing>
          <wp:inline distT="0" distB="0" distL="114300" distR="114300">
            <wp:extent cx="6051550" cy="2098675"/>
            <wp:effectExtent l="0" t="0" r="6350" b="158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3"/>
                    <a:stretch>
                      <a:fillRect/>
                    </a:stretch>
                  </pic:blipFill>
                  <pic:spPr>
                    <a:xfrm>
                      <a:off x="0" y="0"/>
                      <a:ext cx="6051550" cy="2098675"/>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S&amp;P500</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截至5月24日，标普500指数收跌0.74%至5267.84；迷你标普500主力合约收跌0.83%至5331.00点。美股周四大幅收跌，道指下挫逾600点。英伟达突破1000美元创历史新高，但未能改变美股全线下跌的局面。美国上周初请失业救济数据大幅下降，显示劳动力市场仍然紧张，加重了市场对美联储可能不会很快降息的担忧。策略上，短线逢低做多为主。</w:t>
      </w:r>
    </w:p>
    <w:p>
      <w:pPr>
        <w:spacing w:before="103" w:line="256" w:lineRule="auto"/>
        <w:ind w:right="743"/>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3</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S&amp;P500走势图</w:t>
      </w:r>
    </w:p>
    <w:p>
      <w:pPr>
        <w:spacing w:before="120" w:line="190" w:lineRule="auto"/>
        <w:jc w:val="both"/>
        <w:rPr>
          <w:rFonts w:ascii="新宋体" w:hAnsi="新宋体" w:eastAsia="新宋体"/>
          <w:b/>
        </w:rPr>
      </w:pPr>
      <w:r>
        <w:rPr>
          <w:rFonts w:ascii="新宋体" w:hAnsi="新宋体" w:eastAsia="新宋体"/>
          <w:b/>
        </w:rPr>
        <w:drawing>
          <wp:inline distT="0" distB="0" distL="0" distR="0">
            <wp:extent cx="6083935" cy="2070735"/>
            <wp:effectExtent l="0" t="0" r="12065"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6083935" cy="2070735"/>
                    </a:xfrm>
                    <a:prstGeom prst="rect">
                      <a:avLst/>
                    </a:prstGeom>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富时中国A50</w:t>
      </w:r>
    </w:p>
    <w:p>
      <w:pPr>
        <w:spacing w:before="103" w:line="256" w:lineRule="auto"/>
        <w:ind w:right="743" w:firstLine="528" w:firstLineChars="200"/>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截至5月23日，富时中国A50指数收跌0.78%至12720.43点；新交所富时A50期指主力合约收跌1.00%至12719点。美联储降息预期再度降温，全球大宗商品回调，美债收益率有所回升，对A股来说，成长估值或面临压力。4月份经济结构性失衡现象仍然较为严重，基建放缓、地产弱势，消费动能不足，外需带动的制造业回升和政策制成的部分产业投资高增是维系经济增长的主力。地产组合政策成为市场信心催化的重要因素，政策落地效果对经济走向较为重要，关注地产去库化周期延长下政策继续加码的可能。策略上，短线逢低做多为主。</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4</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富时中国A50走势图</w:t>
      </w:r>
    </w:p>
    <w:p>
      <w:pPr>
        <w:spacing w:before="103" w:line="256" w:lineRule="auto"/>
        <w:ind w:right="743"/>
        <w:jc w:val="both"/>
        <w:rPr>
          <w:rFonts w:ascii="新宋体" w:hAnsi="新宋体" w:eastAsia="新宋体"/>
        </w:rPr>
      </w:pPr>
      <w:r>
        <w:rPr>
          <w:rFonts w:ascii="新宋体" w:hAnsi="新宋体" w:eastAsia="新宋体"/>
        </w:rPr>
        <w:drawing>
          <wp:inline distT="0" distB="0" distL="0" distR="0">
            <wp:extent cx="5979160" cy="2180590"/>
            <wp:effectExtent l="0" t="0" r="2540" b="1016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a:stretch>
                      <a:fillRect/>
                    </a:stretch>
                  </pic:blipFill>
                  <pic:spPr>
                    <a:xfrm>
                      <a:off x="0" y="0"/>
                      <a:ext cx="5979160" cy="2180590"/>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新宋体" w:hAnsi="新宋体" w:eastAsia="新宋体"/>
        </w:rPr>
      </w:pPr>
      <w:r>
        <w:rPr>
          <w:rFonts w:hint="eastAsia" w:ascii="微软雅黑" w:hAnsi="微软雅黑" w:eastAsia="微软雅黑" w:cs="微软雅黑"/>
          <w:b/>
          <w:bCs/>
          <w:spacing w:val="12"/>
          <w:sz w:val="24"/>
          <w:szCs w:val="24"/>
          <w:lang w:val="en-US" w:eastAsia="zh-CN"/>
        </w:rPr>
        <w:t>铜</w:t>
      </w:r>
    </w:p>
    <w:p>
      <w:pPr>
        <w:spacing w:before="103" w:line="256" w:lineRule="auto"/>
        <w:ind w:right="743" w:firstLine="528" w:firstLineChars="200"/>
        <w:jc w:val="both"/>
        <w:rPr>
          <w:rFonts w:hint="eastAsia" w:ascii="微软雅黑" w:hAnsi="微软雅黑" w:eastAsia="微软雅黑" w:cs="微软雅黑"/>
          <w:spacing w:val="7"/>
          <w:sz w:val="21"/>
          <w:szCs w:val="21"/>
        </w:rPr>
      </w:pPr>
      <w:r>
        <w:rPr>
          <w:rFonts w:hint="eastAsia" w:ascii="微软雅黑" w:hAnsi="微软雅黑" w:eastAsia="微软雅黑" w:cs="微软雅黑"/>
          <w:spacing w:val="12"/>
          <w:sz w:val="24"/>
          <w:szCs w:val="24"/>
          <w:lang w:val="en-US" w:eastAsia="zh-CN"/>
        </w:rPr>
        <w:t>隔夜COMEX铜震荡偏弱，报收4.776美元/磅，涨跌幅-1.51%。国际方面，美国5月标普全球综合PMI初值超预期升至54.4，表明商业活动以两年来最快的速度加速，同时制造业、服务业PMI初值均高于预期。市场对于美联储降息节点预期再次延后。国内方面，国家主席习近平主持召开企业和专家座谈会强调，坚持和发展我国基本经济制度，构建高水平社会主义市场经济体制；推动生产关系和生产力、上层建筑和经济基础更好相适应。推进经济体制改革要从现实需要出发，从最紧迫的事情抓起，在解决实践问题中深化理论创新、推进制度创新。库存方面，截至5月23日，LME铜库存为110025吨，环比-225吨；COMEX铜库存18871短吨，环比-325短吨；SHFE每日仓单225197吨，环比+1042吨。美元指数先跌后涨，美国PMI公布后持续拉升，最终收涨0.078%，报105.03，再创周内新高。美债收益率高位回落，对美联储政策利率最敏感的2年期美债收益率最终收报4.948%。操作上，建议COMEX铜2407合约轻仓震荡偏多交易，注意交易节奏及风险控制。</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5：</w:t>
      </w:r>
      <w:r>
        <w:rPr>
          <w:rFonts w:hint="eastAsia" w:ascii="微软雅黑" w:hAnsi="微软雅黑" w:eastAsia="微软雅黑" w:cs="微软雅黑"/>
          <w:spacing w:val="7"/>
          <w:sz w:val="21"/>
          <w:szCs w:val="21"/>
        </w:rPr>
        <w:t>铜日线走势图</w:t>
      </w:r>
    </w:p>
    <w:p>
      <w:pPr>
        <w:spacing w:before="103" w:line="256" w:lineRule="auto"/>
        <w:ind w:right="743"/>
        <w:jc w:val="both"/>
      </w:pPr>
      <w:r>
        <w:drawing>
          <wp:inline distT="0" distB="0" distL="0" distR="0">
            <wp:extent cx="6102350" cy="1965325"/>
            <wp:effectExtent l="0" t="0" r="12700" b="158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6"/>
                    <a:stretch>
                      <a:fillRect/>
                    </a:stretch>
                  </pic:blipFill>
                  <pic:spPr>
                    <a:xfrm>
                      <a:off x="0" y="0"/>
                      <a:ext cx="6102350" cy="1965325"/>
                    </a:xfrm>
                    <a:prstGeom prst="rect">
                      <a:avLst/>
                    </a:prstGeom>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 xml:space="preserve"> 资料来源：同花顺、瑞达国际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黄金</w:t>
      </w:r>
    </w:p>
    <w:p>
      <w:pPr>
        <w:spacing w:before="103" w:line="256" w:lineRule="auto"/>
        <w:ind w:right="743" w:firstLine="528" w:firstLineChars="200"/>
        <w:jc w:val="both"/>
        <w:rPr>
          <w:rFonts w:hint="eastAsia" w:ascii="微软雅黑" w:hAnsi="微软雅黑" w:eastAsia="微软雅黑" w:cs="微软雅黑"/>
          <w:spacing w:val="7"/>
          <w:sz w:val="21"/>
          <w:szCs w:val="21"/>
        </w:rPr>
      </w:pPr>
      <w:r>
        <w:rPr>
          <w:rFonts w:hint="eastAsia" w:ascii="微软雅黑" w:hAnsi="微软雅黑" w:eastAsia="微软雅黑" w:cs="微软雅黑"/>
          <w:spacing w:val="12"/>
          <w:sz w:val="24"/>
          <w:szCs w:val="24"/>
          <w:lang w:val="en-US" w:eastAsia="zh-CN"/>
        </w:rPr>
        <w:t>消息面：昨日公布的美国5月标普全球制造业PMI初值50.9，创两个月新高；服务业PMI初值54.8，创12个月新高；综合PMI指数升至54.4，为2022年4月以来最高，整体经济活跃度不降反升或不利后继通胀放缓进程。与此同时，美国截至5月18日当周初请失业金人数21.5万人，较前一周修正值22.3万人下降8000人，创去年9月以来最大降幅，失业金申请人数回落或暗示后继失业率或仍有一定下行空间，整体劳动力市场仍处于供需均衡修复状态。外盘持仓方面：截至5月21日，SPDR Gold Trust黄金ETF持仓量为833.36吨，较上一交易日减少5.18吨。往后看，短期内美国经济数据走强或持续推高年内利率预期，美元指数及美债收益率或得到一定支撑，贵金属价格或相对承压。操作上建议，日内轻仓做空，请投资者注意风险控制。</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图6</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rPr>
        <w:t>COMEX黄金日线走势图</w:t>
      </w:r>
      <w:r>
        <w:rPr>
          <w:rFonts w:hint="eastAsia" w:ascii="微软雅黑" w:hAnsi="微软雅黑" w:eastAsia="微软雅黑" w:cs="微软雅黑"/>
          <w:spacing w:val="7"/>
          <w:sz w:val="21"/>
          <w:szCs w:val="21"/>
          <w:lang w:val="en-US" w:eastAsia="zh-CN"/>
        </w:rPr>
        <w:t xml:space="preserve">  </w:t>
      </w:r>
    </w:p>
    <w:p>
      <w:pPr>
        <w:spacing w:before="103" w:line="256" w:lineRule="auto"/>
        <w:ind w:right="743"/>
        <w:jc w:val="both"/>
      </w:pPr>
      <w:r>
        <w:drawing>
          <wp:inline distT="0" distB="0" distL="114300" distR="114300">
            <wp:extent cx="6057900" cy="2082800"/>
            <wp:effectExtent l="0" t="0" r="0" b="1270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7"/>
                    <a:stretch>
                      <a:fillRect/>
                    </a:stretch>
                  </pic:blipFill>
                  <pic:spPr>
                    <a:xfrm>
                      <a:off x="0" y="0"/>
                      <a:ext cx="6057900" cy="2082800"/>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原油</w:t>
      </w:r>
    </w:p>
    <w:p>
      <w:pPr>
        <w:spacing w:before="103" w:line="256" w:lineRule="auto"/>
        <w:ind w:right="743" w:firstLine="528" w:firstLineChars="200"/>
        <w:jc w:val="both"/>
        <w:rPr>
          <w:rFonts w:hint="default" w:ascii="微软雅黑" w:hAnsi="微软雅黑" w:eastAsia="微软雅黑" w:cs="微软雅黑"/>
          <w:spacing w:val="12"/>
          <w:sz w:val="24"/>
          <w:szCs w:val="24"/>
          <w:lang w:val="en-US" w:eastAsia="zh-CN"/>
        </w:rPr>
      </w:pPr>
      <w:r>
        <w:rPr>
          <w:rFonts w:hint="default" w:ascii="微软雅黑" w:hAnsi="微软雅黑" w:eastAsia="微软雅黑" w:cs="微软雅黑"/>
          <w:spacing w:val="12"/>
          <w:sz w:val="24"/>
          <w:szCs w:val="24"/>
          <w:lang w:val="en-US" w:eastAsia="zh-CN"/>
        </w:rPr>
        <w:t>国际原油市场</w:t>
      </w:r>
      <w:bookmarkStart w:id="2" w:name="_GoBack"/>
      <w:bookmarkEnd w:id="2"/>
      <w:r>
        <w:rPr>
          <w:rFonts w:hint="default" w:ascii="微软雅黑" w:hAnsi="微软雅黑" w:eastAsia="微软雅黑" w:cs="微软雅黑"/>
          <w:spacing w:val="12"/>
          <w:sz w:val="24"/>
          <w:szCs w:val="24"/>
          <w:lang w:val="en-US" w:eastAsia="zh-CN"/>
        </w:rPr>
        <w:t>回落</w:t>
      </w:r>
      <w:r>
        <w:rPr>
          <w:rFonts w:hint="eastAsia" w:ascii="微软雅黑" w:hAnsi="微软雅黑" w:eastAsia="微软雅黑" w:cs="微软雅黑"/>
          <w:spacing w:val="12"/>
          <w:sz w:val="24"/>
          <w:szCs w:val="24"/>
          <w:lang w:val="en-US" w:eastAsia="zh-CN"/>
        </w:rPr>
        <w:t>，</w:t>
      </w:r>
      <w:r>
        <w:rPr>
          <w:rFonts w:hint="default" w:ascii="微软雅黑" w:hAnsi="微软雅黑" w:eastAsia="微软雅黑" w:cs="微软雅黑"/>
          <w:spacing w:val="12"/>
          <w:sz w:val="24"/>
          <w:szCs w:val="24"/>
          <w:lang w:val="en-US" w:eastAsia="zh-CN"/>
        </w:rPr>
        <w:t>WTI7月合约较上一交易日下跌0.70美元或0.90%，报76.87美元/桶。美国5月标普全球综合PMI初值高于预期，市场削减美联储降息预期，美元指数呈现回升。欧佩克联盟产油国将自愿减产措施延长到二季度，沙特将自愿减产100万桶/日，俄罗斯在二季度自愿削减供应47.1万桶/日；以色列继续在拉法展开军事行动，巴以停火协议谈判仍呈僵局；俄罗斯4月原油产量超出额度承诺提交补偿计划，EIA美国原油库存增加；美联储持鹰派立场，市场担忧美联储高利率抑制需求前景，短线原油期价呈现震荡</w:t>
      </w:r>
      <w:r>
        <w:rPr>
          <w:rFonts w:hint="eastAsia" w:ascii="微软雅黑" w:hAnsi="微软雅黑" w:eastAsia="微软雅黑" w:cs="微软雅黑"/>
          <w:spacing w:val="12"/>
          <w:sz w:val="24"/>
          <w:szCs w:val="24"/>
          <w:lang w:val="en-US" w:eastAsia="zh-CN"/>
        </w:rPr>
        <w:t>。</w:t>
      </w:r>
      <w:r>
        <w:rPr>
          <w:rFonts w:hint="default" w:ascii="微软雅黑" w:hAnsi="微软雅黑" w:eastAsia="微软雅黑" w:cs="微软雅黑"/>
          <w:spacing w:val="12"/>
          <w:sz w:val="24"/>
          <w:szCs w:val="24"/>
          <w:lang w:val="en-US" w:eastAsia="zh-CN"/>
        </w:rPr>
        <w:t>建议短线交易为主</w:t>
      </w:r>
      <w:r>
        <w:rPr>
          <w:rFonts w:hint="eastAsia" w:ascii="微软雅黑" w:hAnsi="微软雅黑" w:eastAsia="微软雅黑" w:cs="微软雅黑"/>
          <w:spacing w:val="12"/>
          <w:sz w:val="24"/>
          <w:szCs w:val="24"/>
          <w:lang w:val="en-US" w:eastAsia="zh-CN"/>
        </w:rPr>
        <w:t>，</w:t>
      </w:r>
      <w:r>
        <w:rPr>
          <w:rFonts w:hint="default" w:ascii="微软雅黑" w:hAnsi="微软雅黑" w:eastAsia="微软雅黑" w:cs="微软雅黑"/>
          <w:spacing w:val="12"/>
          <w:sz w:val="24"/>
          <w:szCs w:val="24"/>
          <w:lang w:val="en-US" w:eastAsia="zh-CN"/>
        </w:rPr>
        <w:t>支撑位：76.2；压力位：78.7。</w:t>
      </w:r>
    </w:p>
    <w:p>
      <w:pPr>
        <w:spacing w:before="103" w:line="256" w:lineRule="auto"/>
        <w:ind w:right="743"/>
        <w:jc w:val="both"/>
      </w:pPr>
      <w:r>
        <w:rPr>
          <w:rFonts w:hint="eastAsia" w:ascii="微软雅黑" w:hAnsi="微软雅黑" w:eastAsia="微软雅黑" w:cs="微软雅黑"/>
          <w:spacing w:val="7"/>
          <w:sz w:val="21"/>
          <w:szCs w:val="21"/>
          <w:lang w:val="en-US" w:eastAsia="zh-CN"/>
        </w:rPr>
        <w:t>图7：原油（WTI）走势图</w:t>
      </w:r>
    </w:p>
    <w:p>
      <w:pPr>
        <w:spacing w:before="103" w:line="256" w:lineRule="auto"/>
        <w:ind w:right="743"/>
        <w:jc w:val="both"/>
        <w:rPr>
          <w:rFonts w:hint="eastAsia"/>
        </w:rPr>
      </w:pPr>
      <w:r>
        <w:drawing>
          <wp:inline distT="0" distB="0" distL="0" distR="0">
            <wp:extent cx="6045200" cy="2420620"/>
            <wp:effectExtent l="0" t="0" r="12700" b="177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stretch>
                      <a:fillRect/>
                    </a:stretch>
                  </pic:blipFill>
                  <pic:spPr>
                    <a:xfrm>
                      <a:off x="0" y="0"/>
                      <a:ext cx="6045200" cy="2420620"/>
                    </a:xfrm>
                    <a:prstGeom prst="rect">
                      <a:avLst/>
                    </a:prstGeom>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default"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ICE</w:t>
      </w:r>
      <w:bookmarkStart w:id="0" w:name="OLE_LINK3"/>
      <w:bookmarkStart w:id="1" w:name="OLE_LINK4"/>
      <w:r>
        <w:rPr>
          <w:rFonts w:hint="eastAsia" w:ascii="微软雅黑" w:hAnsi="微软雅黑" w:eastAsia="微软雅黑" w:cs="微软雅黑"/>
          <w:b/>
          <w:bCs/>
          <w:spacing w:val="12"/>
          <w:sz w:val="24"/>
          <w:szCs w:val="24"/>
          <w:lang w:val="en-US" w:eastAsia="zh-CN"/>
        </w:rPr>
        <w:t>棉花</w:t>
      </w:r>
    </w:p>
    <w:bookmarkEnd w:id="0"/>
    <w:bookmarkEnd w:id="1"/>
    <w:p>
      <w:pPr>
        <w:spacing w:before="103" w:line="256" w:lineRule="auto"/>
        <w:ind w:right="743" w:firstLine="528" w:firstLineChars="200"/>
        <w:jc w:val="both"/>
        <w:rPr>
          <w:rFonts w:hint="eastAsia" w:ascii="微软雅黑" w:hAnsi="微软雅黑" w:eastAsia="微软雅黑" w:cs="微软雅黑"/>
          <w:spacing w:val="7"/>
          <w:sz w:val="21"/>
          <w:szCs w:val="21"/>
          <w:lang w:val="zh-CN" w:eastAsia="zh-CN"/>
        </w:rPr>
      </w:pPr>
      <w:r>
        <w:rPr>
          <w:rFonts w:hint="eastAsia" w:ascii="微软雅黑" w:hAnsi="微软雅黑" w:eastAsia="微软雅黑" w:cs="微软雅黑"/>
          <w:spacing w:val="12"/>
          <w:sz w:val="24"/>
          <w:szCs w:val="24"/>
          <w:lang w:val="zh-CN" w:eastAsia="zh-CN"/>
        </w:rPr>
        <w:t>洲际交易所(ICE)棉花期货周四上涨3%，触及一个月高位，得益于主要消费国中国的旺季需求及强劲的出口销售数据。交投最活跃的ICE 7月期棉收涨2.34美分或3.0%，结算价报81.72美分/磅。新年度全球棉花产量增加至近六年高位预期，且美棉出口数据下滑，利空棉市。据美国农业部(USDA)报告显示，2024年5月3-9日，2023/24年度美国陆地棉出口签约量35526吨，较前周下降38%，较前4周平均水平下降7%；2023/24年度美国陆地棉出口装运量54208吨，较前周下降4%，较前4周平均水平持平。美棉主力价格关注上方压力86.0美分/磅，下方支撑70.0美分/磅。建议7月 ICE 期棉短期观望。</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8：ICE棉花</w:t>
      </w:r>
      <w:r>
        <w:rPr>
          <w:rFonts w:hint="eastAsia" w:ascii="微软雅黑" w:hAnsi="微软雅黑" w:eastAsia="微软雅黑" w:cs="微软雅黑"/>
          <w:spacing w:val="7"/>
          <w:sz w:val="21"/>
          <w:szCs w:val="21"/>
          <w:lang w:val="zh-CN" w:eastAsia="zh-CN"/>
        </w:rPr>
        <w:t>期货主力合约日走势图</w:t>
      </w:r>
    </w:p>
    <w:p>
      <w:pPr>
        <w:spacing w:before="103" w:line="256" w:lineRule="auto"/>
        <w:ind w:right="743"/>
        <w:jc w:val="both"/>
        <w:rPr>
          <w:rFonts w:hint="eastAsia" w:ascii="微软雅黑" w:hAnsi="微软雅黑" w:eastAsia="微软雅黑" w:cs="微软雅黑"/>
          <w:spacing w:val="7"/>
          <w:sz w:val="21"/>
          <w:szCs w:val="21"/>
          <w:lang w:val="zh-CN" w:eastAsia="zh-CN"/>
        </w:rPr>
      </w:pPr>
      <w:r>
        <w:rPr>
          <w:rFonts w:hint="eastAsia"/>
          <w:lang w:val="en-US" w:eastAsia="zh-CN"/>
        </w:rPr>
        <w:drawing>
          <wp:inline distT="0" distB="0" distL="114300" distR="114300">
            <wp:extent cx="6287135" cy="2353310"/>
            <wp:effectExtent l="0" t="0" r="18415" b="8890"/>
            <wp:docPr id="12" name="图片 3" descr="QQ截图20240524080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QQ截图20240524080353"/>
                    <pic:cNvPicPr>
                      <a:picLocks noChangeAspect="1"/>
                    </pic:cNvPicPr>
                  </pic:nvPicPr>
                  <pic:blipFill>
                    <a:blip r:embed="rId19"/>
                    <a:stretch>
                      <a:fillRect/>
                    </a:stretch>
                  </pic:blipFill>
                  <pic:spPr>
                    <a:xfrm>
                      <a:off x="0" y="0"/>
                      <a:ext cx="6287135" cy="2353310"/>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default"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ICE原糖</w:t>
      </w:r>
    </w:p>
    <w:p>
      <w:pPr>
        <w:spacing w:before="103" w:line="256" w:lineRule="auto"/>
        <w:ind w:right="743" w:firstLine="528" w:firstLineChars="200"/>
        <w:jc w:val="both"/>
        <w:rPr>
          <w:rFonts w:hint="eastAsia" w:ascii="微软雅黑" w:hAnsi="微软雅黑" w:eastAsia="微软雅黑" w:cs="微软雅黑"/>
          <w:spacing w:val="7"/>
          <w:sz w:val="21"/>
          <w:szCs w:val="21"/>
          <w:lang w:val="zh-CN" w:eastAsia="zh-CN"/>
        </w:rPr>
      </w:pPr>
      <w:r>
        <w:rPr>
          <w:rFonts w:hint="eastAsia" w:ascii="微软雅黑" w:hAnsi="微软雅黑" w:eastAsia="微软雅黑" w:cs="微软雅黑"/>
          <w:spacing w:val="12"/>
          <w:sz w:val="24"/>
          <w:szCs w:val="24"/>
          <w:lang w:val="zh-CN" w:eastAsia="zh-CN"/>
        </w:rPr>
        <w:t>洲际期货交易所（ICE）原糖期货周四收高，市场关注主产国巴西天气情况。交投最活跃的ICE 7月原糖期货合约收盘收涨0.03美分或0.2%，结算价每磅18.26美分。新榨季巴西糖压榨进度加快，产糖量同比大增，生产数据强劲。据巴西蔗糖工业协会Unica称，自4月1日开始的巴西2024/25新榨季，截至5月1日巴西主产区（中南部地区）入榨甘蔗5061万吨，同比增长43.41%，产糖255.8万吨，同比增长65.91%，而乙醇产量为23.6亿升，同比增长32.42%。巴西甘蔗用于生产食糖的比例从上榨季同期的41.42%提高至46.96%。美糖主力价格关注上方阻力20.5美分/磅，下方支撑17.5美分/磅。操作上，建议7月 ICE 原糖短期暂且观望。</w:t>
      </w:r>
    </w:p>
    <w:p>
      <w:pPr>
        <w:spacing w:before="103" w:line="256" w:lineRule="auto"/>
        <w:ind w:right="743"/>
        <w:jc w:val="both"/>
        <w:rPr>
          <w:rFonts w:hint="eastAsia" w:ascii="微软雅黑" w:hAnsi="微软雅黑" w:eastAsia="微软雅黑" w:cs="微软雅黑"/>
          <w:spacing w:val="7"/>
          <w:sz w:val="21"/>
          <w:szCs w:val="21"/>
          <w:lang w:val="zh-CN" w:eastAsia="zh-CN"/>
        </w:rPr>
      </w:pPr>
    </w:p>
    <w:p>
      <w:pPr>
        <w:spacing w:before="103" w:line="256" w:lineRule="auto"/>
        <w:ind w:right="743"/>
        <w:jc w:val="both"/>
        <w:rPr>
          <w:rFonts w:hint="eastAsia" w:ascii="微软雅黑" w:hAnsi="微软雅黑" w:eastAsia="微软雅黑" w:cs="微软雅黑"/>
          <w:spacing w:val="7"/>
          <w:sz w:val="21"/>
          <w:szCs w:val="21"/>
          <w:lang w:val="zh-CN" w:eastAsia="zh-CN"/>
        </w:rPr>
      </w:pPr>
    </w:p>
    <w:p>
      <w:pPr>
        <w:spacing w:before="103" w:line="256" w:lineRule="auto"/>
        <w:ind w:right="743"/>
        <w:jc w:val="both"/>
        <w:rPr>
          <w:rFonts w:hint="eastAsia" w:ascii="微软雅黑" w:hAnsi="微软雅黑" w:eastAsia="微软雅黑" w:cs="微软雅黑"/>
          <w:spacing w:val="7"/>
          <w:sz w:val="21"/>
          <w:szCs w:val="21"/>
          <w:lang w:val="zh-CN" w:eastAsia="zh-CN"/>
        </w:rPr>
      </w:pPr>
    </w:p>
    <w:p>
      <w:pPr>
        <w:spacing w:before="103" w:line="256" w:lineRule="auto"/>
        <w:ind w:right="743"/>
        <w:jc w:val="both"/>
        <w:rPr>
          <w:rFonts w:ascii="微软雅黑" w:hAnsi="微软雅黑" w:eastAsia="微软雅黑" w:cs="微软雅黑"/>
          <w:color w:val="CE393F"/>
          <w:spacing w:val="8"/>
          <w:position w:val="2"/>
          <w:sz w:val="40"/>
          <w:szCs w:val="40"/>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9：ICE原糖</w:t>
      </w:r>
      <w:r>
        <w:rPr>
          <w:rFonts w:hint="eastAsia" w:ascii="微软雅黑" w:hAnsi="微软雅黑" w:eastAsia="微软雅黑" w:cs="微软雅黑"/>
          <w:spacing w:val="7"/>
          <w:sz w:val="21"/>
          <w:szCs w:val="21"/>
          <w:lang w:val="zh-CN" w:eastAsia="zh-CN"/>
        </w:rPr>
        <w:t>期货主力合约日走势图</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lang w:val="en-US" w:eastAsia="zh-CN"/>
        </w:rPr>
        <w:drawing>
          <wp:inline distT="0" distB="0" distL="114300" distR="114300">
            <wp:extent cx="5937250" cy="2213610"/>
            <wp:effectExtent l="0" t="0" r="6350" b="15240"/>
            <wp:docPr id="11" name="图片 2" descr="QQ截图20240524080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QQ截图20240524080344"/>
                    <pic:cNvPicPr>
                      <a:picLocks noChangeAspect="1"/>
                    </pic:cNvPicPr>
                  </pic:nvPicPr>
                  <pic:blipFill>
                    <a:blip r:embed="rId20"/>
                    <a:stretch>
                      <a:fillRect/>
                    </a:stretch>
                  </pic:blipFill>
                  <pic:spPr>
                    <a:xfrm>
                      <a:off x="0" y="0"/>
                      <a:ext cx="5937250" cy="2213610"/>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72" w:line="417" w:lineRule="exact"/>
        <w:rPr>
          <w:rFonts w:ascii="微软雅黑" w:hAnsi="微软雅黑" w:eastAsia="微软雅黑" w:cs="微软雅黑"/>
          <w:sz w:val="20"/>
          <w:szCs w:val="20"/>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9"/>
          <w:sz w:val="28"/>
          <w:szCs w:val="28"/>
        </w:rPr>
        <w:t xml:space="preserve"> </w:t>
      </w:r>
      <w:r>
        <w:rPr>
          <w:rFonts w:ascii="微软雅黑" w:hAnsi="微软雅黑" w:eastAsia="微软雅黑" w:cs="微软雅黑"/>
          <w:color w:val="CE393F"/>
          <w:spacing w:val="8"/>
          <w:position w:val="2"/>
          <w:sz w:val="40"/>
          <w:szCs w:val="40"/>
        </w:rPr>
        <w:t>△</w:t>
      </w:r>
      <w:r>
        <w:rPr>
          <w:rFonts w:ascii="微软雅黑" w:hAnsi="微软雅黑" w:eastAsia="微软雅黑" w:cs="微软雅黑"/>
          <w:color w:val="CE393F"/>
          <w:spacing w:val="-38"/>
          <w:position w:val="2"/>
          <w:sz w:val="40"/>
          <w:szCs w:val="40"/>
        </w:rPr>
        <w:t xml:space="preserve"> </w:t>
      </w:r>
      <w:r>
        <w:rPr>
          <w:rFonts w:ascii="微软雅黑" w:hAnsi="微软雅黑" w:eastAsia="微软雅黑" w:cs="微软雅黑"/>
          <w:spacing w:val="8"/>
          <w:position w:val="2"/>
          <w:sz w:val="20"/>
          <w:szCs w:val="20"/>
        </w:rPr>
        <w:t>免责声明</w:t>
      </w:r>
    </w:p>
    <w:p>
      <w:pPr>
        <w:spacing w:before="63" w:line="193" w:lineRule="auto"/>
        <w:ind w:left="340" w:right="706" w:firstLine="379"/>
        <w:jc w:val="both"/>
        <w:rPr>
          <w:rFonts w:ascii="微软雅黑" w:hAnsi="微软雅黑" w:eastAsia="微软雅黑" w:cs="微软雅黑"/>
          <w:color w:val="898989"/>
          <w:spacing w:val="-8"/>
          <w:sz w:val="18"/>
          <w:szCs w:val="18"/>
        </w:rPr>
      </w:pPr>
      <w:r>
        <w:rPr>
          <w:rFonts w:ascii="微软雅黑" w:hAnsi="微软雅黑" w:eastAsia="微软雅黑" w:cs="微软雅黑"/>
          <w:color w:val="898989"/>
          <w:spacing w:val="3"/>
          <w:sz w:val="18"/>
          <w:szCs w:val="18"/>
        </w:rPr>
        <w:t>此报告由瑞达国际所编制。本报告采用之资料及意见均相信可靠及准确</w:t>
      </w:r>
      <w:r>
        <w:rPr>
          <w:rFonts w:ascii="微软雅黑" w:hAnsi="微软雅黑" w:eastAsia="微软雅黑" w:cs="微软雅黑"/>
          <w:color w:val="898989"/>
          <w:spacing w:val="2"/>
          <w:sz w:val="18"/>
          <w:szCs w:val="18"/>
        </w:rPr>
        <w:t>，但本公司并不对各分析或有关资料之可</w:t>
      </w:r>
      <w:r>
        <w:rPr>
          <w:rFonts w:ascii="微软雅黑" w:hAnsi="微软雅黑" w:eastAsia="微软雅黑" w:cs="微软雅黑"/>
          <w:color w:val="898989"/>
          <w:spacing w:val="3"/>
          <w:sz w:val="18"/>
          <w:szCs w:val="18"/>
        </w:rPr>
        <w:t>靠性及准确性作出全面性保证。本报告只供客户或读者作参考之用，客户或读者不应完全依靠本报告内容作为投</w:t>
      </w:r>
      <w:r>
        <w:rPr>
          <w:rFonts w:ascii="微软雅黑" w:hAnsi="微软雅黑" w:eastAsia="微软雅黑" w:cs="微软雅黑"/>
          <w:color w:val="898989"/>
          <w:spacing w:val="2"/>
          <w:sz w:val="18"/>
          <w:szCs w:val="18"/>
        </w:rPr>
        <w:t>资准</w:t>
      </w:r>
      <w:r>
        <w:rPr>
          <w:rFonts w:ascii="微软雅黑" w:hAnsi="微软雅黑" w:eastAsia="微软雅黑" w:cs="微软雅黑"/>
          <w:color w:val="898989"/>
          <w:spacing w:val="-8"/>
          <w:sz w:val="18"/>
          <w:szCs w:val="18"/>
        </w:rPr>
        <w:t>则。</w:t>
      </w:r>
    </w:p>
    <w:p>
      <w:pPr>
        <w:spacing w:before="63" w:line="193" w:lineRule="auto"/>
        <w:ind w:left="340" w:right="706" w:firstLine="379"/>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本报告之资料及意见如有任何更改，恕不另行通知。本报告并非及并无意图</w:t>
      </w:r>
      <w:r>
        <w:rPr>
          <w:rFonts w:ascii="微软雅黑" w:hAnsi="微软雅黑" w:eastAsia="微软雅黑" w:cs="微软雅黑"/>
          <w:color w:val="898989"/>
          <w:spacing w:val="2"/>
          <w:sz w:val="18"/>
          <w:szCs w:val="18"/>
        </w:rPr>
        <w:t>构成任何作价或招揽进行买卖本报告</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2"/>
          <w:sz w:val="18"/>
          <w:szCs w:val="18"/>
        </w:rPr>
        <w:t>提及的商品。本公司不会对任何因依靠本报告作出任何买卖而引致之任何损失承担任</w:t>
      </w:r>
      <w:r>
        <w:rPr>
          <w:rFonts w:ascii="微软雅黑" w:hAnsi="微软雅黑" w:eastAsia="微软雅黑" w:cs="微软雅黑"/>
          <w:color w:val="898989"/>
          <w:spacing w:val="1"/>
          <w:sz w:val="18"/>
          <w:szCs w:val="18"/>
        </w:rPr>
        <w:t>何责任。</w:t>
      </w:r>
    </w:p>
    <w:p>
      <w:pPr>
        <w:spacing w:line="189" w:lineRule="auto"/>
        <w:rPr>
          <w:rFonts w:ascii="微软雅黑" w:hAnsi="微软雅黑" w:eastAsia="微软雅黑" w:cs="微软雅黑"/>
          <w:sz w:val="18"/>
          <w:szCs w:val="18"/>
        </w:rPr>
        <w:sectPr>
          <w:headerReference r:id="rId6" w:type="default"/>
          <w:footerReference r:id="rId7" w:type="default"/>
          <w:pgSz w:w="11915" w:h="16837"/>
          <w:pgMar w:top="400" w:right="382" w:bottom="0" w:left="1153" w:header="340" w:footer="340" w:gutter="0"/>
          <w:pgBorders>
            <w:top w:val="none" w:sz="0" w:space="0"/>
            <w:left w:val="none" w:sz="0" w:space="0"/>
            <w:bottom w:val="none" w:sz="0" w:space="0"/>
            <w:right w:val="none" w:sz="0" w:space="0"/>
          </w:pgBorders>
          <w:pgNumType w:fmt="decimal"/>
          <w:cols w:space="720" w:num="1"/>
        </w:sectPr>
      </w:pPr>
    </w:p>
    <w:p>
      <w:pPr>
        <w:spacing w:before="34" w:line="569" w:lineRule="exact"/>
        <w:ind w:firstLine="6421"/>
      </w:pPr>
    </w:p>
    <w:p>
      <w:pPr>
        <w:spacing w:before="34" w:line="569" w:lineRule="exact"/>
        <w:ind w:firstLine="6421"/>
      </w:pPr>
    </w:p>
    <w:p>
      <w:pPr>
        <w:spacing w:before="34" w:line="569" w:lineRule="exact"/>
        <w:ind w:firstLine="6421"/>
      </w:pPr>
    </w:p>
    <w:p>
      <w:pPr>
        <w:spacing w:line="3052" w:lineRule="exact"/>
        <w:jc w:val="center"/>
      </w:pPr>
      <w:r>
        <w:rPr>
          <w:position w:val="-61"/>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pPr>
        <w:pStyle w:val="3"/>
        <w:spacing w:line="371" w:lineRule="auto"/>
        <w:jc w:val="center"/>
      </w:pPr>
    </w:p>
    <w:p>
      <w:pPr>
        <w:spacing w:before="103" w:line="191" w:lineRule="auto"/>
        <w:jc w:val="center"/>
        <w:rPr>
          <w:rFonts w:ascii="微软雅黑" w:hAnsi="微软雅黑" w:eastAsia="微软雅黑" w:cs="微软雅黑"/>
          <w:sz w:val="24"/>
          <w:szCs w:val="24"/>
        </w:rPr>
      </w:pPr>
      <w:r>
        <w:rPr>
          <w:rFonts w:ascii="微软雅黑" w:hAnsi="微软雅黑" w:eastAsia="微软雅黑" w:cs="微软雅黑"/>
          <w:spacing w:val="7"/>
          <w:sz w:val="24"/>
          <w:szCs w:val="24"/>
        </w:rPr>
        <w:t>24小时客服电话： 00852</w:t>
      </w:r>
      <w:r>
        <w:rPr>
          <w:rFonts w:ascii="微软雅黑" w:hAnsi="微软雅黑" w:eastAsia="微软雅黑" w:cs="微软雅黑"/>
          <w:spacing w:val="-33"/>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37"/>
          <w:sz w:val="24"/>
          <w:szCs w:val="24"/>
        </w:rPr>
        <w:t xml:space="preserve"> </w:t>
      </w:r>
      <w:r>
        <w:rPr>
          <w:rFonts w:ascii="微软雅黑" w:hAnsi="微软雅黑" w:eastAsia="微软雅黑" w:cs="微软雅黑"/>
          <w:spacing w:val="7"/>
          <w:sz w:val="24"/>
          <w:szCs w:val="24"/>
        </w:rPr>
        <w:t>25342000/86</w:t>
      </w:r>
      <w:r>
        <w:rPr>
          <w:rFonts w:ascii="微软雅黑" w:hAnsi="微软雅黑" w:eastAsia="微软雅黑" w:cs="微软雅黑"/>
          <w:spacing w:val="-36"/>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26"/>
          <w:sz w:val="24"/>
          <w:szCs w:val="24"/>
        </w:rPr>
        <w:t xml:space="preserve"> </w:t>
      </w:r>
      <w:r>
        <w:rPr>
          <w:rFonts w:ascii="微软雅黑" w:hAnsi="微软雅黑" w:eastAsia="微软雅黑" w:cs="微软雅黑"/>
          <w:spacing w:val="7"/>
          <w:sz w:val="24"/>
          <w:szCs w:val="24"/>
        </w:rPr>
        <w:t>13603059885</w:t>
      </w:r>
    </w:p>
    <w:p>
      <w:pPr>
        <w:spacing w:before="233" w:line="175" w:lineRule="auto"/>
        <w:jc w:val="center"/>
        <w:rPr>
          <w:rFonts w:ascii="微软雅黑" w:hAnsi="微软雅黑" w:eastAsia="微软雅黑" w:cs="微软雅黑"/>
          <w:sz w:val="24"/>
          <w:szCs w:val="24"/>
        </w:rPr>
      </w:pPr>
      <w:r>
        <w:rPr>
          <w:rFonts w:ascii="微软雅黑" w:hAnsi="微软雅黑" w:eastAsia="微软雅黑" w:cs="微软雅黑"/>
          <w:spacing w:val="5"/>
          <w:sz w:val="24"/>
          <w:szCs w:val="24"/>
        </w:rPr>
        <w:t>24小时传真电话： 00852</w:t>
      </w:r>
      <w:r>
        <w:rPr>
          <w:rFonts w:ascii="微软雅黑" w:hAnsi="微软雅黑" w:eastAsia="微软雅黑" w:cs="微软雅黑"/>
          <w:spacing w:val="-32"/>
          <w:sz w:val="24"/>
          <w:szCs w:val="24"/>
        </w:rPr>
        <w:t xml:space="preserve"> </w:t>
      </w:r>
      <w:r>
        <w:rPr>
          <w:rFonts w:ascii="微软雅黑" w:hAnsi="微软雅黑" w:eastAsia="微软雅黑" w:cs="微软雅黑"/>
          <w:spacing w:val="5"/>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pacing w:val="5"/>
          <w:sz w:val="24"/>
          <w:szCs w:val="24"/>
        </w:rPr>
        <w:t>25632368</w:t>
      </w:r>
    </w:p>
    <w:p>
      <w:pPr>
        <w:spacing w:before="258" w:line="190" w:lineRule="auto"/>
        <w:jc w:val="center"/>
        <w:rPr>
          <w:rFonts w:ascii="微软雅黑" w:hAnsi="微软雅黑" w:eastAsia="微软雅黑" w:cs="微软雅黑"/>
          <w:sz w:val="24"/>
          <w:szCs w:val="24"/>
        </w:rPr>
      </w:pPr>
      <w:r>
        <w:rPr>
          <w:rFonts w:ascii="微软雅黑" w:hAnsi="微软雅黑" w:eastAsia="微软雅黑" w:cs="微软雅黑"/>
          <w:spacing w:val="13"/>
          <w:sz w:val="24"/>
          <w:szCs w:val="24"/>
        </w:rPr>
        <w:t xml:space="preserve">客服邮箱： </w:t>
      </w:r>
      <w:r>
        <w:rPr>
          <w:rFonts w:ascii="微软雅黑" w:hAnsi="微软雅黑" w:eastAsia="微软雅黑" w:cs="微软雅黑"/>
          <w:sz w:val="24"/>
          <w:szCs w:val="24"/>
        </w:rPr>
        <w:t>cs</w:t>
      </w:r>
      <w:r>
        <w:rPr>
          <w:rFonts w:ascii="微软雅黑" w:hAnsi="微软雅黑" w:eastAsia="微软雅黑" w:cs="微软雅黑"/>
          <w:spacing w:val="13"/>
          <w:sz w:val="24"/>
          <w:szCs w:val="24"/>
        </w:rPr>
        <w:t>@</w:t>
      </w:r>
      <w:r>
        <w:rPr>
          <w:rFonts w:ascii="微软雅黑" w:hAnsi="微软雅黑" w:eastAsia="微软雅黑" w:cs="微软雅黑"/>
          <w:sz w:val="24"/>
          <w:szCs w:val="24"/>
        </w:rPr>
        <w:t>ruida</w:t>
      </w:r>
      <w:r>
        <w:rPr>
          <w:rFonts w:ascii="微软雅黑" w:hAnsi="微软雅黑" w:eastAsia="微软雅黑" w:cs="微软雅黑"/>
          <w:spacing w:val="13"/>
          <w:sz w:val="24"/>
          <w:szCs w:val="24"/>
        </w:rPr>
        <w:t>-</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13"/>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34" w:line="192" w:lineRule="auto"/>
        <w:jc w:val="center"/>
        <w:rPr>
          <w:rFonts w:ascii="微软雅黑" w:hAnsi="微软雅黑" w:eastAsia="微软雅黑" w:cs="微软雅黑"/>
          <w:sz w:val="24"/>
          <w:szCs w:val="24"/>
        </w:rPr>
      </w:pPr>
      <w:r>
        <w:rPr>
          <w:rFonts w:ascii="微软雅黑" w:hAnsi="微软雅黑" w:eastAsia="微软雅黑" w:cs="微软雅黑"/>
          <w:spacing w:val="8"/>
          <w:sz w:val="24"/>
          <w:szCs w:val="24"/>
        </w:rPr>
        <w:t>客服</w:t>
      </w:r>
      <w:r>
        <w:rPr>
          <w:rFonts w:ascii="微软雅黑" w:hAnsi="微软雅黑" w:eastAsia="微软雅黑" w:cs="微软雅黑"/>
          <w:sz w:val="24"/>
          <w:szCs w:val="24"/>
        </w:rPr>
        <w:t>QQ</w:t>
      </w:r>
      <w:r>
        <w:rPr>
          <w:rFonts w:ascii="微软雅黑" w:hAnsi="微软雅黑" w:eastAsia="微软雅黑" w:cs="微软雅黑"/>
          <w:spacing w:val="8"/>
          <w:sz w:val="24"/>
          <w:szCs w:val="24"/>
        </w:rPr>
        <w:t>： 203195058/29384</w:t>
      </w:r>
      <w:r>
        <w:rPr>
          <w:rFonts w:ascii="微软雅黑" w:hAnsi="微软雅黑" w:eastAsia="微软雅黑" w:cs="微软雅黑"/>
          <w:spacing w:val="7"/>
          <w:sz w:val="24"/>
          <w:szCs w:val="24"/>
        </w:rPr>
        <w:t>72186</w:t>
      </w:r>
    </w:p>
    <w:p>
      <w:pPr>
        <w:spacing w:before="234" w:line="176" w:lineRule="auto"/>
        <w:jc w:val="center"/>
        <w:rPr>
          <w:rFonts w:ascii="微软雅黑" w:hAnsi="微软雅黑" w:eastAsia="微软雅黑" w:cs="微软雅黑"/>
          <w:sz w:val="24"/>
          <w:szCs w:val="24"/>
        </w:rPr>
      </w:pPr>
      <w:r>
        <w:rPr>
          <w:rFonts w:ascii="微软雅黑" w:hAnsi="微软雅黑" w:eastAsia="微软雅黑" w:cs="微软雅黑"/>
          <w:spacing w:val="21"/>
          <w:sz w:val="24"/>
          <w:szCs w:val="24"/>
        </w:rPr>
        <w:t>网址：</w:t>
      </w:r>
      <w:r>
        <w:rPr>
          <w:rFonts w:ascii="微软雅黑" w:hAnsi="微软雅黑" w:eastAsia="微软雅黑" w:cs="微软雅黑"/>
          <w:sz w:val="24"/>
          <w:szCs w:val="24"/>
        </w:rPr>
        <w:t>www</w:t>
      </w:r>
      <w:r>
        <w:rPr>
          <w:rFonts w:ascii="微软雅黑" w:hAnsi="微软雅黑" w:eastAsia="微软雅黑" w:cs="微软雅黑"/>
          <w:spacing w:val="21"/>
          <w:sz w:val="24"/>
          <w:szCs w:val="24"/>
        </w:rPr>
        <w:t>.</w:t>
      </w:r>
      <w:r>
        <w:rPr>
          <w:rFonts w:ascii="微软雅黑" w:hAnsi="微软雅黑" w:eastAsia="微软雅黑" w:cs="微软雅黑"/>
          <w:spacing w:val="-22"/>
          <w:sz w:val="24"/>
          <w:szCs w:val="24"/>
        </w:rPr>
        <w:t xml:space="preserve"> </w:t>
      </w:r>
      <w:r>
        <w:rPr>
          <w:rFonts w:ascii="微软雅黑" w:hAnsi="微软雅黑" w:eastAsia="微软雅黑" w:cs="微软雅黑"/>
          <w:sz w:val="24"/>
          <w:szCs w:val="24"/>
        </w:rPr>
        <w:t>ruida</w:t>
      </w:r>
      <w:r>
        <w:rPr>
          <w:rFonts w:ascii="微软雅黑" w:hAnsi="微软雅黑" w:eastAsia="微软雅黑" w:cs="微软雅黑"/>
          <w:spacing w:val="21"/>
          <w:sz w:val="24"/>
          <w:szCs w:val="24"/>
        </w:rPr>
        <w:t>-</w:t>
      </w:r>
      <w:r>
        <w:rPr>
          <w:rFonts w:ascii="微软雅黑" w:hAnsi="微软雅黑" w:eastAsia="微软雅黑" w:cs="微软雅黑"/>
          <w:spacing w:val="-28"/>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21"/>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53" w:line="177" w:lineRule="auto"/>
        <w:jc w:val="center"/>
        <w:rPr>
          <w:rFonts w:ascii="微软雅黑" w:hAnsi="微软雅黑" w:eastAsia="微软雅黑" w:cs="微软雅黑"/>
          <w:sz w:val="24"/>
          <w:szCs w:val="24"/>
        </w:rPr>
      </w:pPr>
      <w:r>
        <w:rPr>
          <w:rFonts w:ascii="微软雅黑" w:hAnsi="微软雅黑" w:eastAsia="微软雅黑" w:cs="微软雅黑"/>
          <w:spacing w:val="16"/>
          <w:sz w:val="24"/>
          <w:szCs w:val="24"/>
        </w:rPr>
        <w:t>地址:</w:t>
      </w:r>
      <w:r>
        <w:rPr>
          <w:rFonts w:ascii="微软雅黑" w:hAnsi="微软雅黑" w:eastAsia="微软雅黑" w:cs="微软雅黑"/>
          <w:spacing w:val="45"/>
          <w:w w:val="101"/>
          <w:sz w:val="24"/>
          <w:szCs w:val="24"/>
        </w:rPr>
        <w:t xml:space="preserve"> </w:t>
      </w:r>
      <w:r>
        <w:rPr>
          <w:rFonts w:ascii="微软雅黑" w:hAnsi="微软雅黑" w:eastAsia="微软雅黑" w:cs="微软雅黑"/>
          <w:spacing w:val="16"/>
          <w:sz w:val="24"/>
          <w:szCs w:val="24"/>
        </w:rPr>
        <w:t>香港湾仔菲林明道8号大同大厦17楼05</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06室</w:t>
      </w:r>
    </w:p>
    <w:p/>
    <w:sectPr>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Microsoft YaHei U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double" w:color="0766D4" w:sz="8" w:space="0"/>
      </w:pBdr>
      <w:spacing w:line="14" w:lineRule="auto"/>
      <w:rPr>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top w:val="none" w:color="auto" w:sz="0" w:space="1"/>
        <w:left w:val="none" w:color="auto" w:sz="0" w:space="4"/>
        <w:bottom w:val="thinThickSmallGap" w:color="3669AB" w:sz="24" w:space="0"/>
        <w:right w:val="none" w:color="auto" w:sz="0" w:space="4"/>
        <w:between w:val="none" w:color="auto" w:sz="0" w:space="0"/>
      </w:pBdr>
      <w:kinsoku w:val="0"/>
      <w:autoSpaceDE w:val="0"/>
      <w:autoSpaceDN w:val="0"/>
      <w:adjustRightInd w:val="0"/>
      <w:snapToGrid w:val="0"/>
      <w:spacing w:line="240" w:lineRule="auto"/>
      <w:ind w:right="420" w:rightChars="200"/>
      <w:jc w:val="right"/>
      <w:textAlignment w:val="baseline"/>
      <w:rPr>
        <w:rFonts w:hint="eastAsia" w:eastAsia="宋体"/>
        <w:sz w:val="2"/>
        <w:lang w:eastAsia="zh-CN"/>
      </w:rPr>
    </w:pPr>
    <w:r>
      <w:rPr>
        <w:sz w:val="2"/>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5"/>
                    </w:pPr>
                  </w:p>
                </w:txbxContent>
              </v:textbox>
            </v:shape>
          </w:pict>
        </mc:Fallback>
      </mc:AlternateContent>
    </w:r>
    <w:r>
      <w:rPr>
        <w:rFonts w:hint="eastAsia" w:eastAsia="宋体"/>
        <w:sz w:val="2"/>
        <w:lang w:eastAsia="zh-CN"/>
      </w:rPr>
      <w:drawing>
        <wp:inline distT="0" distB="0" distL="114300" distR="114300">
          <wp:extent cx="2263140" cy="810895"/>
          <wp:effectExtent l="0" t="0" r="3810" b="0"/>
          <wp:docPr id="3" name="图片 3"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pPr>
      <w:pStyle w:val="3"/>
      <w:pBdr>
        <w:bottom w:val="single" w:color="3669AB" w:sz="4" w:space="0"/>
      </w:pBdr>
      <w:spacing w:line="240" w:lineRule="auto"/>
      <w:ind w:right="420" w:rightChars="200"/>
      <w:jc w:val="both"/>
      <w:rPr>
        <w:rFonts w:hint="eastAsia" w:eastAsia="宋体"/>
        <w:color w:val="FFFFFF" w:themeColor="background1"/>
        <w:sz w:val="2"/>
        <w:lang w:eastAsia="zh-CN"/>
        <w14:textFill>
          <w14:solidFill>
            <w14:schemeClr w14:val="bg1"/>
          </w14:solidFill>
        </w14:textFil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s>
  <w:rsids>
    <w:rsidRoot w:val="59DE62A0"/>
    <w:rsid w:val="000A785F"/>
    <w:rsid w:val="000C024B"/>
    <w:rsid w:val="001431C1"/>
    <w:rsid w:val="0018099E"/>
    <w:rsid w:val="00181D4B"/>
    <w:rsid w:val="004E0863"/>
    <w:rsid w:val="004E69F8"/>
    <w:rsid w:val="00593490"/>
    <w:rsid w:val="005F4A09"/>
    <w:rsid w:val="00727595"/>
    <w:rsid w:val="00816288"/>
    <w:rsid w:val="008813CF"/>
    <w:rsid w:val="008D4A14"/>
    <w:rsid w:val="00920750"/>
    <w:rsid w:val="00984CAE"/>
    <w:rsid w:val="009D033E"/>
    <w:rsid w:val="00A42231"/>
    <w:rsid w:val="00A437D3"/>
    <w:rsid w:val="00BC57CD"/>
    <w:rsid w:val="00BF6C5D"/>
    <w:rsid w:val="00C177F8"/>
    <w:rsid w:val="00CA7EEA"/>
    <w:rsid w:val="00CE6532"/>
    <w:rsid w:val="00CE72AE"/>
    <w:rsid w:val="00D14CB7"/>
    <w:rsid w:val="00D348C5"/>
    <w:rsid w:val="00DC19CB"/>
    <w:rsid w:val="00E16FE2"/>
    <w:rsid w:val="00E442E6"/>
    <w:rsid w:val="00E64644"/>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EF6030"/>
    <w:rsid w:val="18041ADC"/>
    <w:rsid w:val="180A2E6A"/>
    <w:rsid w:val="181A30AD"/>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14362A"/>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57132"/>
    <w:rsid w:val="22D64BAD"/>
    <w:rsid w:val="22F20137"/>
    <w:rsid w:val="22FD42C4"/>
    <w:rsid w:val="2309444A"/>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90E05"/>
    <w:rsid w:val="34C53F49"/>
    <w:rsid w:val="34E940DB"/>
    <w:rsid w:val="34F36F75"/>
    <w:rsid w:val="34F43C01"/>
    <w:rsid w:val="34F80CDC"/>
    <w:rsid w:val="350C46FB"/>
    <w:rsid w:val="350D601C"/>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1548"/>
    <w:rsid w:val="49A32653"/>
    <w:rsid w:val="49A5461D"/>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44096"/>
    <w:rsid w:val="670562A3"/>
    <w:rsid w:val="6707201B"/>
    <w:rsid w:val="670B7AEA"/>
    <w:rsid w:val="671E1113"/>
    <w:rsid w:val="67220595"/>
    <w:rsid w:val="67241800"/>
    <w:rsid w:val="672A3F5C"/>
    <w:rsid w:val="672C2A5E"/>
    <w:rsid w:val="672D3563"/>
    <w:rsid w:val="673D5A3D"/>
    <w:rsid w:val="67505B4F"/>
    <w:rsid w:val="6756421A"/>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54D17"/>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E2DF5"/>
    <w:rsid w:val="74450114"/>
    <w:rsid w:val="744A79EB"/>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803CC"/>
    <w:rsid w:val="77876861"/>
    <w:rsid w:val="77972F48"/>
    <w:rsid w:val="77C11D73"/>
    <w:rsid w:val="77C34564"/>
    <w:rsid w:val="77D71596"/>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9">
    <w:name w:val="Default Paragraph Font"/>
    <w:autoRedefine/>
    <w:semiHidden/>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3">
    <w:name w:val="Body Text"/>
    <w:basedOn w:val="1"/>
    <w:autoRedefine/>
    <w:semiHidden/>
    <w:qFormat/>
    <w:uiPriority w:val="0"/>
    <w:rPr>
      <w:rFonts w:ascii="Arial" w:hAnsi="Arial" w:eastAsia="Arial" w:cs="Arial"/>
      <w:sz w:val="21"/>
      <w:szCs w:val="21"/>
      <w:lang w:val="en-US" w:eastAsia="en-US" w:bidi="ar-SA"/>
    </w:r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8">
    <w:name w:val="Table Grid"/>
    <w:basedOn w:val="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autoRedefine/>
    <w:qFormat/>
    <w:uiPriority w:val="0"/>
    <w:rPr>
      <w:b/>
    </w:rPr>
  </w:style>
  <w:style w:type="character" w:styleId="11">
    <w:name w:val="Hyperlink"/>
    <w:basedOn w:val="9"/>
    <w:autoRedefine/>
    <w:qFormat/>
    <w:uiPriority w:val="0"/>
    <w:rPr>
      <w:color w:val="0000FF"/>
      <w:u w:val="single"/>
    </w:rPr>
  </w:style>
  <w:style w:type="paragraph" w:customStyle="1" w:styleId="12">
    <w:name w:val="Table Text"/>
    <w:basedOn w:val="1"/>
    <w:autoRedefine/>
    <w:semiHidden/>
    <w:qFormat/>
    <w:uiPriority w:val="0"/>
    <w:rPr>
      <w:rFonts w:ascii="微软雅黑" w:hAnsi="微软雅黑" w:eastAsia="微软雅黑" w:cs="微软雅黑"/>
      <w:sz w:val="17"/>
      <w:szCs w:val="17"/>
      <w:lang w:val="en-US" w:eastAsia="en-US" w:bidi="ar-SA"/>
    </w:rPr>
  </w:style>
  <w:style w:type="table" w:customStyle="1" w:styleId="13">
    <w:name w:val="Table Normal"/>
    <w:autoRedefine/>
    <w:semiHidden/>
    <w:unhideWhenUsed/>
    <w:qFormat/>
    <w:uiPriority w:val="0"/>
    <w:tblPr>
      <w:tblCellMar>
        <w:top w:w="0" w:type="dxa"/>
        <w:left w:w="0" w:type="dxa"/>
        <w:bottom w:w="0" w:type="dxa"/>
        <w:right w:w="0" w:type="dxa"/>
      </w:tblCellMar>
    </w:tblPr>
  </w:style>
  <w:style w:type="paragraph" w:customStyle="1" w:styleId="14">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3604</Words>
  <Characters>4396</Characters>
  <Lines>0</Lines>
  <Paragraphs>0</Paragraphs>
  <TotalTime>2</TotalTime>
  <ScaleCrop>false</ScaleCrop>
  <LinksUpToDate>false</LinksUpToDate>
  <CharactersWithSpaces>4440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2024-03-19T23:57:00Z</dcterms:created>
  <dc:creator>WPS_1180513195</dc:creator>
  <cp:lastModifiedBy>WPS_1180513195</cp:lastModifiedBy>
  <dcterms:modified xsi:type="dcterms:W3CDTF">2024-05-24T00:59:33Z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