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g4TsGrIBAABe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ascii="微软雅黑" w:hAnsi="微软雅黑" w:eastAsia="微软雅黑" w:cs="微软雅黑"/>
          <w:b/>
          <w:bCs/>
          <w:color w:val="FFFFFF"/>
          <w:spacing w:val="6"/>
          <w:sz w:val="96"/>
          <w:szCs w:val="96"/>
        </w:rPr>
        <w:t>周度市场报告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27</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pStyle w:val="3"/>
        <w:spacing w:line="253" w:lineRule="auto"/>
      </w:pPr>
      <w:r>
        <w:rPr>
          <w:sz w:val="21"/>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4.15pt;margin-top:10.1pt;height:38.45pt;width:132.85pt;z-index:251661312;v-text-anchor:middle;mso-width-relative:page;mso-height-relative:page;" fillcolor="#4F80BD" filled="t" stroked="f" coordsize="21600,21600" o:gfxdata="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GQz1wAAAAgBAAAP&#10;AAAAAAAAAAEAIAAAACIAAABkcnMvZG93bnJldi54bWxQSwECFAAUAAAACACHTuJA9wkLTlICAAB9&#10;BAAADgAAAAAAAAABACAAAAAmAQAAZHJzL2Uyb0RvYy54bWxQSwUGAAAAAAYABgBZAQAA6gUAAAAA&#10;" adj="18475">
                <v:fill on="t" focussize="0,0"/>
                <v:stroke on="f"/>
                <v:imagedata o:title=""/>
                <o:lock v:ext="edit" aspectratio="f"/>
                <v:textbo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v:textbox>
              </v:shape>
            </w:pict>
          </mc:Fallback>
        </mc:AlternateContent>
      </w:r>
    </w:p>
    <w:p>
      <w:pPr>
        <w:pStyle w:val="3"/>
        <w:spacing w:line="253" w:lineRule="auto"/>
      </w:pPr>
    </w:p>
    <w:p>
      <w:pPr>
        <w:spacing w:before="103" w:line="256" w:lineRule="auto"/>
        <w:ind w:right="584"/>
        <w:jc w:val="both"/>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p>
    <w:p>
      <w:pPr>
        <w:spacing w:before="103" w:line="256" w:lineRule="auto"/>
        <w:ind w:left="287" w:right="584" w:firstLine="620"/>
        <w:jc w:val="both"/>
        <w:rPr>
          <w:rFonts w:hint="eastAsia" w:ascii="微软雅黑" w:hAnsi="微软雅黑" w:eastAsia="微软雅黑" w:cs="微软雅黑"/>
          <w:spacing w:val="3"/>
          <w:sz w:val="24"/>
          <w:szCs w:val="24"/>
          <w:lang w:eastAsia="zh-CN"/>
        </w:rPr>
      </w:pPr>
      <w:r>
        <w:rPr>
          <w:rFonts w:hint="eastAsia" w:ascii="微软雅黑" w:hAnsi="微软雅黑" w:eastAsia="微软雅黑" w:cs="微软雅黑"/>
          <w:spacing w:val="3"/>
          <w:sz w:val="24"/>
          <w:szCs w:val="24"/>
          <w:lang w:eastAsia="zh-CN"/>
        </w:rPr>
        <w:t>上周富时中国A50指数周</w:t>
      </w:r>
      <w:r>
        <w:rPr>
          <w:rFonts w:hint="eastAsia" w:ascii="微软雅黑" w:hAnsi="微软雅黑" w:eastAsia="微软雅黑" w:cs="微软雅黑"/>
          <w:spacing w:val="3"/>
          <w:sz w:val="24"/>
          <w:szCs w:val="24"/>
          <w:lang w:val="en-US" w:eastAsia="zh-CN"/>
        </w:rPr>
        <w:t>跌1.82</w:t>
      </w:r>
      <w:r>
        <w:rPr>
          <w:rFonts w:hint="eastAsia" w:ascii="微软雅黑" w:hAnsi="微软雅黑" w:eastAsia="微软雅黑" w:cs="微软雅黑"/>
          <w:spacing w:val="3"/>
          <w:sz w:val="24"/>
          <w:szCs w:val="24"/>
          <w:lang w:eastAsia="zh-CN"/>
        </w:rPr>
        <w:t>%，标准普尔500指数周涨</w:t>
      </w:r>
      <w:r>
        <w:rPr>
          <w:rFonts w:hint="eastAsia" w:ascii="微软雅黑" w:hAnsi="微软雅黑" w:eastAsia="微软雅黑" w:cs="微软雅黑"/>
          <w:spacing w:val="3"/>
          <w:sz w:val="24"/>
          <w:szCs w:val="24"/>
          <w:lang w:val="en-US" w:eastAsia="zh-CN"/>
        </w:rPr>
        <w:t>0.03</w:t>
      </w:r>
      <w:r>
        <w:rPr>
          <w:rFonts w:hint="eastAsia" w:ascii="微软雅黑" w:hAnsi="微软雅黑" w:eastAsia="微软雅黑" w:cs="微软雅黑"/>
          <w:spacing w:val="3"/>
          <w:sz w:val="24"/>
          <w:szCs w:val="24"/>
          <w:lang w:eastAsia="zh-CN"/>
        </w:rPr>
        <w:t>%。美元兑离岸人民币</w:t>
      </w:r>
      <w:r>
        <w:rPr>
          <w:rFonts w:hint="eastAsia" w:ascii="微软雅黑" w:hAnsi="微软雅黑" w:eastAsia="微软雅黑" w:cs="微软雅黑"/>
          <w:spacing w:val="3"/>
          <w:sz w:val="24"/>
          <w:szCs w:val="24"/>
          <w:lang w:val="en-US" w:eastAsia="zh-CN"/>
        </w:rPr>
        <w:t>周涨0.39%。</w:t>
      </w:r>
      <w:r>
        <w:rPr>
          <w:rFonts w:hint="eastAsia" w:ascii="微软雅黑" w:hAnsi="微软雅黑" w:eastAsia="微软雅黑" w:cs="微软雅黑"/>
          <w:spacing w:val="3"/>
          <w:sz w:val="24"/>
          <w:szCs w:val="24"/>
          <w:lang w:eastAsia="zh-CN"/>
        </w:rPr>
        <w:t>LME铜周度</w:t>
      </w:r>
      <w:r>
        <w:rPr>
          <w:rFonts w:hint="eastAsia" w:ascii="微软雅黑" w:hAnsi="微软雅黑" w:eastAsia="微软雅黑" w:cs="微软雅黑"/>
          <w:spacing w:val="3"/>
          <w:sz w:val="24"/>
          <w:szCs w:val="24"/>
          <w:lang w:val="en-US" w:eastAsia="zh-CN"/>
        </w:rPr>
        <w:t>跌1.1</w:t>
      </w:r>
      <w:r>
        <w:rPr>
          <w:rFonts w:hint="eastAsia" w:ascii="微软雅黑" w:hAnsi="微软雅黑" w:eastAsia="微软雅黑" w:cs="微软雅黑"/>
          <w:spacing w:val="3"/>
          <w:sz w:val="24"/>
          <w:szCs w:val="24"/>
          <w:lang w:eastAsia="zh-CN"/>
        </w:rPr>
        <w:t>%，COMEX黄金周</w:t>
      </w:r>
      <w:r>
        <w:rPr>
          <w:rFonts w:hint="eastAsia" w:ascii="微软雅黑" w:hAnsi="微软雅黑" w:eastAsia="微软雅黑" w:cs="微软雅黑"/>
          <w:spacing w:val="3"/>
          <w:sz w:val="24"/>
          <w:szCs w:val="24"/>
          <w:lang w:val="en-US" w:eastAsia="zh-CN"/>
        </w:rPr>
        <w:t>跌3.06</w:t>
      </w:r>
      <w:r>
        <w:rPr>
          <w:rFonts w:hint="eastAsia" w:ascii="微软雅黑" w:hAnsi="微软雅黑" w:eastAsia="微软雅黑" w:cs="微软雅黑"/>
          <w:spacing w:val="3"/>
          <w:sz w:val="24"/>
          <w:szCs w:val="24"/>
          <w:lang w:eastAsia="zh-CN"/>
        </w:rPr>
        <w:t>%，COMEX白银周</w:t>
      </w:r>
      <w:r>
        <w:rPr>
          <w:rFonts w:hint="eastAsia" w:ascii="微软雅黑" w:hAnsi="微软雅黑" w:eastAsia="微软雅黑" w:cs="微软雅黑"/>
          <w:spacing w:val="3"/>
          <w:sz w:val="24"/>
          <w:szCs w:val="24"/>
          <w:lang w:val="en-US" w:eastAsia="zh-CN"/>
        </w:rPr>
        <w:t>跌3.91</w:t>
      </w:r>
      <w:r>
        <w:rPr>
          <w:rFonts w:hint="eastAsia" w:ascii="微软雅黑" w:hAnsi="微软雅黑" w:eastAsia="微软雅黑" w:cs="微软雅黑"/>
          <w:spacing w:val="3"/>
          <w:sz w:val="24"/>
          <w:szCs w:val="24"/>
          <w:lang w:eastAsia="zh-CN"/>
        </w:rPr>
        <w:t>%。</w:t>
      </w:r>
      <w:r>
        <w:rPr>
          <w:rFonts w:hint="eastAsia" w:ascii="微软雅黑" w:hAnsi="微软雅黑" w:eastAsia="微软雅黑" w:cs="微软雅黑"/>
          <w:spacing w:val="3"/>
          <w:sz w:val="24"/>
          <w:szCs w:val="24"/>
          <w:lang w:val="en-US" w:eastAsia="zh-CN"/>
        </w:rPr>
        <w:t>WTI原油周跌2.92%。</w:t>
      </w:r>
      <w:r>
        <w:rPr>
          <w:rFonts w:hint="eastAsia" w:ascii="微软雅黑" w:hAnsi="微软雅黑" w:eastAsia="微软雅黑" w:cs="微软雅黑"/>
          <w:spacing w:val="3"/>
          <w:sz w:val="24"/>
          <w:szCs w:val="24"/>
          <w:lang w:eastAsia="zh-CN"/>
        </w:rPr>
        <w:t>7月ICE原糖期货周</w:t>
      </w:r>
      <w:r>
        <w:rPr>
          <w:rFonts w:hint="eastAsia" w:ascii="微软雅黑" w:hAnsi="微软雅黑" w:eastAsia="微软雅黑" w:cs="微软雅黑"/>
          <w:spacing w:val="3"/>
          <w:sz w:val="24"/>
          <w:szCs w:val="24"/>
          <w:lang w:val="en-US" w:eastAsia="zh-CN"/>
        </w:rPr>
        <w:t>涨1.93</w:t>
      </w:r>
      <w:r>
        <w:rPr>
          <w:rFonts w:hint="eastAsia" w:ascii="微软雅黑" w:hAnsi="微软雅黑" w:eastAsia="微软雅黑" w:cs="微软雅黑"/>
          <w:spacing w:val="3"/>
          <w:sz w:val="24"/>
          <w:szCs w:val="24"/>
          <w:lang w:eastAsia="zh-CN"/>
        </w:rPr>
        <w:t>%，7月ICE棉周</w:t>
      </w:r>
      <w:r>
        <w:rPr>
          <w:rFonts w:hint="eastAsia" w:ascii="微软雅黑" w:hAnsi="微软雅黑" w:eastAsia="微软雅黑" w:cs="微软雅黑"/>
          <w:spacing w:val="3"/>
          <w:sz w:val="24"/>
          <w:szCs w:val="24"/>
          <w:lang w:val="en-US" w:eastAsia="zh-CN"/>
        </w:rPr>
        <w:t>涨5.91</w:t>
      </w:r>
      <w:r>
        <w:rPr>
          <w:rFonts w:hint="eastAsia" w:ascii="微软雅黑" w:hAnsi="微软雅黑" w:eastAsia="微软雅黑" w:cs="微软雅黑"/>
          <w:spacing w:val="3"/>
          <w:sz w:val="24"/>
          <w:szCs w:val="24"/>
          <w:lang w:eastAsia="zh-CN"/>
        </w:rPr>
        <w:t>%，MB铁矿石周</w:t>
      </w:r>
      <w:r>
        <w:rPr>
          <w:rFonts w:hint="eastAsia" w:ascii="微软雅黑" w:hAnsi="微软雅黑" w:eastAsia="微软雅黑" w:cs="微软雅黑"/>
          <w:spacing w:val="3"/>
          <w:sz w:val="24"/>
          <w:szCs w:val="24"/>
          <w:lang w:val="en-US" w:eastAsia="zh-CN"/>
        </w:rPr>
        <w:t>涨</w:t>
      </w:r>
      <w:r>
        <w:rPr>
          <w:rFonts w:hint="eastAsia" w:ascii="微软雅黑" w:hAnsi="微软雅黑" w:eastAsia="微软雅黑" w:cs="微软雅黑"/>
          <w:spacing w:val="3"/>
          <w:sz w:val="24"/>
          <w:szCs w:val="24"/>
          <w:lang w:eastAsia="zh-CN"/>
        </w:rPr>
        <w:t>0.</w:t>
      </w:r>
      <w:r>
        <w:rPr>
          <w:rFonts w:hint="eastAsia" w:ascii="微软雅黑" w:hAnsi="微软雅黑" w:eastAsia="微软雅黑" w:cs="微软雅黑"/>
          <w:spacing w:val="3"/>
          <w:sz w:val="24"/>
          <w:szCs w:val="24"/>
          <w:lang w:val="en-US" w:eastAsia="zh-CN"/>
        </w:rPr>
        <w:t>63</w:t>
      </w:r>
      <w:r>
        <w:rPr>
          <w:rFonts w:hint="eastAsia" w:ascii="微软雅黑" w:hAnsi="微软雅黑" w:eastAsia="微软雅黑" w:cs="微软雅黑"/>
          <w:spacing w:val="3"/>
          <w:sz w:val="24"/>
          <w:szCs w:val="24"/>
          <w:lang w:eastAsia="zh-CN"/>
        </w:rPr>
        <w:t>%。</w:t>
      </w:r>
    </w:p>
    <w:p>
      <w:pPr>
        <w:spacing w:before="235" w:line="176" w:lineRule="auto"/>
        <w:ind w:firstLine="254" w:firstLineChars="100"/>
        <w:rPr>
          <w:rFonts w:ascii="微软雅黑" w:hAnsi="微软雅黑" w:eastAsia="微软雅黑" w:cs="微软雅黑"/>
          <w:spacing w:val="7"/>
          <w:sz w:val="24"/>
          <w:szCs w:val="24"/>
        </w:rPr>
      </w:pPr>
      <w:r>
        <w:rPr>
          <w:rFonts w:ascii="微软雅黑" w:hAnsi="微软雅黑" w:eastAsia="微软雅黑" w:cs="微软雅黑"/>
          <w:spacing w:val="7"/>
          <w:sz w:val="24"/>
          <w:szCs w:val="24"/>
        </w:rPr>
        <w:t>图表1</w:t>
      </w:r>
      <w:r>
        <w:rPr>
          <w:rFonts w:hint="eastAsia" w:ascii="微软雅黑" w:hAnsi="微软雅黑" w:eastAsia="微软雅黑" w:cs="微软雅黑"/>
          <w:spacing w:val="7"/>
          <w:sz w:val="24"/>
          <w:szCs w:val="24"/>
          <w:lang w:eastAsia="zh-CN"/>
        </w:rPr>
        <w:t>：</w:t>
      </w:r>
      <w:r>
        <w:rPr>
          <w:rFonts w:ascii="微软雅黑" w:hAnsi="微软雅黑" w:eastAsia="微软雅黑" w:cs="微软雅黑"/>
          <w:spacing w:val="7"/>
          <w:sz w:val="24"/>
          <w:szCs w:val="24"/>
        </w:rPr>
        <w:t>全球商品涨跌幅</w:t>
      </w:r>
    </w:p>
    <w:p>
      <w:pPr>
        <w:spacing w:before="235" w:line="176" w:lineRule="auto"/>
        <w:ind w:firstLine="210" w:firstLineChars="100"/>
        <w:jc w:val="both"/>
        <w:rPr>
          <w:rFonts w:hint="eastAsia" w:ascii="微软雅黑" w:hAnsi="微软雅黑" w:eastAsia="微软雅黑" w:cs="微软雅黑"/>
          <w:spacing w:val="3"/>
          <w:sz w:val="24"/>
          <w:szCs w:val="24"/>
          <w:lang w:eastAsia="zh-CN"/>
        </w:rPr>
      </w:pPr>
      <w:r>
        <w:drawing>
          <wp:inline distT="0" distB="0" distL="114300" distR="114300">
            <wp:extent cx="6149975" cy="3355975"/>
            <wp:effectExtent l="0" t="0" r="3175"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6149975" cy="3355975"/>
                    </a:xfrm>
                    <a:prstGeom prst="rect">
                      <a:avLst/>
                    </a:prstGeom>
                    <a:noFill/>
                    <a:ln>
                      <a:noFill/>
                    </a:ln>
                  </pic:spPr>
                </pic:pic>
              </a:graphicData>
            </a:graphic>
          </wp:inline>
        </w:drawing>
      </w:r>
    </w:p>
    <w:p>
      <w:pPr>
        <w:spacing w:before="235" w:line="176" w:lineRule="auto"/>
        <w:ind w:firstLine="194" w:firstLineChars="100"/>
        <w:rPr>
          <w:rFonts w:hint="default" w:ascii="微软雅黑" w:hAnsi="微软雅黑" w:eastAsia="微软雅黑" w:cs="微软雅黑"/>
          <w:sz w:val="18"/>
          <w:szCs w:val="18"/>
          <w:lang w:val="en-US" w:eastAsia="zh-CN"/>
        </w:rPr>
      </w:pPr>
      <w:r>
        <w:rPr>
          <w:rFonts w:hint="eastAsia" w:ascii="微软雅黑" w:hAnsi="微软雅黑" w:eastAsia="微软雅黑" w:cs="微软雅黑"/>
          <w:spacing w:val="7"/>
          <w:sz w:val="18"/>
          <w:szCs w:val="18"/>
          <w:lang w:val="en-US" w:eastAsia="zh-CN"/>
        </w:rPr>
        <w:t>资料来源：公开资料整理，瑞达国际</w:t>
      </w:r>
    </w:p>
    <w:p>
      <w:pPr>
        <w:pStyle w:val="3"/>
        <w:spacing w:line="282" w:lineRule="auto"/>
      </w:pPr>
    </w:p>
    <w:p>
      <w:pPr>
        <w:pStyle w:val="3"/>
        <w:spacing w:line="282" w:lineRule="auto"/>
      </w:pPr>
    </w:p>
    <w:p>
      <w:pPr>
        <w:pStyle w:val="3"/>
        <w:spacing w:line="282" w:lineRule="auto"/>
      </w:pPr>
    </w:p>
    <w:p>
      <w:pPr>
        <w:spacing w:before="120" w:line="190" w:lineRule="auto"/>
        <w:rPr>
          <w:rFonts w:ascii="微软雅黑" w:hAnsi="微软雅黑" w:eastAsia="微软雅黑" w:cs="微软雅黑"/>
          <w:spacing w:val="4"/>
          <w:sz w:val="24"/>
          <w:szCs w:val="24"/>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周度事件汇总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【高盛CEO所罗门：预计美联储今年将不会降息；没有看到支持美联储降息的数据。】</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交易员减少对美联储今年将不止一次降息的押注，因美联储会议纪要显示，决策者认为通胀可能需要比先前预期更长的时间才能缓解。美联储利率期货显示，美联储在9月前降息的可能性约为59%，略低于会议纪要公布前的水平。且在12月前第二次降息的几率为50%，低于当日早些时候的54%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【美国截至5月18日当周初请失业金人数21.5万人，较前一周修正值22.3万人下降8000人，创去年9月以来最大降幅。截至5月11日当周续请失业金人数179.4万人，较前值持平。】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bCs/>
          <w:spacing w:val="4"/>
          <w:sz w:val="24"/>
          <w:szCs w:val="24"/>
          <w:lang w:eastAsia="zh-CN"/>
        </w:rPr>
      </w:pPr>
      <w:r>
        <w:rPr>
          <w:rFonts w:hint="eastAsia" w:ascii="微软雅黑" w:hAnsi="微软雅黑" w:eastAsia="微软雅黑" w:cs="微软雅黑"/>
          <w:spacing w:val="4"/>
          <w:sz w:val="24"/>
          <w:szCs w:val="24"/>
          <w:lang w:eastAsia="zh-CN"/>
        </w:rPr>
        <w:t>【美国4月新屋销售下降4.7%，至折合年率63.4万套，低于市场预期的67.8万套，房价和抵押贷款利率高企令购房者望而却步。】</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【欧洲央行执委帕内塔表示，面对货币紧缩，世界经济表现出显著的抵抗力，金融稳定风险已减少。通胀风险正在减少，欧洲央行具备改变货币政策的条件。个人认为欧洲央行将调整利率，降息是大家的共识。】</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【欧洲央行副行长金多斯表示，6月降息25个基点似乎是合理的。欧洲央行管委维勒鲁瓦称，很有可能在6月份降息，最迟到明年将通胀率提升至2%。】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【韩国央行维持基准利率3.5%不变，为连续11次按兵不动。韩国央行将今年经济增长预期从2.1%上调至2.5%，维持CPI涨幅预期2.6%不变。】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【新西兰联储维持利率在5.5%不变，为连续第七次按兵不动，符合市场预期。该行最新预测显示，降息将从2025年第三季度开始，而不是第二季度。】</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【澳洲联储会议纪要显示，该行在5月政策会议上恢复了对加息的讨论，但后来决定维持利率不变的理由更充分，因其致力于避免政策“过度微调”。】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【美国5月标普全球制造业PMI初值50.9，创两个月新高；服务业PMI初值54.8，创12个月新高；综合PMI指数升至54.4，为2022年4月以来最高。交易员将美联储首次降息时间预估从11月推迟到12月。】</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【欧元区5月制造业PMI初值47.4，创15个月新高，高于预期46.1；服务业PMI初值持平于53.3，不及预期53.6；综合PMI初值升至52.3，为12个月新高。企业信心指数升至27个月以来的最高水平。】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【德国5月制造业PMI升至45.4，创4个月新高；服务业PMI初值53.9，创11个月新高；综合PMI初值52.2，创12个月新高，同时为10个月来首次突破荣枯线。】</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【法国5月制造业PMI初值46.7，为3个月来新高；服务业PMI初值49.4，综合PMI初值49.1，均为2个月来最低。】</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【英国5月制造业PMI初值51.3，为22个月以来新高，远超预期的49.4；服务业PMI初值降至52.9，预期54.7；综合PMI初值52.8，预期54。】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【印度5月制造业PMI由58.8微降至58.4；服务业PMI由60.8增至61.4，创下四个月新高；综合PMI由61.5升至61.7，为连续第34个月位于荣枯线上。】</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【日本5月制造业PMI初值50.5，4月终值49.6；服务业PMI初值53.6，4月终值54.3；综合PMI初值52.4，4月终值52.3。】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【加拿大4月CPI同比升2.7%，预期升2.7%，前值升2.9%；环比升0.5%，预期升0.6%，前值升0.6%。核心CPI同比升1.6%，前值升2%；环比升0.2%，前值升0.5%。】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【英国4月份CPI同比增速由3月份的3.2%回落至2.3%，为三年来最低水平，不过仍高于市场预期的2.1%。4月服务业通胀为5.9%，较3月份的6%几乎没有变化。】</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rPr>
          <w:rFonts w:hint="eastAsia" w:ascii="微软雅黑" w:hAnsi="微软雅黑" w:eastAsia="微软雅黑" w:cs="微软雅黑"/>
          <w:b/>
          <w:bCs/>
          <w:color w:val="036EB8"/>
          <w:spacing w:val="10"/>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3"/>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 xml:space="preserve">品种观点 </w:t>
      </w:r>
    </w:p>
    <w:tbl>
      <w:tblPr>
        <w:tblStyle w:val="8"/>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pPr>
              <w:pStyle w:val="10"/>
              <w:widowControl w:val="0"/>
              <w:spacing w:before="221" w:line="182" w:lineRule="auto"/>
              <w:jc w:val="center"/>
              <w:rPr>
                <w:rFonts w:hint="eastAsia" w:ascii="微软雅黑" w:hAnsi="微软雅黑" w:eastAsia="微软雅黑" w:cs="微软雅黑"/>
                <w:snapToGrid w:val="0"/>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pPr>
              <w:widowControl w:val="0"/>
              <w:spacing w:before="120" w:line="190" w:lineRule="auto"/>
              <w:jc w:val="center"/>
              <w:rPr>
                <w:rFonts w:hint="default"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28" w:line="191" w:lineRule="auto"/>
              <w:jc w:val="center"/>
              <w:rPr>
                <w:rFonts w:hint="eastAsia" w:eastAsia="微软雅黑"/>
                <w:b/>
                <w:bCs/>
                <w:sz w:val="19"/>
                <w:szCs w:val="19"/>
                <w:lang w:eastAsia="zh-CN"/>
              </w:rPr>
            </w:pPr>
            <w:r>
              <w:rPr>
                <w:rFonts w:hint="eastAsia" w:eastAsia="微软雅黑"/>
                <w:b/>
                <w:bCs/>
                <w:sz w:val="19"/>
                <w:szCs w:val="19"/>
                <w:lang w:eastAsia="zh-CN"/>
              </w:rPr>
              <w:t>富时中国A50</w:t>
            </w:r>
          </w:p>
          <w:p>
            <w:pPr>
              <w:pStyle w:val="10"/>
              <w:widowControl w:val="0"/>
              <w:spacing w:before="228" w:line="191" w:lineRule="auto"/>
              <w:ind w:left="449" w:leftChars="0" w:firstLine="190" w:firstLineChars="100"/>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新宋体" w:hAnsi="新宋体" w:eastAsia="新宋体"/>
                <w:lang w:val="en-US" w:eastAsia="zh-CN"/>
              </w:rPr>
            </w:pPr>
            <w:r>
              <w:rPr>
                <w:rFonts w:hint="eastAsia" w:ascii="新宋体" w:hAnsi="新宋体" w:eastAsia="新宋体"/>
                <w:lang w:val="en-US" w:eastAsia="zh-CN"/>
              </w:rPr>
              <w:t>截至5月24日，富时中国A50指数周跌1.82%至12561.07点；新交所富时A50期指主力合约周跌2.54%至12544点。近期地缘政治因素叠加美联储降息延迟担忧共同加剧市场避险情绪升温。基本面看，基建放缓、地产弱势，消费动能不足，外需带动的制造业回升和政策制成的部分产业投资高增是维系经济增长的主力。地产组合政策成为市场信心催化的重要因素，政策落地效果对经济走向较为重要，关注地产去库化周期延长下政策继续加码的可能。策略上，短线逢低做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0" w:line="191" w:lineRule="auto"/>
              <w:jc w:val="center"/>
              <w:rPr>
                <w:b/>
                <w:bCs/>
                <w:sz w:val="19"/>
                <w:szCs w:val="19"/>
              </w:rPr>
            </w:pPr>
            <w:r>
              <w:rPr>
                <w:rFonts w:hint="eastAsia"/>
                <w:b/>
                <w:bCs/>
                <w:sz w:val="19"/>
                <w:szCs w:val="19"/>
              </w:rPr>
              <w:t>S&amp;P500</w:t>
            </w:r>
          </w:p>
          <w:p>
            <w:pPr>
              <w:pStyle w:val="10"/>
              <w:widowControl w:val="0"/>
              <w:spacing w:before="230" w:line="191" w:lineRule="auto"/>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rPr>
                <w:rFonts w:hint="eastAsia" w:ascii="新宋体" w:hAnsi="新宋体" w:eastAsia="新宋体"/>
                <w:lang w:val="en-US" w:eastAsia="zh-CN"/>
              </w:rPr>
            </w:pPr>
            <w:r>
              <w:rPr>
                <w:rFonts w:hint="eastAsia" w:ascii="新宋体" w:hAnsi="新宋体" w:eastAsia="新宋体"/>
                <w:lang w:val="en-US" w:eastAsia="zh-CN"/>
              </w:rPr>
              <w:t>截至5月25日，标普500指数周涨0.03%至5304.72点；迷你标普500主力合约周跌0.13%至5320.75点。美股周五收高，纳指创历史新高。标普500指数与纳指均录得连续第五周上涨。美国4月耐用品订单数据意外攀升。市场继续评估美联储今年的货币政策立场。美联储理事沃勒称美国正走在一条不可持续的财政道路上。策略上，短线逢低做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1" w:line="191" w:lineRule="auto"/>
              <w:ind w:left="449" w:leftChars="0"/>
              <w:jc w:val="both"/>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铁矿石</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line="240" w:lineRule="auto"/>
              <w:jc w:val="left"/>
              <w:rPr>
                <w:rFonts w:hint="eastAsia" w:ascii="新宋体" w:hAnsi="新宋体" w:eastAsia="新宋体" w:cs="新宋体"/>
                <w:lang w:val="en-US" w:eastAsia="zh-CN"/>
              </w:rPr>
            </w:pPr>
            <w:r>
              <w:rPr>
                <w:rFonts w:hint="eastAsia" w:ascii="新宋体" w:hAnsi="新宋体" w:eastAsia="新宋体" w:cs="新宋体"/>
                <w:lang w:val="en-US" w:eastAsia="zh-CN"/>
              </w:rPr>
              <w:t>上周铁矿石期价延续震荡偏强。周初矿价保持强势，</w:t>
            </w:r>
            <w:bookmarkStart w:id="0" w:name="_GoBack"/>
            <w:bookmarkEnd w:id="0"/>
            <w:r>
              <w:rPr>
                <w:rFonts w:hint="eastAsia" w:ascii="新宋体" w:hAnsi="新宋体" w:eastAsia="新宋体" w:cs="新宋体"/>
                <w:lang w:val="en-US" w:eastAsia="zh-CN"/>
              </w:rPr>
              <w:t>上周央行等相关部门连发通知，针对公积金贷款利率、商贷利率政策下限、购房首付比例等进行调整，同时将设立3000亿元保障性住房再贷款等利好政策继续刺激黑色系走高。但临近周末，铁矿石期价高位承压，一方面股市回落，另外美联储降息预期下滑大宗商品普跌，同时港口库存再度增加。展望：供应端，国内铁矿石港口库存保持宽松，目前库存量维持在1.5亿吨附近，高于去年同期2061万吨。需求端，钢厂高炉开工率及产能利用率相对平稳，247家钢厂日均铁水产量维持在236万吨附近，铁矿石现货需求稳定。整体上，铁矿石现货供应宽松，而钢厂仍存增产预期，同时宏观面向好，矿价或延续震荡偏强。操作策略：I2409合约或延续震荡偏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line="240" w:lineRule="auto"/>
              <w:rPr>
                <w:rFonts w:hint="eastAsia" w:ascii="新宋体" w:hAnsi="新宋体" w:eastAsia="新宋体" w:cs="新宋体"/>
                <w:color w:val="000000" w:themeColor="text1"/>
                <w:lang w:val="en-US" w:eastAsia="zh-CN"/>
                <w14:textFill>
                  <w14:solidFill>
                    <w14:schemeClr w14:val="tx1"/>
                  </w14:solidFill>
                </w14:textFill>
              </w:rPr>
            </w:pPr>
            <w:r>
              <w:rPr>
                <w:rFonts w:hint="eastAsia" w:ascii="新宋体" w:hAnsi="新宋体" w:eastAsia="新宋体" w:cs="新宋体"/>
                <w:color w:val="000000" w:themeColor="text1"/>
                <w:lang w:val="en-US" w:eastAsia="zh-CN"/>
                <w14:textFill>
                  <w14:solidFill>
                    <w14:schemeClr w14:val="tx1"/>
                  </w14:solidFill>
                </w14:textFill>
              </w:rPr>
              <w:t>国际方面，美联储降息预期再度走弱。国内方面，各地举措密集落地，楼市新政成效初显。市场对新政反应积极，多家房地产开发商和房产中介表示近日咨询量明显增多，预计随着新政策的进一步落地，将更有力支持刚需和改善性购房者需求。美元美债方面，美元指数自105上方的逾一周高位回落，最终收跌0.266%，报104.75，日线止步四连涨。对美联储政策利率最敏感的2年期美债收益率小幅收涨，最终收报4.957%。 库存方面，截止5月24日，LME总库存为112675吨，较上周环比+2650吨；COMEX总库为18863短吨，较上周环比-8短吨；SHFE库存为300964吨，较上周环比+9944吨。海外库存小幅增长，国内大幅累库。交易方面，CFTC非商业多头持仓为162887张，净持仓为多头71694张，环比+9914张。多头持仓在快速增仓后，5月21当周净持仓略有减仓，但空头持仓减仓幅度更大，因此体现净多头持仓增长，市场整体交易情绪仍偏多，建议轻仓，逢低短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CBOT大豆</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美国大豆种植过半，目前天气条件没有明显的影响，美豆种植进度有所加快，巴西方面，巴西大豆收割基本结束，南部过量降雨导致两家农业咨询公司调降了巴西大豆产量预估。近期比索汇率贬值预期加大，促使阿根廷农户放慢销售步伐。市场对远期供应偏宽松，短期供应受限，多空交织下，美豆延续震荡。关注后期天气方面的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原油</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rPr>
                <w:rFonts w:hint="eastAsia" w:ascii="新宋体" w:hAnsi="新宋体" w:eastAsia="新宋体"/>
                <w:lang w:val="en-US" w:eastAsia="zh-CN"/>
              </w:rPr>
            </w:pPr>
            <w:r>
              <w:rPr>
                <w:rFonts w:hint="eastAsia" w:ascii="新宋体" w:hAnsi="新宋体" w:eastAsia="新宋体"/>
                <w:lang w:val="en-US" w:eastAsia="zh-CN"/>
              </w:rPr>
              <w:t>美联储会议纪要强调加息可能性，美国制造业PMI表现强于预期，市场降低美联储降息的押注，美元指数回升。沙特将自愿减产100万桶/日，俄罗斯在二季度自愿削减供应47.1万桶/日，欧佩克联盟部长级会议将于6月1日举行，市场预计将延长自愿额外减产措施。美国炼厂开工上升，EIA原油库存意外增加；巴以停火谈判呈僵局，但整体地缘风险溢价有所缓解。整体上，美联储高利率政策压制市场预期，市场关注欧佩克产量政策及需求前景，短线原油期价呈现震荡走势。纽约商品期货交易所（NYMEX）的西德克萨斯中质原油（WTI）7月合约周度支撑位：75；压力位：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上周美糖7月合约期价小幅反弹，周度涨幅约1.93%。由于随着乙醇价格预计上涨，市场对后期制糖比例有所调整带来影响。新榨季巴西糖供应逐渐提升，强劲的生产力预计带来利空。不过当前主产国天气将影响短期价格波动，且对产量预期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b/>
                <w:bCs/>
                <w:snapToGrid w:val="0"/>
                <w:color w:val="000000"/>
                <w:spacing w:val="3"/>
                <w:kern w:val="0"/>
                <w:sz w:val="19"/>
                <w:szCs w:val="19"/>
                <w:lang w:val="en-US" w:eastAsia="zh-CN" w:bidi="ar-SA"/>
              </w:rPr>
            </w:pPr>
            <w:r>
              <w:rPr>
                <w:b/>
                <w:bCs/>
                <w:sz w:val="19"/>
                <w:szCs w:val="19"/>
              </w:rPr>
              <w:t>ICE</w:t>
            </w:r>
            <w:r>
              <w:rPr>
                <w:rFonts w:hint="eastAsia"/>
                <w:b/>
                <w:bCs/>
                <w:sz w:val="19"/>
                <w:szCs w:val="19"/>
                <w:lang w:val="en-US"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上周美棉7月合约价格低位反弹，周度涨幅约5.91%。由于美棉出口销售数据意外高企，且市场似乎纠正其超卖状态，有助于引发一些买盘。据美国农业部(USDA)报告显示，2024年5月10-16日，2023/24年度美国陆地棉出口签约量46058吨，较前周增长30%，较前4周平均水平增长19%；2023/24年度美国陆地棉出口装运量46331吨，较前周下降15%，较前4周平均水平下降12%。当周美国棉花出口装运速度放缓，签约量环比增加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1744" w:type="dxa"/>
            <w:tcBorders>
              <w:top w:val="dotted" w:color="auto" w:sz="4" w:space="0"/>
              <w:left w:val="single" w:color="FFFFFF" w:sz="4" w:space="0"/>
              <w:bottom w:val="dotted" w:color="auto" w:sz="4" w:space="0"/>
              <w:right w:val="dotted" w:color="auto" w:sz="4" w:space="0"/>
            </w:tcBorders>
            <w:shd w:val="clear" w:color="auto" w:fill="B5C7EA" w:themeFill="accent1" w:themeFillTint="66"/>
            <w:vAlign w:val="center"/>
          </w:tcPr>
          <w:p>
            <w:pPr>
              <w:pStyle w:val="10"/>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美国4月耐用品订单初值环比升0.7%，远超预期的下降0.8%，但前值从2.6%大幅下修至0.9%。核心耐用品订单初值环比升0.3%，前值降0.2%，整体耐用品订单数据或体现经济韧性尚存，同时耐用品消费增加或有利制造业持续复苏。美国5月密歇根大学消费者信心指数终值69.1，预期67.7，5月初值67.4，4月前值77.2，消费者信心指数回升或不利整体消费需求放缓，后继通胀下行阻力或有所增加。往后看，短期内美国经济数据表现或维持优异，利率预期保持于高位的状态下美元指数或持续得到一定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trPr>
        <w:tc>
          <w:tcPr>
            <w:tcW w:w="1744" w:type="dxa"/>
            <w:tcBorders>
              <w:top w:val="dotted" w:color="auto" w:sz="4" w:space="0"/>
              <w:left w:val="single" w:color="FFFFFF" w:sz="4" w:space="0"/>
              <w:bottom w:val="single" w:color="2169C1" w:sz="4" w:space="0"/>
              <w:right w:val="dotted" w:color="auto" w:sz="4" w:space="0"/>
            </w:tcBorders>
            <w:shd w:val="clear" w:color="auto" w:fill="B5C7EA" w:themeFill="accent1" w:themeFillTint="66"/>
            <w:vAlign w:val="center"/>
          </w:tcPr>
          <w:p>
            <w:pPr>
              <w:pStyle w:val="10"/>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DBE3F4" w:themeFill="accent1" w:themeFillTint="32"/>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美国4月耐用品订单初值环比升0.7%，远超预期的下降0.8%，但前值从2.6%大幅下修至0.9%。核心耐用品订单初值环比升0.3%，前值降0.2%，整体耐用品订单数据或体现经济韧性尚存，同时耐用品消费增加或有利制造业持续复苏。美国5月密歇根大学消费者信心指数终值69.1，预期67.7，5月初值67.4，4月前值77.2，消费者信心指数回升或不利整体消费需求放缓，后继通胀下行阻力或有所增加。往后看，短期内美国经济数据表现或维持优异，利率预期保持于高位的状态下美债收益率及美元指数或持续得到一定支撑，贵金属价格或相对承压。操作上建议，日内轻仓做空，请投资者注意风险控制。</w:t>
            </w:r>
          </w:p>
        </w:tc>
      </w:tr>
    </w:tbl>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pPr>
    </w:p>
    <w:p>
      <w:pPr>
        <w:pStyle w:val="3"/>
        <w:spacing w:line="263" w:lineRule="auto"/>
        <w:rPr>
          <w:rFonts w:hint="default" w:ascii="微软雅黑" w:hAnsi="微软雅黑" w:eastAsia="微软雅黑" w:cs="微软雅黑"/>
          <w:color w:val="036EB8"/>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品种图表</w:t>
      </w:r>
    </w:p>
    <w:tbl>
      <w:tblPr>
        <w:tblStyle w:val="11"/>
        <w:tblW w:w="9416"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0" w:type="dxa"/>
          <w:bottom w:w="0" w:type="dxa"/>
          <w:right w:w="0" w:type="dxa"/>
        </w:tblCellMar>
      </w:tblPr>
      <w:tblGrid>
        <w:gridCol w:w="9416"/>
      </w:tblGrid>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3516"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15pt;margin-top:164.9pt;height:22.65pt;width:175.6pt;z-index:251663360;mso-width-relative:page;mso-height-relative:page;" fillcolor="#FFFFFF [3201]" filled="t" stroked="f" coordsize="21600,21600" o:gfxdata="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OrY1LWAAAACwEAAA8AAAAA&#10;AAAAAQAgAAAAIgAAAGRycy9kb3ducmV2LnhtbFBLAQIUABQAAAAIAIdO4kC2OfOTTwIAAJEEAAAO&#10;AAAAAAAAAAEAIAAAACUBAABkcnMvZTJvRG9jLnhtbFBLBQYAAAAABgAGAFkBAADmBQ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图2：美国CPI</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pt;margin-top:166.5pt;height:22.65pt;width:201.9pt;z-index:251662336;mso-width-relative:page;mso-height-relative:page;" fillcolor="#FFFFFF [3201]" filled="t" stroked="t" coordsize="21600,21600" o:gfxdata="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JptrtgAAAAKAQAA&#10;DwAAAAAAAAABACAAAAAiAAAAZHJzL2Rvd25yZXYueG1sUEsBAhQAFAAAAAgAh07iQOT9VftSAgAA&#10;ugQAAA4AAAAAAAAAAQAgAAAAJwEAAGRycy9lMm9Eb2MueG1sUEsFBgAAAAAGAAYAWQEAAOsFAAAA&#10;AA==&#10;">
                      <v:fill on="t" focussize="0,0"/>
                      <v:stroke weight="0.5pt" color="#FFFFFF [3212]" joinstyle="round"/>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：交易所库存</w:t>
                            </w:r>
                          </w:p>
                        </w:txbxContent>
                      </v:textbox>
                    </v:shape>
                  </w:pict>
                </mc:Fallback>
              </mc:AlternateContent>
            </w:r>
            <w:r>
              <w:rPr>
                <w:rFonts w:hint="eastAsia" w:eastAsia="宋体"/>
                <w:sz w:val="21"/>
                <w:lang w:val="en-US" w:eastAsia="zh-CN"/>
              </w:rPr>
              <w:t xml:space="preserve"> </w:t>
            </w:r>
            <w:r>
              <w:object>
                <v:shape id="_x0000_i1025" o:spt="75" type="#_x0000_t75" style="height:139.45pt;width:225.35pt;" o:ole="t" filled="f" o:preferrelative="t" stroked="f" coordsize="21600,21600">
                  <v:path/>
                  <v:fill on="f" focussize="0,0"/>
                  <v:stroke on="f"/>
                  <v:imagedata r:id="rId15" o:title=""/>
                  <o:lock v:ext="edit" aspectratio="f"/>
                  <w10:wrap type="none"/>
                  <w10:anchorlock/>
                </v:shape>
                <o:OLEObject Type="Link" ProgID="Excel.Sheet.12" ShapeID="_x0000_i1025" UpdateMode="Always" DrawAspect="Content" ObjectID="_1468075725" r:id="rId16">
                  <o:LinkType>EnhancedMetaFile</o:LinkType>
                  <o:LockedField>false</o:LockedField>
                </o:OLEObject>
              </w:object>
            </w:r>
            <w:r>
              <w:rPr>
                <w:rFonts w:hint="eastAsia" w:eastAsia="宋体"/>
                <w:lang w:val="en-US" w:eastAsia="zh-CN"/>
              </w:rPr>
              <w:t xml:space="preserve"> </w:t>
            </w:r>
            <w:r>
              <w:drawing>
                <wp:inline distT="0" distB="0" distL="0" distR="0">
                  <wp:extent cx="2850515" cy="1762760"/>
                  <wp:effectExtent l="0" t="0" r="698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2850515" cy="176276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w:t>
                                  </w:r>
                                  <w:r>
                                    <w:rPr>
                                      <w:rFonts w:hint="eastAsia" w:ascii="宋体" w:hAnsi="宋体" w:eastAsia="宋体"/>
                                      <w:lang w:val="en-US"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6pt;margin-top:164.95pt;height:23.85pt;width:203.2pt;z-index:251671552;mso-width-relative:page;mso-height-relative:page;" fillcolor="#FFFFFF [3201]" filled="t" stroked="f" coordsize="21600,21600" o:gfxdata="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AVa21wAAAAsBAAAP&#10;AAAAAAAAAAEAIAAAACIAAABkcnMvZG93bnJldi54bWxQSwECFAAUAAAACACHTuJA4ym82FICAACR&#10;BAAADgAAAAAAAAABACAAAAAmAQAAZHJzL2Uyb0RvYy54bWxQSwUGAAAAAAYABgBZAQAA6g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w:t>
                            </w:r>
                            <w:r>
                              <w:rPr>
                                <w:rFonts w:hint="eastAsia" w:ascii="宋体" w:hAnsi="宋体" w:eastAsia="宋体"/>
                                <w:lang w:val="en-US" w:eastAsia="zh-CN"/>
                              </w:rPr>
                              <w:t>美国商业原油库存</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图3：中国GDP同比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pt;margin-top:165.8pt;height:22.65pt;width:161.3pt;z-index:251664384;mso-width-relative:page;mso-height-relative:page;" fillcolor="#FFFFFF [3201]" filled="t" stroked="f" coordsize="21600,21600" o:gfxdata="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DABddYAAAAKAQAADwAA&#10;AAAAAAABACAAAAAiAAAAZHJzL2Rvd25yZXYueG1sUEsBAhQAFAAAAAgAh07iQNSlpk5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图3：中国GDP同比</w:t>
                            </w:r>
                          </w:p>
                        </w:txbxContent>
                      </v:textbox>
                    </v:shape>
                  </w:pict>
                </mc:Fallback>
              </mc:AlternateContent>
            </w:r>
            <w:r>
              <w:rPr>
                <w:rFonts w:hint="eastAsia" w:eastAsia="宋体"/>
                <w:lang w:val="en-US" w:eastAsia="zh-CN"/>
              </w:rPr>
              <w:t xml:space="preserve">  </w:t>
            </w:r>
            <w:r>
              <w:drawing>
                <wp:inline distT="0" distB="0" distL="0" distR="0">
                  <wp:extent cx="2822575" cy="1751965"/>
                  <wp:effectExtent l="0" t="0" r="1587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2822575" cy="1751965"/>
                          </a:xfrm>
                          <a:prstGeom prst="rect">
                            <a:avLst/>
                          </a:prstGeom>
                        </pic:spPr>
                      </pic:pic>
                    </a:graphicData>
                  </a:graphic>
                </wp:inline>
              </w:drawing>
            </w:r>
            <w:r>
              <w:rPr>
                <w:rFonts w:hint="eastAsia" w:eastAsia="宋体"/>
                <w:lang w:val="en-US" w:eastAsia="zh-CN"/>
              </w:rPr>
              <w:t xml:space="preserve"> </w:t>
            </w:r>
            <w:r>
              <w:rPr>
                <w:rFonts w:ascii="宋体" w:hAnsi="宋体" w:eastAsia="宋体"/>
                <w:color w:val="000000"/>
                <w:szCs w:val="21"/>
              </w:rPr>
              <w:drawing>
                <wp:inline distT="0" distB="0" distL="0" distR="0">
                  <wp:extent cx="2771775" cy="1842770"/>
                  <wp:effectExtent l="0" t="0" r="952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2771775" cy="184277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rPr>
                <w:rFonts w:hint="default" w:eastAsia="宋体"/>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图6：ICE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166.1pt;height:33.4pt;width:223.45pt;z-index:251666432;mso-width-relative:page;mso-height-relative:page;" fillcolor="#FFFFFF [3201]" filled="t" stroked="f" coordsize="21600,21600" o:gfxdata="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vTj5dcAAAALAQAA&#10;DwAAAAAAAAABACAAAAAiAAAAZHJzL2Rvd25yZXYueG1sUEsBAhQAFAAAAAgAh07iQHVVI95TAgAA&#10;kQQAAA4AAAAAAAAAAQAgAAAAJgEAAGRycy9lMm9Eb2MueG1sUEsFBgAAAAAGAAYAWQEAAOsFAAAA&#10;AA==&#10;">
                      <v:fill on="t" focussize="0,0"/>
                      <v:stroke on="f" weight="0.5pt"/>
                      <v:imagedata o:title=""/>
                      <o:lock v:ext="edit" aspectratio="f"/>
                      <v:textbo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图6：ICE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72.3pt;height:23.7pt;width:203.15pt;z-index:251665408;mso-width-relative:page;mso-height-relative:page;" fillcolor="#FFFFFF [3201]" filled="t" stroked="f" coordsize="21600,21600" o:gfxdata="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bVxP&#10;1QAAAAoBAAAPAAAAAAAAAAEAIAAAACIAAABkcnMvZG93bnJldi54bWxQSwECFAAUAAAACACHTuJA&#10;NF5u3F0CAACcBAAADgAAAAAAAAABACAAAAAkAQAAZHJzL2Uyb0RvYy54bWxQSwUGAAAAAAYABgBZ&#10;AQAA8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v:textbox>
                    </v:shape>
                  </w:pict>
                </mc:Fallback>
              </mc:AlternateContent>
            </w:r>
            <w:r>
              <w:rPr>
                <w:rFonts w:hint="eastAsia" w:eastAsia="宋体"/>
                <w:lang w:val="en-US" w:eastAsia="zh-CN"/>
              </w:rPr>
              <w:t xml:space="preserve">  </w:t>
            </w:r>
            <w:r>
              <w:rPr>
                <w:rFonts w:hint="default"/>
                <w:lang w:val="en-US" w:eastAsia="zh-CN"/>
              </w:rPr>
              <w:drawing>
                <wp:inline distT="0" distB="0" distL="114300" distR="114300">
                  <wp:extent cx="2944495" cy="1896110"/>
                  <wp:effectExtent l="0" t="0" r="8255" b="8890"/>
                  <wp:docPr id="26" name="图片 26" descr="QQ截图2024052708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240527081133"/>
                          <pic:cNvPicPr>
                            <a:picLocks noChangeAspect="1"/>
                          </pic:cNvPicPr>
                        </pic:nvPicPr>
                        <pic:blipFill>
                          <a:blip r:embed="rId20"/>
                          <a:stretch>
                            <a:fillRect/>
                          </a:stretch>
                        </pic:blipFill>
                        <pic:spPr>
                          <a:xfrm>
                            <a:off x="0" y="0"/>
                            <a:ext cx="2944495" cy="18961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98750" cy="1892935"/>
                  <wp:effectExtent l="0" t="0" r="6350" b="12065"/>
                  <wp:docPr id="10" name="图片 10" descr="QQ截图2024052708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527081119"/>
                          <pic:cNvPicPr>
                            <a:picLocks noChangeAspect="1"/>
                          </pic:cNvPicPr>
                        </pic:nvPicPr>
                        <pic:blipFill>
                          <a:blip r:embed="rId21"/>
                          <a:stretch>
                            <a:fillRect/>
                          </a:stretch>
                        </pic:blipFill>
                        <pic:spPr>
                          <a:xfrm>
                            <a:off x="0" y="0"/>
                            <a:ext cx="2698750" cy="189293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图7：中国钢厂高炉开工率及产能利用率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168.7pt;height:24.35pt;width:208pt;z-index:251667456;mso-width-relative:page;mso-height-relative:page;" fillcolor="#FFFFFF [3201]" filled="t" stroked="f" coordsize="21600,21600" o:gfxdata="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4CpjdUA&#10;AAAKAQAADwAAAAAAAAABACAAAAAiAAAAZHJzL2Rvd25yZXYueG1sUEsBAhQAFAAAAAgAh07iQNtt&#10;W0ZbAgAAnAQAAA4AAAAAAAAAAQAgAAAAJAEAAGRycy9lMm9Eb2MueG1sUEsFBgAAAAAGAAYAWQEA&#10;APE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图7：中国钢厂高炉开工率及产能利用率</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图8：大豆走势图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15pt;margin-top:167.95pt;height:24.35pt;width:208pt;z-index:251668480;mso-width-relative:page;mso-height-relative:page;" fillcolor="#FFFFFF [3201]" filled="t" stroked="f" coordsize="21600,21600" o:gfxdata="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n6eNYAAAALAQAADwAA&#10;AAAAAAABACAAAAAiAAAAZHJzL2Rvd25yZXYueG1sUEsBAhQAFAAAAAgAh07iQGH1hZB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图8：大豆走势图</w:t>
                            </w:r>
                          </w:p>
                        </w:txbxContent>
                      </v:textbox>
                    </v:shape>
                  </w:pict>
                </mc:Fallback>
              </mc:AlternateContent>
            </w:r>
            <w:r>
              <w:rPr>
                <w:rFonts w:hint="eastAsia" w:eastAsia="宋体"/>
                <w:lang w:val="en-US" w:eastAsia="zh-CN"/>
              </w:rPr>
              <w:t xml:space="preserve"> </w:t>
            </w:r>
            <w:r>
              <w:drawing>
                <wp:inline distT="0" distB="0" distL="0" distR="0">
                  <wp:extent cx="2907030" cy="1889125"/>
                  <wp:effectExtent l="9525" t="9525" r="17145" b="254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2907030" cy="1889125"/>
                          </a:xfrm>
                          <a:prstGeom prst="rect">
                            <a:avLst/>
                          </a:prstGeom>
                          <a:ln>
                            <a:solidFill>
                              <a:schemeClr val="tx1"/>
                            </a:solidFill>
                          </a:ln>
                        </pic:spPr>
                      </pic:pic>
                    </a:graphicData>
                  </a:graphic>
                </wp:inline>
              </w:drawing>
            </w:r>
            <w:r>
              <w:rPr>
                <w:rFonts w:hint="eastAsia" w:eastAsia="宋体"/>
                <w:lang w:val="en-US" w:eastAsia="zh-CN"/>
              </w:rPr>
              <w:t xml:space="preserve"> </w:t>
            </w:r>
            <w:r>
              <w:rPr>
                <w:rFonts w:hint="eastAsia" w:eastAsia="宋体"/>
                <w:lang w:val="en-US" w:eastAsia="zh-CN"/>
              </w:rPr>
              <w:drawing>
                <wp:inline distT="0" distB="0" distL="114300" distR="114300">
                  <wp:extent cx="2796540" cy="1910080"/>
                  <wp:effectExtent l="0" t="0" r="3810" b="13970"/>
                  <wp:docPr id="31" name="图片 31" descr="83c489ac0ca4710c5a3b18fdca03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3c489ac0ca4710c5a3b18fdca037b0"/>
                          <pic:cNvPicPr>
                            <a:picLocks noChangeAspect="1"/>
                          </pic:cNvPicPr>
                        </pic:nvPicPr>
                        <pic:blipFill>
                          <a:blip r:embed="rId23"/>
                          <a:stretch>
                            <a:fillRect/>
                          </a:stretch>
                        </pic:blipFill>
                        <pic:spPr>
                          <a:xfrm>
                            <a:off x="0" y="0"/>
                            <a:ext cx="2796540" cy="191008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default" w:eastAsia="宋体"/>
                <w:sz w:val="20"/>
                <w:lang w:val="en-US" w:eastAsia="zh-CN"/>
              </w:rPr>
            </w:pPr>
            <w:r>
              <w:rPr>
                <w:sz w:val="20"/>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图9：白银净多头增加</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170.85pt;height:25.1pt;width:172.5pt;z-index:251669504;mso-width-relative:page;mso-height-relative:page;" fillcolor="#FFFFFF [3201]" filled="t" stroked="f" coordsize="21600,21600" o:gfxdata="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vqIzdUAAAAKAQAADwAA&#10;AAAAAAABACAAAAAiAAAAZHJzL2Rvd25yZXYueG1sUEsBAhQAFAAAAAgAh07iQPx2JplSAgAAkQQA&#10;AA4AAAAAAAAAAQAgAAAAJA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图9：白银净多头增加</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sz w:val="20"/>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图10：美国消费者信心指数走强</w:t>
                                  </w:r>
                                </w:p>
                                <w:p>
                                  <w:pPr>
                                    <w:jc w:val="center"/>
                                    <w:rPr>
                                      <w:rFonts w:hint="default" w:ascii="微软雅黑" w:hAnsi="微软雅黑" w:eastAsia="微软雅黑" w:cs="微软雅黑"/>
                                      <w:snapToGrid w:val="0"/>
                                      <w:color w:val="000000"/>
                                      <w:spacing w:val="25"/>
                                      <w:kern w:val="0"/>
                                      <w:sz w:val="19"/>
                                      <w:szCs w:val="19"/>
                                      <w:lang w:val="en-US" w:eastAsia="zh-CN" w:bidi="ar-SA"/>
                                    </w:rPr>
                                  </w:pP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3pt;margin-top:170.85pt;height:25.1pt;width:195.7pt;z-index:251670528;mso-width-relative:page;mso-height-relative:page;" fillcolor="#FFFFFF [3201]" filled="t" stroked="f" coordsize="21600,21600" o:gfxdata="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dO4hdUAAAALAQAADwAA&#10;AAAAAAABACAAAAAiAAAAZHJzL2Rvd25yZXYueG1sUEsBAhQAFAAAAAgAh07iQFiJr8FSAgAAkQQA&#10;AA4AAAAAAAAAAQAgAAAAJAEAAGRycy9lMm9Eb2MueG1sUEsFBgAAAAAGAAYAWQEAAOgFAAAAAA==&#10;">
                      <v:fill on="t" focussize="0,0"/>
                      <v:stroke on="f" weight="0.5pt"/>
                      <v:imagedata o:title=""/>
                      <o:lock v:ext="edit" aspectratio="f"/>
                      <v:textbox>
                        <w:txbxContent>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图10：美国消费者信心指数走强</w:t>
                            </w:r>
                          </w:p>
                          <w:p>
                            <w:pPr>
                              <w:jc w:val="center"/>
                              <w:rPr>
                                <w:rFonts w:hint="default" w:ascii="微软雅黑" w:hAnsi="微软雅黑" w:eastAsia="微软雅黑" w:cs="微软雅黑"/>
                                <w:snapToGrid w:val="0"/>
                                <w:color w:val="000000"/>
                                <w:spacing w:val="25"/>
                                <w:kern w:val="0"/>
                                <w:sz w:val="19"/>
                                <w:szCs w:val="19"/>
                                <w:lang w:val="en-US" w:eastAsia="zh-CN" w:bidi="ar-SA"/>
                              </w:rPr>
                            </w:pP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rFonts w:hint="eastAsia" w:eastAsia="宋体"/>
                <w:lang w:val="en-US" w:eastAsia="zh-CN"/>
              </w:rPr>
              <w:t xml:space="preserve"> </w:t>
            </w:r>
            <w:r>
              <w:drawing>
                <wp:inline distT="0" distB="0" distL="114300" distR="114300">
                  <wp:extent cx="2832100" cy="1864360"/>
                  <wp:effectExtent l="0" t="0" r="6350" b="254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4"/>
                          <a:stretch>
                            <a:fillRect/>
                          </a:stretch>
                        </pic:blipFill>
                        <pic:spPr>
                          <a:xfrm>
                            <a:off x="0" y="0"/>
                            <a:ext cx="2832100" cy="1864360"/>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790190" cy="1840865"/>
                  <wp:effectExtent l="0" t="0" r="10160" b="698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5"/>
                          <a:stretch>
                            <a:fillRect/>
                          </a:stretch>
                        </pic:blipFill>
                        <pic:spPr>
                          <a:xfrm>
                            <a:off x="0" y="0"/>
                            <a:ext cx="2790190" cy="1840865"/>
                          </a:xfrm>
                          <a:prstGeom prst="rect">
                            <a:avLst/>
                          </a:prstGeom>
                          <a:noFill/>
                          <a:ln>
                            <a:noFill/>
                          </a:ln>
                        </pic:spPr>
                      </pic:pic>
                    </a:graphicData>
                  </a:graphic>
                </wp:inline>
              </w:drawing>
            </w:r>
          </w:p>
        </w:tc>
      </w:tr>
    </w:tbl>
    <w:p>
      <w:pPr>
        <w:spacing w:before="235" w:line="176" w:lineRule="auto"/>
        <w:ind w:firstLine="194" w:firstLineChars="100"/>
        <w:rPr>
          <w:rFonts w:hint="default" w:ascii="微软雅黑" w:hAnsi="微软雅黑" w:eastAsia="微软雅黑" w:cs="微软雅黑"/>
          <w:spacing w:val="7"/>
          <w:sz w:val="18"/>
          <w:szCs w:val="18"/>
          <w:lang w:val="en-US" w:eastAsia="zh-CN"/>
        </w:rPr>
        <w:sectPr>
          <w:headerReference r:id="rId6" w:type="default"/>
          <w:footerReference r:id="rId7" w:type="default"/>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pPr>
      <w:r>
        <w:rPr>
          <w:rFonts w:hint="eastAsia" w:ascii="微软雅黑" w:hAnsi="微软雅黑" w:eastAsia="微软雅黑" w:cs="微软雅黑"/>
          <w:spacing w:val="7"/>
          <w:sz w:val="18"/>
          <w:szCs w:val="18"/>
          <w:lang w:val="en-US" w:eastAsia="zh-CN"/>
        </w:rPr>
        <w:t>资料源：公开资料整理，瑞达</w:t>
      </w: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0"/>
          <w:sz w:val="28"/>
          <w:szCs w:val="28"/>
          <w:lang w:val="en-US" w:eastAsia="zh-CN"/>
        </w:rPr>
        <w:t>下周热点日程</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478"/>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3045"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344" w:type="dxa"/>
            <w:shd w:val="clear" w:color="auto" w:fill="3D85C1"/>
            <w:vAlign w:val="top"/>
          </w:tcPr>
          <w:p>
            <w:pPr>
              <w:pStyle w:val="10"/>
              <w:spacing w:before="221" w:line="195" w:lineRule="auto"/>
              <w:jc w:val="center"/>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27</w:t>
            </w:r>
          </w:p>
        </w:tc>
        <w:tc>
          <w:tcPr>
            <w:tcW w:w="1478" w:type="dxa"/>
            <w:vAlign w:val="top"/>
          </w:tcPr>
          <w:p>
            <w:pPr>
              <w:pStyle w:val="10"/>
              <w:spacing w:before="243" w:line="172" w:lineRule="auto"/>
              <w:ind w:left="94"/>
              <w:rPr>
                <w:rFonts w:hint="default" w:eastAsia="微软雅黑"/>
                <w:sz w:val="19"/>
                <w:szCs w:val="19"/>
                <w:lang w:val="en-US" w:eastAsia="zh-CN"/>
              </w:rPr>
            </w:pPr>
            <w:r>
              <w:rPr>
                <w:rFonts w:hint="eastAsia"/>
                <w:b/>
                <w:bCs/>
                <w:spacing w:val="6"/>
                <w:sz w:val="19"/>
                <w:szCs w:val="19"/>
                <w:lang w:val="en-US" w:eastAsia="zh-CN"/>
              </w:rPr>
              <w:t>09</w:t>
            </w:r>
            <w:r>
              <w:rPr>
                <w:b/>
                <w:bCs/>
                <w:spacing w:val="6"/>
                <w:sz w:val="19"/>
                <w:szCs w:val="19"/>
              </w:rPr>
              <w:t>:</w:t>
            </w:r>
            <w:r>
              <w:rPr>
                <w:rFonts w:hint="eastAsia"/>
                <w:b/>
                <w:bCs/>
                <w:spacing w:val="6"/>
                <w:sz w:val="19"/>
                <w:szCs w:val="19"/>
                <w:lang w:val="en-US" w:eastAsia="zh-CN"/>
              </w:rPr>
              <w:t>30</w:t>
            </w:r>
          </w:p>
        </w:tc>
        <w:tc>
          <w:tcPr>
            <w:tcW w:w="6344" w:type="dxa"/>
            <w:vAlign w:val="top"/>
          </w:tcPr>
          <w:p>
            <w:pPr>
              <w:pStyle w:val="10"/>
              <w:spacing w:before="221" w:line="180" w:lineRule="auto"/>
              <w:jc w:val="center"/>
              <w:rPr>
                <w:rFonts w:hint="default" w:eastAsia="微软雅黑"/>
                <w:sz w:val="19"/>
                <w:szCs w:val="19"/>
                <w:lang w:val="en-US" w:eastAsia="zh-CN"/>
              </w:rPr>
            </w:pPr>
            <w:r>
              <w:rPr>
                <w:rFonts w:hint="default" w:eastAsia="微软雅黑"/>
                <w:sz w:val="19"/>
                <w:szCs w:val="19"/>
                <w:lang w:val="en-US" w:eastAsia="zh-CN"/>
              </w:rPr>
              <w:t>中国4月规模以上工业企业利润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27</w:t>
            </w:r>
          </w:p>
        </w:tc>
        <w:tc>
          <w:tcPr>
            <w:tcW w:w="1478" w:type="dxa"/>
            <w:shd w:val="clear" w:color="auto" w:fill="D3EAFF"/>
            <w:vAlign w:val="top"/>
          </w:tcPr>
          <w:p>
            <w:pPr>
              <w:pStyle w:val="10"/>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12:12</w:t>
            </w:r>
          </w:p>
        </w:tc>
        <w:tc>
          <w:tcPr>
            <w:tcW w:w="6344" w:type="dxa"/>
            <w:shd w:val="clear" w:color="auto" w:fill="D3EAFF"/>
            <w:vAlign w:val="top"/>
          </w:tcPr>
          <w:p>
            <w:pPr>
              <w:pStyle w:val="10"/>
              <w:spacing w:before="221" w:line="180" w:lineRule="auto"/>
              <w:jc w:val="center"/>
              <w:rPr>
                <w:rFonts w:hint="default" w:eastAsia="微软雅黑"/>
                <w:sz w:val="19"/>
                <w:szCs w:val="19"/>
                <w:lang w:val="en-US" w:eastAsia="zh-CN"/>
              </w:rPr>
            </w:pPr>
            <w:r>
              <w:rPr>
                <w:rFonts w:hint="default" w:eastAsia="微软雅黑"/>
                <w:sz w:val="19"/>
                <w:szCs w:val="19"/>
                <w:lang w:val="en-US" w:eastAsia="zh-CN"/>
              </w:rPr>
              <w:t>美国金融市场因阵亡将士纪念日休市</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27</w:t>
            </w:r>
          </w:p>
        </w:tc>
        <w:tc>
          <w:tcPr>
            <w:tcW w:w="1478" w:type="dxa"/>
            <w:vAlign w:val="top"/>
          </w:tcPr>
          <w:p>
            <w:pPr>
              <w:pStyle w:val="10"/>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16:00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德国5月IFO商业预期指数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28</w:t>
            </w:r>
          </w:p>
        </w:tc>
        <w:tc>
          <w:tcPr>
            <w:tcW w:w="1478" w:type="dxa"/>
            <w:shd w:val="clear" w:color="auto" w:fill="D3EAFF"/>
            <w:vAlign w:val="top"/>
          </w:tcPr>
          <w:p>
            <w:pPr>
              <w:pStyle w:val="10"/>
              <w:spacing w:before="248" w:line="172" w:lineRule="auto"/>
              <w:ind w:left="92" w:leftChars="0"/>
              <w:rPr>
                <w:rFonts w:hint="default" w:eastAsia="微软雅黑"/>
                <w:sz w:val="19"/>
                <w:szCs w:val="19"/>
                <w:lang w:val="en-US" w:eastAsia="zh-CN"/>
              </w:rPr>
            </w:pPr>
            <w:r>
              <w:rPr>
                <w:rFonts w:hint="eastAsia"/>
                <w:b/>
                <w:bCs/>
                <w:spacing w:val="3"/>
                <w:sz w:val="19"/>
                <w:szCs w:val="19"/>
                <w:lang w:val="en-US" w:eastAsia="zh-CN"/>
              </w:rPr>
              <w:t>21:00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美国3月S&amp;P/CS20座大城市房价指数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29</w:t>
            </w:r>
          </w:p>
        </w:tc>
        <w:tc>
          <w:tcPr>
            <w:tcW w:w="1478" w:type="dxa"/>
            <w:vAlign w:val="top"/>
          </w:tcPr>
          <w:p>
            <w:pPr>
              <w:pStyle w:val="10"/>
              <w:spacing w:before="248" w:line="172" w:lineRule="auto"/>
              <w:ind w:left="92" w:leftChars="0"/>
              <w:rPr>
                <w:rFonts w:hint="default"/>
                <w:sz w:val="19"/>
                <w:szCs w:val="19"/>
                <w:lang w:val="en-US"/>
              </w:rPr>
            </w:pPr>
            <w:r>
              <w:rPr>
                <w:rFonts w:hint="eastAsia"/>
                <w:b/>
                <w:bCs/>
                <w:spacing w:val="6"/>
                <w:sz w:val="19"/>
                <w:szCs w:val="19"/>
                <w:lang w:val="en-US" w:eastAsia="zh-CN"/>
              </w:rPr>
              <w:t>16:00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欧元区4月M3货币供应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29</w:t>
            </w:r>
          </w:p>
        </w:tc>
        <w:tc>
          <w:tcPr>
            <w:tcW w:w="1478" w:type="dxa"/>
            <w:shd w:val="clear" w:color="auto" w:fill="D3EAFF"/>
            <w:vAlign w:val="top"/>
          </w:tcPr>
          <w:p>
            <w:pPr>
              <w:pStyle w:val="10"/>
              <w:spacing w:before="248" w:line="172" w:lineRule="auto"/>
              <w:ind w:left="92" w:leftChars="0"/>
              <w:rPr>
                <w:rFonts w:hint="default" w:eastAsia="微软雅黑"/>
                <w:b/>
                <w:bCs/>
                <w:sz w:val="19"/>
                <w:szCs w:val="19"/>
                <w:lang w:val="en-US" w:eastAsia="zh-CN"/>
              </w:rPr>
            </w:pPr>
            <w:r>
              <w:rPr>
                <w:rFonts w:hint="eastAsia" w:cs="微软雅黑"/>
                <w:b/>
                <w:bCs/>
                <w:snapToGrid w:val="0"/>
                <w:color w:val="000000"/>
                <w:kern w:val="0"/>
                <w:sz w:val="19"/>
                <w:szCs w:val="19"/>
                <w:lang w:val="en-US" w:eastAsia="zh-CN" w:bidi="ar-SA"/>
              </w:rPr>
              <w:t>20:00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德国5月CPI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5"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30</w:t>
            </w:r>
          </w:p>
        </w:tc>
        <w:tc>
          <w:tcPr>
            <w:tcW w:w="1478" w:type="dxa"/>
            <w:vAlign w:val="top"/>
          </w:tcPr>
          <w:p>
            <w:pPr>
              <w:pStyle w:val="10"/>
              <w:spacing w:before="252" w:line="170" w:lineRule="auto"/>
              <w:ind w:left="101" w:leftChars="0"/>
              <w:rPr>
                <w:rFonts w:hint="default" w:eastAsia="微软雅黑"/>
                <w:sz w:val="19"/>
                <w:szCs w:val="19"/>
                <w:lang w:val="en-US" w:eastAsia="zh-CN"/>
              </w:rPr>
            </w:pPr>
            <w:r>
              <w:rPr>
                <w:rFonts w:hint="eastAsia" w:cs="微软雅黑"/>
                <w:b/>
                <w:bCs/>
                <w:snapToGrid w:val="0"/>
                <w:color w:val="000000"/>
                <w:kern w:val="0"/>
                <w:sz w:val="19"/>
                <w:szCs w:val="19"/>
                <w:lang w:val="en-US" w:eastAsia="zh-CN" w:bidi="ar-SA"/>
              </w:rPr>
              <w:t>16:00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瑞士一季度GDP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30</w:t>
            </w:r>
          </w:p>
        </w:tc>
        <w:tc>
          <w:tcPr>
            <w:tcW w:w="1478" w:type="dxa"/>
            <w:shd w:val="clear" w:color="auto" w:fill="D3EAFF"/>
            <w:vAlign w:val="top"/>
          </w:tcPr>
          <w:p>
            <w:pPr>
              <w:pStyle w:val="10"/>
              <w:spacing w:before="252" w:line="170" w:lineRule="auto"/>
              <w:ind w:left="101"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17:00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欧元区4月失业率</w:t>
            </w:r>
            <w:r>
              <w:rPr>
                <w:rFonts w:hint="eastAsia"/>
                <w:spacing w:val="25"/>
                <w:sz w:val="19"/>
                <w:szCs w:val="19"/>
                <w:lang w:val="en-US" w:eastAsia="zh-CN"/>
              </w:rPr>
              <w:t>、5月经济景气指数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4" w:hRule="atLeast"/>
        </w:trPr>
        <w:tc>
          <w:tcPr>
            <w:tcW w:w="1567" w:type="dxa"/>
            <w:shd w:val="clear" w:color="auto" w:fill="FFFFFF" w:themeFill="background1"/>
            <w:vAlign w:val="top"/>
          </w:tcPr>
          <w:p>
            <w:pPr>
              <w:pStyle w:val="10"/>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30</w:t>
            </w:r>
          </w:p>
        </w:tc>
        <w:tc>
          <w:tcPr>
            <w:tcW w:w="1478" w:type="dxa"/>
            <w:shd w:val="clear" w:color="auto" w:fill="FFFFFF" w:themeFill="background1"/>
            <w:vAlign w:val="top"/>
          </w:tcPr>
          <w:p>
            <w:pPr>
              <w:pStyle w:val="10"/>
              <w:spacing w:before="252" w:line="170" w:lineRule="auto"/>
              <w:ind w:left="101"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20:30</w:t>
            </w:r>
          </w:p>
        </w:tc>
        <w:tc>
          <w:tcPr>
            <w:tcW w:w="6344" w:type="dxa"/>
            <w:shd w:val="clear" w:color="auto" w:fill="FFFFFF" w:themeFill="background1"/>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美国一季度实际GDP年化季环比修正值</w:t>
            </w:r>
            <w:r>
              <w:rPr>
                <w:rFonts w:hint="eastAsia"/>
                <w:spacing w:val="25"/>
                <w:sz w:val="19"/>
                <w:szCs w:val="19"/>
                <w:lang w:val="en-US" w:eastAsia="zh-CN"/>
              </w:rPr>
              <w:t>、5月18日当周续请失业救济人数、5月25日当周首次申请失业救济人数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eastAsia="微软雅黑"/>
                <w:b/>
                <w:bCs/>
                <w:spacing w:val="3"/>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31</w:t>
            </w:r>
          </w:p>
        </w:tc>
        <w:tc>
          <w:tcPr>
            <w:tcW w:w="1478" w:type="dxa"/>
            <w:shd w:val="clear" w:color="auto" w:fill="D3EAFF"/>
            <w:vAlign w:val="top"/>
          </w:tcPr>
          <w:p>
            <w:pPr>
              <w:pStyle w:val="10"/>
              <w:spacing w:before="252" w:line="170" w:lineRule="auto"/>
              <w:ind w:left="101" w:leftChars="0"/>
              <w:rPr>
                <w:rFonts w:hint="default"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07:30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日本5月东京CPI</w:t>
            </w:r>
            <w:r>
              <w:rPr>
                <w:rFonts w:hint="eastAsia"/>
                <w:spacing w:val="25"/>
                <w:sz w:val="19"/>
                <w:szCs w:val="19"/>
                <w:lang w:val="en-US" w:eastAsia="zh-CN"/>
              </w:rPr>
              <w:t>、4月失业率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auto"/>
            <w:vAlign w:val="top"/>
          </w:tcPr>
          <w:p>
            <w:pPr>
              <w:pStyle w:val="10"/>
              <w:spacing w:before="235" w:line="191" w:lineRule="auto"/>
              <w:ind w:left="449" w:leftChars="0"/>
              <w:rPr>
                <w:rFonts w:hint="default" w:eastAsia="微软雅黑"/>
                <w:b/>
                <w:bCs/>
                <w:spacing w:val="3"/>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31</w:t>
            </w:r>
          </w:p>
        </w:tc>
        <w:tc>
          <w:tcPr>
            <w:tcW w:w="1478" w:type="dxa"/>
            <w:shd w:val="clear" w:color="auto" w:fill="auto"/>
            <w:vAlign w:val="top"/>
          </w:tcPr>
          <w:p>
            <w:pPr>
              <w:pStyle w:val="10"/>
              <w:spacing w:before="252" w:line="170" w:lineRule="auto"/>
              <w:ind w:left="101" w:leftChars="0"/>
              <w:rPr>
                <w:rFonts w:hint="eastAsia"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09:30</w:t>
            </w:r>
          </w:p>
        </w:tc>
        <w:tc>
          <w:tcPr>
            <w:tcW w:w="6344" w:type="dxa"/>
            <w:shd w:val="clear" w:color="auto" w:fill="auto"/>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中国5月官方制造业PMI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31</w:t>
            </w:r>
          </w:p>
        </w:tc>
        <w:tc>
          <w:tcPr>
            <w:tcW w:w="1478" w:type="dxa"/>
            <w:shd w:val="clear" w:color="auto" w:fill="D3EAFF"/>
            <w:vAlign w:val="top"/>
          </w:tcPr>
          <w:p>
            <w:pPr>
              <w:pStyle w:val="10"/>
              <w:spacing w:before="252" w:line="170" w:lineRule="auto"/>
              <w:ind w:left="101"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14:45</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法国一季度GDP</w:t>
            </w:r>
            <w:r>
              <w:rPr>
                <w:rFonts w:hint="eastAsia"/>
                <w:spacing w:val="25"/>
                <w:sz w:val="19"/>
                <w:szCs w:val="19"/>
                <w:lang w:val="en-US" w:eastAsia="zh-CN"/>
              </w:rPr>
              <w:t>、5月CPI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auto"/>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31</w:t>
            </w:r>
          </w:p>
        </w:tc>
        <w:tc>
          <w:tcPr>
            <w:tcW w:w="1478" w:type="dxa"/>
            <w:shd w:val="clear" w:color="auto" w:fill="auto"/>
            <w:vAlign w:val="top"/>
          </w:tcPr>
          <w:p>
            <w:pPr>
              <w:pStyle w:val="10"/>
              <w:spacing w:before="252" w:line="170" w:lineRule="auto"/>
              <w:ind w:left="101" w:leftChars="0"/>
              <w:rPr>
                <w:rFonts w:hint="eastAsia"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17:00</w:t>
            </w:r>
          </w:p>
        </w:tc>
        <w:tc>
          <w:tcPr>
            <w:tcW w:w="6344" w:type="dxa"/>
            <w:shd w:val="clear" w:color="auto" w:fill="auto"/>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意大利5月CPI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31</w:t>
            </w:r>
          </w:p>
        </w:tc>
        <w:tc>
          <w:tcPr>
            <w:tcW w:w="1478" w:type="dxa"/>
            <w:shd w:val="clear" w:color="auto" w:fill="D3EAFF"/>
            <w:vAlign w:val="top"/>
          </w:tcPr>
          <w:p>
            <w:pPr>
              <w:pStyle w:val="10"/>
              <w:spacing w:before="252" w:line="170" w:lineRule="auto"/>
              <w:ind w:left="101"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17:00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欧元区5月核心调和CPI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auto"/>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31</w:t>
            </w:r>
          </w:p>
        </w:tc>
        <w:tc>
          <w:tcPr>
            <w:tcW w:w="1478" w:type="dxa"/>
            <w:shd w:val="clear" w:color="auto" w:fill="auto"/>
            <w:vAlign w:val="top"/>
          </w:tcPr>
          <w:p>
            <w:pPr>
              <w:pStyle w:val="10"/>
              <w:spacing w:before="252" w:line="170" w:lineRule="auto"/>
              <w:ind w:left="101"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20:30</w:t>
            </w:r>
          </w:p>
        </w:tc>
        <w:tc>
          <w:tcPr>
            <w:tcW w:w="6344" w:type="dxa"/>
            <w:shd w:val="clear" w:color="auto" w:fill="auto"/>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美国4月实际个人消费支出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31</w:t>
            </w:r>
          </w:p>
        </w:tc>
        <w:tc>
          <w:tcPr>
            <w:tcW w:w="1478" w:type="dxa"/>
            <w:shd w:val="clear" w:color="auto" w:fill="D3EAFF"/>
            <w:vAlign w:val="top"/>
          </w:tcPr>
          <w:p>
            <w:pPr>
              <w:pStyle w:val="10"/>
              <w:spacing w:before="252" w:line="170" w:lineRule="auto"/>
              <w:ind w:left="101" w:leftChars="0"/>
              <w:rPr>
                <w:rFonts w:hint="eastAsia"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21:45</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美国5月芝加哥PMI</w:t>
            </w:r>
          </w:p>
        </w:tc>
      </w:tr>
    </w:tbl>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sectPr>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before="34" w:line="569" w:lineRule="exact"/>
      </w:pPr>
    </w:p>
    <w:p>
      <w:pPr>
        <w:spacing w:before="34" w:line="569" w:lineRule="exact"/>
      </w:pPr>
    </w:p>
    <w:p>
      <w:pPr>
        <w:spacing w:before="34" w:line="569" w:lineRule="exact"/>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right"/>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1F7F7E"/>
    <w:rsid w:val="00ED1D82"/>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autoRedefine/>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Text"/>
    <w:basedOn w:val="1"/>
    <w:semiHidden/>
    <w:qFormat/>
    <w:uiPriority w:val="0"/>
    <w:rPr>
      <w:rFonts w:ascii="微软雅黑" w:hAnsi="微软雅黑" w:eastAsia="微软雅黑" w:cs="微软雅黑"/>
      <w:sz w:val="17"/>
      <w:szCs w:val="17"/>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oleObject" Target="file:///D:\SUGA&#24037;&#20316;\SUGA&#24037;&#20316;\2&#38108;\&#21697;&#31181;--&#25968;&#25454;&#24211;\&#25968;&#25454;&#24211;\4&#20135;&#19994;.xlsx!&#20132;&#26131;&#25152;&#24211;&#23384;!%5b4&#20135;&#19994;.xlsx%5d&#20132;&#26131;&#25152;&#24211;&#23384;%20&#22270;&#34920;%201" TargetMode="External"/><Relationship Id="rId15" Type="http://schemas.openxmlformats.org/officeDocument/2006/relationships/image" Target="media/image9.e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4075</Words>
  <Characters>4977</Characters>
  <Lines>0</Lines>
  <Paragraphs>0</Paragraphs>
  <TotalTime>1</TotalTime>
  <ScaleCrop>false</ScaleCrop>
  <LinksUpToDate>false</LinksUpToDate>
  <CharactersWithSpaces>5023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2024-04-15T00:04:00Z</dcterms:created>
  <dc:creator>WPS_1180513195</dc:creator>
  <cp:lastModifiedBy>WPS_1180513195</cp:lastModifiedBy>
  <dcterms:modified xsi:type="dcterms:W3CDTF">2024-05-27T01:18:50Z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