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pacing w:line="256" w:lineRule="auto"/>
      </w:pPr>
      <w: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upright="0"/>
                    </wps:wsp>
                  </a:graphicData>
                </a:graphic>
              </wp:anchor>
            </w:drawing>
          </mc:Choice>
          <mc:Fallback>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x&#10;SUMJ2AAAAAsBAAAPAAAAAAAAAAEAIAAAACIAAABkcnMvZG93bnJldi54bWxQSwECFAAUAAAACACH&#10;TuJAiyX8T7IBAABgAwAADgAAAAAAAAABACAAAAAnAQAAZHJzL2Uyb0RvYy54bWxQSwUGAAAAAAYA&#10;BgBZAQAASwUAAAAA&#10;">
                <v:fill on="t" focussize="0,0"/>
                <v:stroke on="f"/>
                <v:imagedata o:title=""/>
                <o:lock v:ext="edit" aspectratio="f"/>
              </v:rect>
            </w:pict>
          </mc:Fallback>
        </mc:AlternateContent>
      </w:r>
    </w:p>
    <w:p>
      <w:pPr>
        <w:pStyle w:val="3"/>
        <w:spacing w:line="256" w:lineRule="auto"/>
      </w:pPr>
    </w:p>
    <w:p>
      <w:pPr>
        <w:pStyle w:val="3"/>
        <w:spacing w:line="256" w:lineRule="auto"/>
      </w:pPr>
    </w:p>
    <w:p>
      <w:pPr>
        <w:pStyle w:val="3"/>
        <w:spacing w:line="256" w:lineRule="auto"/>
      </w:pPr>
    </w:p>
    <w:p>
      <w:pPr>
        <w:pStyle w:val="3"/>
        <w:spacing w:line="256" w:lineRule="auto"/>
      </w:pPr>
    </w:p>
    <w:p>
      <w:pPr>
        <w:pStyle w:val="3"/>
        <w:spacing w:line="256" w:lineRule="auto"/>
      </w:pPr>
    </w:p>
    <w:p>
      <w:pPr>
        <w:spacing w:line="240" w:lineRule="auto"/>
        <w:ind w:firstLine="1421"/>
        <w:rPr>
          <w:rFonts w:hint="eastAsia" w:eastAsia="宋体"/>
          <w:lang w:eastAsia="zh-CN"/>
        </w:rPr>
      </w:pPr>
      <w:r>
        <w:rPr>
          <w:rFonts w:hint="eastAsia" w:eastAsia="宋体"/>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pPr>
        <w:spacing w:line="240" w:lineRule="auto"/>
        <w:ind w:firstLine="1421"/>
        <w:rPr>
          <w:rFonts w:ascii="微软雅黑" w:hAnsi="微软雅黑" w:eastAsia="微软雅黑" w:cs="微软雅黑"/>
          <w:sz w:val="96"/>
          <w:szCs w:val="96"/>
        </w:rPr>
      </w:pPr>
      <w:r>
        <w:rPr>
          <w:rFonts w:hint="eastAsia" w:ascii="微软雅黑" w:hAnsi="微软雅黑" w:eastAsia="微软雅黑" w:cs="微软雅黑"/>
          <w:b/>
          <w:bCs/>
          <w:color w:val="FFFFFF"/>
          <w:spacing w:val="6"/>
          <w:sz w:val="96"/>
          <w:szCs w:val="96"/>
          <w:lang w:val="en-US" w:eastAsia="zh-CN"/>
        </w:rPr>
        <w:t>每日</w:t>
      </w:r>
      <w:r>
        <w:rPr>
          <w:rFonts w:ascii="微软雅黑" w:hAnsi="微软雅黑" w:eastAsia="微软雅黑" w:cs="微软雅黑"/>
          <w:b/>
          <w:bCs/>
          <w:color w:val="FFFFFF"/>
          <w:spacing w:val="6"/>
          <w:sz w:val="96"/>
          <w:szCs w:val="96"/>
        </w:rPr>
        <w:t>市场报告</w:t>
      </w:r>
    </w:p>
    <w:p>
      <w:pPr>
        <w:pStyle w:val="3"/>
        <w:spacing w:line="244" w:lineRule="auto"/>
      </w:pPr>
    </w:p>
    <w:p>
      <w:pPr>
        <w:pStyle w:val="3"/>
        <w:spacing w:line="244" w:lineRule="auto"/>
      </w:pPr>
    </w:p>
    <w:p>
      <w:pPr>
        <w:pStyle w:val="3"/>
        <w:spacing w:line="244" w:lineRule="auto"/>
      </w:pPr>
    </w:p>
    <w:p>
      <w:pPr>
        <w:pStyle w:val="3"/>
        <w:spacing w:line="244" w:lineRule="auto"/>
      </w:pPr>
    </w:p>
    <w:p>
      <w:pPr>
        <w:pStyle w:val="3"/>
        <w:spacing w:line="244" w:lineRule="auto"/>
      </w:pPr>
    </w:p>
    <w:p>
      <w:pPr>
        <w:pStyle w:val="3"/>
        <w:spacing w:line="244" w:lineRule="auto"/>
      </w:pPr>
    </w:p>
    <w:p>
      <w:pPr>
        <w:pStyle w:val="3"/>
        <w:spacing w:line="244" w:lineRule="auto"/>
      </w:pPr>
    </w:p>
    <w:p>
      <w:pPr>
        <w:pStyle w:val="3"/>
        <w:spacing w:line="244"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spacing w:before="206" w:line="204" w:lineRule="auto"/>
        <w:ind w:left="7323"/>
        <w:rPr>
          <w:sz w:val="48"/>
          <w:szCs w:val="48"/>
        </w:rPr>
      </w:pPr>
      <w:r>
        <w:rPr>
          <w:rFonts w:ascii="微软雅黑" w:hAnsi="微软雅黑" w:eastAsia="微软雅黑" w:cs="微软雅黑"/>
          <w:b/>
          <w:bCs/>
          <w:color w:val="005D97"/>
          <w:spacing w:val="-22"/>
          <w:sz w:val="48"/>
          <w:szCs w:val="48"/>
        </w:rPr>
        <w:t>2024年</w:t>
      </w:r>
      <w:r>
        <w:rPr>
          <w:rFonts w:hint="eastAsia" w:ascii="微软雅黑" w:hAnsi="微软雅黑" w:eastAsia="微软雅黑" w:cs="微软雅黑"/>
          <w:b/>
          <w:bCs/>
          <w:color w:val="005D97"/>
          <w:spacing w:val="-22"/>
          <w:sz w:val="48"/>
          <w:szCs w:val="48"/>
          <w:lang w:val="en-US" w:eastAsia="zh-CN"/>
        </w:rPr>
        <w:t>5</w:t>
      </w:r>
      <w:r>
        <w:rPr>
          <w:rFonts w:ascii="微软雅黑" w:hAnsi="微软雅黑" w:eastAsia="微软雅黑" w:cs="微软雅黑"/>
          <w:b/>
          <w:bCs/>
          <w:color w:val="005D97"/>
          <w:spacing w:val="-22"/>
          <w:sz w:val="48"/>
          <w:szCs w:val="48"/>
        </w:rPr>
        <w:t>月</w:t>
      </w:r>
      <w:r>
        <w:rPr>
          <w:rFonts w:hint="eastAsia" w:ascii="微软雅黑" w:hAnsi="微软雅黑" w:eastAsia="微软雅黑" w:cs="微软雅黑"/>
          <w:b/>
          <w:bCs/>
          <w:color w:val="005D97"/>
          <w:spacing w:val="-22"/>
          <w:sz w:val="48"/>
          <w:szCs w:val="48"/>
          <w:lang w:val="en-US" w:eastAsia="zh-CN"/>
        </w:rPr>
        <w:t>30</w:t>
      </w:r>
      <w:r>
        <w:rPr>
          <w:rFonts w:ascii="微软雅黑" w:hAnsi="微软雅黑" w:eastAsia="微软雅黑" w:cs="微软雅黑"/>
          <w:b/>
          <w:bCs/>
          <w:color w:val="005D97"/>
          <w:spacing w:val="-22"/>
          <w:sz w:val="48"/>
          <w:szCs w:val="48"/>
        </w:rPr>
        <w:t>日</w:t>
      </w:r>
      <w:r>
        <w:rPr>
          <w:rFonts w:ascii="微软雅黑" w:hAnsi="微软雅黑" w:eastAsia="微软雅黑" w:cs="微软雅黑"/>
          <w:b/>
          <w:bCs/>
          <w:color w:val="005D97"/>
          <w:spacing w:val="38"/>
          <w:sz w:val="48"/>
          <w:szCs w:val="48"/>
        </w:rPr>
        <w:t xml:space="preserve"> </w:t>
      </w:r>
      <w:r>
        <w:rPr>
          <w:position w:val="-3"/>
          <w:sz w:val="48"/>
          <w:szCs w:val="48"/>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pPr>
        <w:spacing w:line="204" w:lineRule="auto"/>
        <w:rPr>
          <w:sz w:val="48"/>
          <w:szCs w:val="48"/>
        </w:rPr>
        <w:sectPr>
          <w:headerReference r:id="rId5" w:type="default"/>
          <w:pgSz w:w="11906" w:h="16838"/>
          <w:pgMar w:top="400" w:right="0" w:bottom="0" w:left="0" w:header="0" w:footer="340" w:gutter="0"/>
          <w:pgBorders>
            <w:top w:val="none" w:sz="0" w:space="0"/>
            <w:left w:val="none" w:sz="0" w:space="0"/>
            <w:bottom w:val="none" w:sz="0" w:space="0"/>
            <w:right w:val="none" w:sz="0" w:space="0"/>
          </w:pgBorders>
          <w:pgNumType w:fmt="decimal"/>
          <w:cols w:space="720" w:num="1"/>
        </w:sectPr>
      </w:pPr>
    </w:p>
    <w:p>
      <w:pPr>
        <w:pBdr>
          <w:top w:val="none" w:color="auto" w:sz="0" w:space="1"/>
          <w:left w:val="none" w:color="auto" w:sz="0" w:space="4"/>
          <w:bottom w:val="none" w:color="auto" w:sz="0" w:space="1"/>
          <w:right w:val="none" w:color="auto" w:sz="0" w:space="4"/>
          <w:between w:val="none" w:color="auto" w:sz="0" w:space="0"/>
        </w:pBdr>
        <w:kinsoku w:val="0"/>
        <w:autoSpaceDE w:val="0"/>
        <w:autoSpaceDN w:val="0"/>
        <w:adjustRightInd w:val="0"/>
        <w:snapToGrid w:val="0"/>
        <w:spacing w:line="240" w:lineRule="auto"/>
        <w:ind w:right="420" w:rightChars="200" w:firstLine="0" w:firstLineChars="0"/>
        <w:jc w:val="left"/>
        <w:textAlignment w:val="baseline"/>
        <w:rPr>
          <w:rFonts w:hint="eastAsia" w:eastAsia="宋体"/>
          <w:lang w:eastAsia="zh-CN"/>
        </w:rPr>
      </w:pP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市场综述</w:t>
      </w:r>
    </w:p>
    <w:p>
      <w:pPr>
        <w:spacing w:line="360" w:lineRule="auto"/>
        <w:rPr>
          <w:rFonts w:hint="eastAsia" w:ascii="微软雅黑" w:hAnsi="微软雅黑" w:eastAsia="微软雅黑" w:cs="微软雅黑"/>
          <w:b w:val="0"/>
          <w:bCs w:val="0"/>
          <w:spacing w:val="4"/>
          <w:sz w:val="24"/>
          <w:szCs w:val="24"/>
          <w:lang w:eastAsia="zh-CN"/>
        </w:rPr>
      </w:pPr>
      <w:r>
        <w:rPr>
          <w:rFonts w:hint="eastAsia" w:ascii="微软雅黑" w:hAnsi="微软雅黑" w:eastAsia="微软雅黑" w:cs="微软雅黑"/>
          <w:b w:val="0"/>
          <w:bCs w:val="0"/>
          <w:i w:val="0"/>
          <w:iCs w:val="0"/>
          <w:caps w:val="0"/>
          <w:color w:val="333333"/>
          <w:spacing w:val="0"/>
          <w:sz w:val="24"/>
          <w:szCs w:val="24"/>
          <w:shd w:val="clear" w:fill="FFFFFF"/>
        </w:rPr>
        <w:t>周三美国三大股指全线收跌，</w:t>
      </w:r>
      <w:r>
        <w:rPr>
          <w:rFonts w:hint="eastAsia" w:ascii="微软雅黑" w:hAnsi="微软雅黑" w:eastAsia="微软雅黑" w:cs="微软雅黑"/>
          <w:b w:val="0"/>
          <w:bCs w:val="0"/>
          <w:sz w:val="24"/>
          <w:szCs w:val="24"/>
          <w:u w:val="none"/>
        </w:rPr>
        <w:t>道指</w:t>
      </w:r>
      <w:r>
        <w:rPr>
          <w:rFonts w:hint="eastAsia" w:ascii="微软雅黑" w:hAnsi="微软雅黑" w:eastAsia="微软雅黑" w:cs="微软雅黑"/>
          <w:b w:val="0"/>
          <w:bCs w:val="0"/>
          <w:i w:val="0"/>
          <w:iCs w:val="0"/>
          <w:caps w:val="0"/>
          <w:color w:val="333333"/>
          <w:spacing w:val="0"/>
          <w:sz w:val="24"/>
          <w:szCs w:val="24"/>
          <w:shd w:val="clear" w:fill="FFFFFF"/>
        </w:rPr>
        <w:t>跌1.06%报38441.54点，</w:t>
      </w:r>
      <w:r>
        <w:rPr>
          <w:rFonts w:hint="eastAsia" w:ascii="微软雅黑" w:hAnsi="微软雅黑" w:eastAsia="微软雅黑" w:cs="微软雅黑"/>
          <w:b w:val="0"/>
          <w:bCs w:val="0"/>
          <w:sz w:val="24"/>
          <w:szCs w:val="24"/>
          <w:u w:val="none"/>
        </w:rPr>
        <w:t>标普500指数</w:t>
      </w:r>
      <w:r>
        <w:rPr>
          <w:rFonts w:hint="eastAsia" w:ascii="微软雅黑" w:hAnsi="微软雅黑" w:eastAsia="微软雅黑" w:cs="微软雅黑"/>
          <w:b w:val="0"/>
          <w:bCs w:val="0"/>
          <w:i w:val="0"/>
          <w:iCs w:val="0"/>
          <w:caps w:val="0"/>
          <w:color w:val="333333"/>
          <w:spacing w:val="0"/>
          <w:sz w:val="24"/>
          <w:szCs w:val="24"/>
          <w:shd w:val="clear" w:fill="FFFFFF"/>
        </w:rPr>
        <w:t>跌0.74%报5266.95点，</w:t>
      </w:r>
      <w:r>
        <w:rPr>
          <w:rFonts w:hint="eastAsia" w:ascii="微软雅黑" w:hAnsi="微软雅黑" w:eastAsia="微软雅黑" w:cs="微软雅黑"/>
          <w:b w:val="0"/>
          <w:bCs w:val="0"/>
          <w:sz w:val="24"/>
          <w:szCs w:val="24"/>
          <w:u w:val="none"/>
        </w:rPr>
        <w:t>纳指</w:t>
      </w:r>
      <w:r>
        <w:rPr>
          <w:rFonts w:hint="eastAsia" w:ascii="微软雅黑" w:hAnsi="微软雅黑" w:eastAsia="微软雅黑" w:cs="微软雅黑"/>
          <w:b w:val="0"/>
          <w:bCs w:val="0"/>
          <w:i w:val="0"/>
          <w:iCs w:val="0"/>
          <w:caps w:val="0"/>
          <w:color w:val="333333"/>
          <w:spacing w:val="0"/>
          <w:sz w:val="24"/>
          <w:szCs w:val="24"/>
          <w:shd w:val="clear" w:fill="FFFFFF"/>
        </w:rPr>
        <w:t>跌0.58%报16920.58点。</w:t>
      </w:r>
      <w:r>
        <w:rPr>
          <w:rFonts w:hint="eastAsia" w:ascii="微软雅黑" w:hAnsi="微软雅黑" w:eastAsia="微软雅黑" w:cs="微软雅黑"/>
          <w:b w:val="0"/>
          <w:bCs w:val="0"/>
          <w:i w:val="0"/>
          <w:iCs w:val="0"/>
          <w:caps w:val="0"/>
          <w:color w:val="333333"/>
          <w:spacing w:val="0"/>
          <w:sz w:val="24"/>
          <w:szCs w:val="24"/>
          <w:u w:val="none"/>
          <w:shd w:val="clear" w:fill="FFFFFF"/>
        </w:rPr>
        <w:t>美元指数</w:t>
      </w:r>
      <w:r>
        <w:rPr>
          <w:rFonts w:hint="eastAsia" w:ascii="微软雅黑" w:hAnsi="微软雅黑" w:eastAsia="微软雅黑" w:cs="微软雅黑"/>
          <w:b w:val="0"/>
          <w:bCs w:val="0"/>
          <w:i w:val="0"/>
          <w:iCs w:val="0"/>
          <w:caps w:val="0"/>
          <w:color w:val="333333"/>
          <w:spacing w:val="0"/>
          <w:sz w:val="24"/>
          <w:szCs w:val="24"/>
          <w:shd w:val="clear" w:fill="FFFFFF"/>
        </w:rPr>
        <w:t>涨0.47%报105.13，非美货币普遍下跌，离岸人民币对美元跌99个基点报7.2732。</w:t>
      </w:r>
      <w:r>
        <w:rPr>
          <w:rFonts w:hint="eastAsia" w:ascii="微软雅黑" w:hAnsi="微软雅黑" w:eastAsia="微软雅黑" w:cs="微软雅黑"/>
          <w:b w:val="0"/>
          <w:bCs w:val="0"/>
          <w:spacing w:val="12"/>
          <w:sz w:val="24"/>
          <w:szCs w:val="24"/>
          <w:lang w:val="en-US" w:eastAsia="zh-CN"/>
        </w:rPr>
        <w:t>国际油价全线上涨，美油7月合约涨1.07%，报78.55美元/桶。布油8月合约涨1.2%，报82.82美元/桶。</w:t>
      </w:r>
      <w:r>
        <w:rPr>
          <w:rFonts w:hint="eastAsia" w:ascii="微软雅黑" w:hAnsi="微软雅黑" w:eastAsia="微软雅黑" w:cs="微软雅黑"/>
          <w:b w:val="0"/>
          <w:bCs w:val="0"/>
          <w:i w:val="0"/>
          <w:iCs w:val="0"/>
          <w:caps w:val="0"/>
          <w:color w:val="333333"/>
          <w:spacing w:val="0"/>
          <w:sz w:val="24"/>
          <w:szCs w:val="24"/>
          <w:shd w:val="clear" w:fill="FFFFFF"/>
        </w:rPr>
        <w:t>国际金属期货收盘涨跌不一，</w:t>
      </w:r>
      <w:r>
        <w:rPr>
          <w:rFonts w:hint="eastAsia" w:ascii="微软雅黑" w:hAnsi="微软雅黑" w:eastAsia="微软雅黑" w:cs="微软雅黑"/>
          <w:b w:val="0"/>
          <w:bCs w:val="0"/>
          <w:i w:val="0"/>
          <w:iCs w:val="0"/>
          <w:caps w:val="0"/>
          <w:color w:val="333333"/>
          <w:spacing w:val="0"/>
          <w:sz w:val="24"/>
          <w:szCs w:val="24"/>
          <w:u w:val="none"/>
          <w:shd w:val="clear" w:fill="FFFFFF"/>
        </w:rPr>
        <w:t>COMEX黄金期货</w:t>
      </w:r>
      <w:r>
        <w:rPr>
          <w:rFonts w:hint="eastAsia" w:ascii="微软雅黑" w:hAnsi="微软雅黑" w:eastAsia="微软雅黑" w:cs="微软雅黑"/>
          <w:b w:val="0"/>
          <w:bCs w:val="0"/>
          <w:i w:val="0"/>
          <w:iCs w:val="0"/>
          <w:caps w:val="0"/>
          <w:color w:val="333333"/>
          <w:spacing w:val="0"/>
          <w:sz w:val="24"/>
          <w:szCs w:val="24"/>
          <w:shd w:val="clear" w:fill="FFFFFF"/>
        </w:rPr>
        <w:t>跌0.83%报2336.9美元/盎司，</w:t>
      </w:r>
      <w:r>
        <w:rPr>
          <w:rFonts w:hint="eastAsia" w:ascii="微软雅黑" w:hAnsi="微软雅黑" w:eastAsia="微软雅黑" w:cs="微软雅黑"/>
          <w:b w:val="0"/>
          <w:bCs w:val="0"/>
          <w:sz w:val="24"/>
          <w:szCs w:val="24"/>
          <w:u w:val="none"/>
        </w:rPr>
        <w:t>COMEX白银期货</w:t>
      </w:r>
      <w:r>
        <w:rPr>
          <w:rFonts w:hint="eastAsia" w:ascii="微软雅黑" w:hAnsi="微软雅黑" w:eastAsia="微软雅黑" w:cs="微软雅黑"/>
          <w:b w:val="0"/>
          <w:bCs w:val="0"/>
          <w:i w:val="0"/>
          <w:iCs w:val="0"/>
          <w:caps w:val="0"/>
          <w:color w:val="333333"/>
          <w:spacing w:val="0"/>
          <w:sz w:val="24"/>
          <w:szCs w:val="24"/>
          <w:shd w:val="clear" w:fill="FFFFFF"/>
        </w:rPr>
        <w:t>涨0.07%报32.16美元/盎司</w:t>
      </w:r>
      <w:r>
        <w:rPr>
          <w:rFonts w:hint="eastAsia" w:ascii="微软雅黑" w:hAnsi="微软雅黑" w:eastAsia="微软雅黑" w:cs="微软雅黑"/>
          <w:b w:val="0"/>
          <w:bCs w:val="0"/>
          <w:i w:val="0"/>
          <w:iCs w:val="0"/>
          <w:caps w:val="0"/>
          <w:color w:val="333333"/>
          <w:spacing w:val="0"/>
          <w:sz w:val="24"/>
          <w:szCs w:val="24"/>
          <w:shd w:val="clear" w:fill="FFFFFF"/>
          <w:lang w:eastAsia="zh-CN"/>
        </w:rPr>
        <w:t>，</w:t>
      </w:r>
      <w:r>
        <w:rPr>
          <w:rFonts w:hint="eastAsia" w:ascii="微软雅黑" w:hAnsi="微软雅黑" w:eastAsia="微软雅黑" w:cs="微软雅黑"/>
          <w:b w:val="0"/>
          <w:bCs w:val="0"/>
          <w:i w:val="0"/>
          <w:iCs w:val="0"/>
          <w:caps w:val="0"/>
          <w:color w:val="333333"/>
          <w:spacing w:val="0"/>
          <w:sz w:val="24"/>
          <w:szCs w:val="24"/>
          <w:u w:val="none"/>
          <w:shd w:val="clear" w:fill="FFFFFF"/>
        </w:rPr>
        <w:t>LME期铜</w:t>
      </w:r>
      <w:r>
        <w:rPr>
          <w:rFonts w:hint="eastAsia" w:ascii="微软雅黑" w:hAnsi="微软雅黑" w:eastAsia="微软雅黑" w:cs="微软雅黑"/>
          <w:b w:val="0"/>
          <w:bCs w:val="0"/>
          <w:i w:val="0"/>
          <w:iCs w:val="0"/>
          <w:caps w:val="0"/>
          <w:color w:val="333333"/>
          <w:spacing w:val="0"/>
          <w:sz w:val="24"/>
          <w:szCs w:val="24"/>
          <w:shd w:val="clear" w:fill="FFFFFF"/>
        </w:rPr>
        <w:t>跌0.25%报10475美元/吨。</w:t>
      </w:r>
      <w:r>
        <w:rPr>
          <w:rFonts w:hint="eastAsia" w:ascii="微软雅黑" w:hAnsi="微软雅黑" w:eastAsia="微软雅黑" w:cs="微软雅黑"/>
          <w:b w:val="0"/>
          <w:bCs w:val="0"/>
          <w:sz w:val="24"/>
          <w:szCs w:val="24"/>
          <w:lang w:val="en-US" w:eastAsia="zh-CN"/>
        </w:rPr>
        <w:t>ICE 7月原糖期货合约收盘收跌0.38美分或2.0%，结算价每磅18.35美分，ICE 7月期棉收跌1.33美分或1.60%，结算价报81.10美分/磅。</w:t>
      </w:r>
    </w:p>
    <w:p>
      <w:pPr>
        <w:spacing w:before="235" w:line="176" w:lineRule="auto"/>
        <w:jc w:val="both"/>
        <w:rPr>
          <w:rFonts w:hint="default" w:ascii="微软雅黑" w:hAnsi="微软雅黑" w:eastAsia="微软雅黑" w:cs="微软雅黑"/>
          <w:spacing w:val="7"/>
          <w:sz w:val="21"/>
          <w:szCs w:val="21"/>
          <w:lang w:val="en-US" w:eastAsia="zh-CN"/>
        </w:rPr>
      </w:pPr>
      <w:r>
        <w:rPr>
          <w:rFonts w:ascii="微软雅黑" w:hAnsi="微软雅黑" w:eastAsia="微软雅黑" w:cs="微软雅黑"/>
          <w:spacing w:val="7"/>
          <w:sz w:val="21"/>
          <w:szCs w:val="21"/>
        </w:rPr>
        <w:t>图表1</w:t>
      </w:r>
      <w:r>
        <w:rPr>
          <w:rFonts w:hint="eastAsia" w:ascii="微软雅黑" w:hAnsi="微软雅黑" w:eastAsia="微软雅黑" w:cs="微软雅黑"/>
          <w:spacing w:val="7"/>
          <w:sz w:val="21"/>
          <w:szCs w:val="21"/>
          <w:lang w:eastAsia="zh-CN"/>
        </w:rPr>
        <w:t>：</w:t>
      </w:r>
      <w:r>
        <w:rPr>
          <w:rFonts w:ascii="微软雅黑" w:hAnsi="微软雅黑" w:eastAsia="微软雅黑" w:cs="微软雅黑"/>
          <w:spacing w:val="7"/>
          <w:sz w:val="21"/>
          <w:szCs w:val="21"/>
        </w:rPr>
        <w:t>全球</w:t>
      </w:r>
      <w:r>
        <w:rPr>
          <w:rFonts w:hint="eastAsia" w:ascii="微软雅黑" w:hAnsi="微软雅黑" w:eastAsia="微软雅黑" w:cs="微软雅黑"/>
          <w:spacing w:val="7"/>
          <w:sz w:val="21"/>
          <w:szCs w:val="21"/>
          <w:lang w:val="en-US" w:eastAsia="zh-CN"/>
        </w:rPr>
        <w:t>主要股指</w:t>
      </w:r>
      <w:r>
        <w:rPr>
          <w:rFonts w:ascii="微软雅黑" w:hAnsi="微软雅黑" w:eastAsia="微软雅黑" w:cs="微软雅黑"/>
          <w:spacing w:val="7"/>
          <w:sz w:val="21"/>
          <w:szCs w:val="21"/>
        </w:rPr>
        <w:t>涨跌幅</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w:t>
      </w:r>
    </w:p>
    <w:p>
      <w:pPr>
        <w:spacing w:before="235" w:line="176" w:lineRule="auto"/>
        <w:jc w:val="both"/>
        <w:rPr>
          <w:rFonts w:hint="eastAsia"/>
          <w:lang w:eastAsia="zh-CN"/>
        </w:rPr>
      </w:pPr>
      <w:r>
        <w:drawing>
          <wp:inline distT="0" distB="0" distL="114300" distR="114300">
            <wp:extent cx="6586220" cy="3707130"/>
            <wp:effectExtent l="0" t="0" r="5080" b="762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2"/>
                    <a:stretch>
                      <a:fillRect/>
                    </a:stretch>
                  </pic:blipFill>
                  <pic:spPr>
                    <a:xfrm>
                      <a:off x="0" y="0"/>
                      <a:ext cx="6586220" cy="3707130"/>
                    </a:xfrm>
                    <a:prstGeom prst="rect">
                      <a:avLst/>
                    </a:prstGeom>
                    <a:noFill/>
                    <a:ln>
                      <a:noFill/>
                    </a:ln>
                  </pic:spPr>
                </pic:pic>
              </a:graphicData>
            </a:graphic>
          </wp:inline>
        </w:drawing>
      </w:r>
    </w:p>
    <w:p>
      <w:pPr>
        <w:spacing w:before="120" w:line="190" w:lineRule="auto"/>
        <w:jc w:val="both"/>
        <w:rPr>
          <w:rFonts w:ascii="微软雅黑" w:hAnsi="微软雅黑" w:eastAsia="微软雅黑" w:cs="微软雅黑"/>
          <w:spacing w:val="7"/>
          <w:sz w:val="21"/>
          <w:szCs w:val="21"/>
        </w:rPr>
      </w:pPr>
      <w:r>
        <w:rPr>
          <w:rFonts w:hint="eastAsia" w:ascii="微软雅黑" w:hAnsi="微软雅黑" w:eastAsia="微软雅黑" w:cs="微软雅黑"/>
          <w:spacing w:val="7"/>
          <w:sz w:val="21"/>
          <w:szCs w:val="21"/>
          <w:lang w:val="en-US" w:eastAsia="zh-CN"/>
        </w:rPr>
        <w:t>资料来源</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公开资料整理、瑞达国际</w:t>
      </w:r>
    </w:p>
    <w:p>
      <w:pPr>
        <w:pStyle w:val="3"/>
        <w:spacing w:line="282" w:lineRule="auto"/>
      </w:pPr>
    </w:p>
    <w:p>
      <w:pPr>
        <w:pStyle w:val="3"/>
        <w:spacing w:line="282" w:lineRule="auto"/>
      </w:pP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消息回顾</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【根据央视新闻，当地时间5月27日，以色列国防军发布通告，证实当天早间，在加沙地带靠近埃及的边境地区发生枪击事件。以军正在审查该事件，并与埃及方面进行讨论。】</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b w:val="0"/>
          <w:bCs w:val="0"/>
          <w:spacing w:val="4"/>
          <w:sz w:val="24"/>
          <w:szCs w:val="24"/>
          <w:lang w:eastAsia="zh-CN"/>
        </w:rPr>
      </w:pPr>
      <w:r>
        <w:rPr>
          <w:rFonts w:hint="eastAsia" w:ascii="微软雅黑" w:hAnsi="微软雅黑" w:eastAsia="微软雅黑" w:cs="微软雅黑"/>
          <w:b w:val="0"/>
          <w:bCs w:val="0"/>
          <w:spacing w:val="4"/>
          <w:sz w:val="24"/>
          <w:szCs w:val="24"/>
          <w:lang w:eastAsia="zh-CN"/>
        </w:rPr>
        <w:t>【</w:t>
      </w:r>
      <w:r>
        <w:rPr>
          <w:rFonts w:hint="eastAsia" w:ascii="微软雅黑" w:hAnsi="微软雅黑" w:eastAsia="微软雅黑" w:cs="微软雅黑"/>
          <w:b w:val="0"/>
          <w:bCs w:val="0"/>
          <w:i w:val="0"/>
          <w:iCs w:val="0"/>
          <w:caps w:val="0"/>
          <w:color w:val="333333"/>
          <w:spacing w:val="0"/>
          <w:sz w:val="24"/>
          <w:szCs w:val="24"/>
          <w:shd w:val="clear" w:fill="FFFFFF"/>
        </w:rPr>
        <w:t>美联储发布的经济状况“褐皮书”显示，全美的经济活动从4月初至5月中旬持续扩张，大多数地区报告经济活动略有增长，两个地区报告经济活动没有变化。劳动力市场总体而言，就业率小幅上升，八个地区报告就业率微增至适中，其余四个地区报告就业率没有变化。物价方面温和上涨。</w:t>
      </w:r>
      <w:r>
        <w:rPr>
          <w:rFonts w:hint="eastAsia" w:ascii="微软雅黑" w:hAnsi="微软雅黑" w:eastAsia="微软雅黑" w:cs="微软雅黑"/>
          <w:b w:val="0"/>
          <w:bCs w:val="0"/>
          <w:spacing w:val="4"/>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b w:val="0"/>
          <w:bCs w:val="0"/>
          <w:spacing w:val="4"/>
          <w:sz w:val="24"/>
          <w:szCs w:val="24"/>
          <w:lang w:eastAsia="zh-CN"/>
        </w:rPr>
      </w:pPr>
      <w:r>
        <w:rPr>
          <w:rFonts w:hint="eastAsia" w:ascii="微软雅黑" w:hAnsi="微软雅黑" w:eastAsia="微软雅黑" w:cs="微软雅黑"/>
          <w:b w:val="0"/>
          <w:bCs w:val="0"/>
          <w:spacing w:val="4"/>
          <w:sz w:val="24"/>
          <w:szCs w:val="24"/>
          <w:lang w:eastAsia="zh-CN"/>
        </w:rPr>
        <w:t>【</w:t>
      </w:r>
      <w:r>
        <w:rPr>
          <w:rFonts w:hint="eastAsia" w:ascii="微软雅黑" w:hAnsi="微软雅黑" w:eastAsia="微软雅黑" w:cs="微软雅黑"/>
          <w:b w:val="0"/>
          <w:bCs w:val="0"/>
          <w:sz w:val="24"/>
          <w:szCs w:val="24"/>
          <w:u w:val="none"/>
        </w:rPr>
        <w:t>日本央行</w:t>
      </w:r>
      <w:r>
        <w:rPr>
          <w:rFonts w:hint="eastAsia" w:ascii="微软雅黑" w:hAnsi="微软雅黑" w:eastAsia="微软雅黑" w:cs="微软雅黑"/>
          <w:b w:val="0"/>
          <w:bCs w:val="0"/>
          <w:i w:val="0"/>
          <w:iCs w:val="0"/>
          <w:caps w:val="0"/>
          <w:color w:val="333333"/>
          <w:spacing w:val="0"/>
          <w:sz w:val="24"/>
          <w:szCs w:val="24"/>
          <w:shd w:val="clear" w:fill="FFFFFF"/>
        </w:rPr>
        <w:t>审议委员安达诚司表示，日元疲软可能会刺激价格上涨，促使</w:t>
      </w:r>
      <w:r>
        <w:rPr>
          <w:rFonts w:hint="eastAsia" w:ascii="微软雅黑" w:hAnsi="微软雅黑" w:eastAsia="微软雅黑" w:cs="微软雅黑"/>
          <w:b w:val="0"/>
          <w:bCs w:val="0"/>
          <w:sz w:val="24"/>
          <w:szCs w:val="24"/>
        </w:rPr>
        <w:t>日本央行</w:t>
      </w:r>
      <w:r>
        <w:rPr>
          <w:rFonts w:hint="eastAsia" w:ascii="微软雅黑" w:hAnsi="微软雅黑" w:eastAsia="微软雅黑" w:cs="微软雅黑"/>
          <w:b w:val="0"/>
          <w:bCs w:val="0"/>
          <w:i w:val="0"/>
          <w:iCs w:val="0"/>
          <w:caps w:val="0"/>
          <w:color w:val="333333"/>
          <w:spacing w:val="0"/>
          <w:sz w:val="24"/>
          <w:szCs w:val="24"/>
          <w:shd w:val="clear" w:fill="FFFFFF"/>
        </w:rPr>
        <w:t>考虑比预期更早再次加息。</w:t>
      </w:r>
      <w:r>
        <w:rPr>
          <w:rFonts w:hint="eastAsia" w:ascii="微软雅黑" w:hAnsi="微软雅黑" w:eastAsia="微软雅黑" w:cs="微软雅黑"/>
          <w:b w:val="0"/>
          <w:bCs w:val="0"/>
          <w:spacing w:val="4"/>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b w:val="0"/>
          <w:bCs w:val="0"/>
          <w:spacing w:val="4"/>
          <w:sz w:val="24"/>
          <w:szCs w:val="24"/>
          <w:lang w:eastAsia="zh-CN"/>
        </w:rPr>
      </w:pPr>
      <w:r>
        <w:rPr>
          <w:rFonts w:hint="eastAsia" w:ascii="微软雅黑" w:hAnsi="微软雅黑" w:eastAsia="微软雅黑" w:cs="微软雅黑"/>
          <w:b w:val="0"/>
          <w:bCs w:val="0"/>
          <w:spacing w:val="4"/>
          <w:sz w:val="24"/>
          <w:szCs w:val="24"/>
          <w:lang w:eastAsia="zh-CN"/>
        </w:rPr>
        <w:t>【</w:t>
      </w:r>
      <w:r>
        <w:rPr>
          <w:rFonts w:hint="eastAsia" w:ascii="微软雅黑" w:hAnsi="微软雅黑" w:eastAsia="微软雅黑" w:cs="微软雅黑"/>
          <w:b w:val="0"/>
          <w:bCs w:val="0"/>
          <w:i w:val="0"/>
          <w:iCs w:val="0"/>
          <w:caps w:val="0"/>
          <w:color w:val="333333"/>
          <w:spacing w:val="0"/>
          <w:sz w:val="24"/>
          <w:szCs w:val="24"/>
          <w:shd w:val="clear" w:fill="FFFFFF"/>
        </w:rPr>
        <w:t>美国5月里奇蒙德联储制造业指数为0，为2023年10月以来新高，预期-6，前值-7。</w:t>
      </w:r>
      <w:r>
        <w:rPr>
          <w:rFonts w:hint="eastAsia" w:ascii="微软雅黑" w:hAnsi="微软雅黑" w:eastAsia="微软雅黑" w:cs="微软雅黑"/>
          <w:b w:val="0"/>
          <w:bCs w:val="0"/>
          <w:spacing w:val="4"/>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b w:val="0"/>
          <w:bCs w:val="0"/>
          <w:spacing w:val="4"/>
          <w:sz w:val="24"/>
          <w:szCs w:val="24"/>
          <w:lang w:eastAsia="zh-CN"/>
        </w:rPr>
      </w:pPr>
      <w:r>
        <w:rPr>
          <w:rFonts w:hint="eastAsia" w:ascii="微软雅黑" w:hAnsi="微软雅黑" w:eastAsia="微软雅黑" w:cs="微软雅黑"/>
          <w:b w:val="0"/>
          <w:bCs w:val="0"/>
          <w:spacing w:val="4"/>
          <w:sz w:val="24"/>
          <w:szCs w:val="24"/>
          <w:lang w:eastAsia="zh-CN"/>
        </w:rPr>
        <w:t>【</w:t>
      </w:r>
      <w:r>
        <w:rPr>
          <w:rFonts w:hint="eastAsia" w:ascii="微软雅黑" w:hAnsi="微软雅黑" w:eastAsia="微软雅黑" w:cs="微软雅黑"/>
          <w:b w:val="0"/>
          <w:bCs w:val="0"/>
          <w:i w:val="0"/>
          <w:iCs w:val="0"/>
          <w:caps w:val="0"/>
          <w:color w:val="333333"/>
          <w:spacing w:val="0"/>
          <w:sz w:val="24"/>
          <w:szCs w:val="24"/>
          <w:shd w:val="clear" w:fill="FFFFFF"/>
        </w:rPr>
        <w:t>德国5月CPI初值同比升2.4%，连续第二个月加速，符合市场预期，前值为升2.2%。德国CPI加速凸显出欧央行在准备下周降息的同时，为实现2%通胀目标所面临的挑战。</w:t>
      </w:r>
      <w:r>
        <w:rPr>
          <w:rFonts w:hint="eastAsia" w:ascii="微软雅黑" w:hAnsi="微软雅黑" w:eastAsia="微软雅黑" w:cs="微软雅黑"/>
          <w:b w:val="0"/>
          <w:bCs w:val="0"/>
          <w:spacing w:val="4"/>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b w:val="0"/>
          <w:bCs w:val="0"/>
          <w:spacing w:val="4"/>
          <w:sz w:val="24"/>
          <w:szCs w:val="24"/>
          <w:lang w:eastAsia="zh-CN"/>
        </w:rPr>
      </w:pPr>
      <w:r>
        <w:rPr>
          <w:rFonts w:hint="eastAsia" w:ascii="微软雅黑" w:hAnsi="微软雅黑" w:eastAsia="微软雅黑" w:cs="微软雅黑"/>
          <w:b w:val="0"/>
          <w:bCs w:val="0"/>
          <w:spacing w:val="4"/>
          <w:sz w:val="24"/>
          <w:szCs w:val="24"/>
          <w:lang w:eastAsia="zh-CN"/>
        </w:rPr>
        <w:t>【</w:t>
      </w:r>
      <w:r>
        <w:rPr>
          <w:rFonts w:hint="eastAsia" w:ascii="微软雅黑" w:hAnsi="微软雅黑" w:eastAsia="微软雅黑" w:cs="微软雅黑"/>
          <w:b w:val="0"/>
          <w:bCs w:val="0"/>
          <w:i w:val="0"/>
          <w:iCs w:val="0"/>
          <w:caps w:val="0"/>
          <w:color w:val="333333"/>
          <w:spacing w:val="0"/>
          <w:sz w:val="24"/>
          <w:szCs w:val="24"/>
          <w:shd w:val="clear" w:fill="FFFFFF"/>
        </w:rPr>
        <w:t>澳大利亚4月份CPI同比意外上升至3.6%，为5个月来的最高水平，而此前的预测是下降至3.4%。</w:t>
      </w:r>
      <w:r>
        <w:rPr>
          <w:rFonts w:hint="eastAsia" w:ascii="微软雅黑" w:hAnsi="微软雅黑" w:eastAsia="微软雅黑" w:cs="微软雅黑"/>
          <w:b w:val="0"/>
          <w:bCs w:val="0"/>
          <w:spacing w:val="4"/>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p>
    <w:p>
      <w:pPr>
        <w:spacing w:before="120" w:line="190" w:lineRule="auto"/>
        <w:ind w:left="6"/>
        <w:rPr>
          <w:rFonts w:hint="default" w:ascii="微软雅黑" w:hAnsi="微软雅黑" w:eastAsia="微软雅黑" w:cs="微软雅黑"/>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9"/>
          <w:sz w:val="28"/>
          <w:szCs w:val="28"/>
          <w:lang w:val="en-US" w:eastAsia="zh-CN"/>
        </w:rPr>
        <w:t>今日关注</w:t>
      </w:r>
    </w:p>
    <w:p>
      <w:pPr>
        <w:spacing w:before="84"/>
      </w:pPr>
    </w:p>
    <w:tbl>
      <w:tblPr>
        <w:tblStyle w:val="13"/>
        <w:tblW w:w="9389" w:type="dxa"/>
        <w:tblInd w:w="254"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567"/>
        <w:gridCol w:w="1143"/>
        <w:gridCol w:w="6679"/>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Ex>
        <w:trPr>
          <w:trHeight w:val="620" w:hRule="atLeast"/>
        </w:trPr>
        <w:tc>
          <w:tcPr>
            <w:tcW w:w="2710" w:type="dxa"/>
            <w:gridSpan w:val="2"/>
            <w:shd w:val="clear" w:color="auto" w:fill="3D85C1"/>
            <w:vAlign w:val="top"/>
          </w:tcPr>
          <w:p>
            <w:pPr>
              <w:pStyle w:val="12"/>
              <w:spacing w:before="221" w:line="182" w:lineRule="auto"/>
              <w:ind w:left="1142"/>
              <w:rPr>
                <w:sz w:val="19"/>
                <w:szCs w:val="19"/>
              </w:rPr>
            </w:pPr>
            <w:r>
              <w:rPr>
                <w:b/>
                <w:bCs/>
                <w:color w:val="FFFFFF"/>
                <w:spacing w:val="4"/>
                <w:sz w:val="19"/>
                <w:szCs w:val="19"/>
              </w:rPr>
              <w:t>时间</w:t>
            </w:r>
          </w:p>
        </w:tc>
        <w:tc>
          <w:tcPr>
            <w:tcW w:w="6679" w:type="dxa"/>
            <w:shd w:val="clear" w:color="auto" w:fill="3D85C1"/>
            <w:vAlign w:val="top"/>
          </w:tcPr>
          <w:p>
            <w:pPr>
              <w:pStyle w:val="12"/>
              <w:spacing w:before="221" w:line="195" w:lineRule="auto"/>
              <w:ind w:left="2866"/>
              <w:rPr>
                <w:sz w:val="19"/>
                <w:szCs w:val="19"/>
              </w:rPr>
            </w:pPr>
            <w:r>
              <w:rPr>
                <w:b/>
                <w:bCs/>
                <w:color w:val="FFFFFF"/>
                <w:spacing w:val="16"/>
                <w:sz w:val="19"/>
                <w:szCs w:val="19"/>
              </w:rPr>
              <w:t>数据/事件</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8" w:hRule="atLeast"/>
        </w:trPr>
        <w:tc>
          <w:tcPr>
            <w:tcW w:w="1567" w:type="dxa"/>
            <w:vAlign w:val="top"/>
          </w:tcPr>
          <w:p>
            <w:pPr>
              <w:pStyle w:val="12"/>
              <w:spacing w:before="228" w:line="191" w:lineRule="auto"/>
              <w:ind w:left="449" w:leftChars="0"/>
              <w:rPr>
                <w:rFonts w:hint="eastAsia" w:ascii="微软雅黑" w:hAnsi="微软雅黑" w:eastAsia="微软雅黑" w:cs="微软雅黑"/>
                <w:snapToGrid w:val="0"/>
                <w:color w:val="000000"/>
                <w:kern w:val="0"/>
                <w:sz w:val="19"/>
                <w:szCs w:val="19"/>
                <w:lang w:val="en-US" w:eastAsia="zh-CN" w:bidi="ar-SA"/>
              </w:rPr>
            </w:pPr>
            <w:r>
              <w:rPr>
                <w:rFonts w:hint="eastAsia" w:ascii="微软雅黑" w:hAnsi="微软雅黑" w:eastAsia="微软雅黑" w:cs="微软雅黑"/>
                <w:b/>
                <w:bCs/>
                <w:spacing w:val="3"/>
                <w:sz w:val="19"/>
                <w:szCs w:val="19"/>
              </w:rPr>
              <w:t>2024/</w:t>
            </w:r>
            <w:r>
              <w:rPr>
                <w:rFonts w:hint="eastAsia" w:ascii="微软雅黑" w:hAnsi="微软雅黑" w:eastAsia="微软雅黑" w:cs="微软雅黑"/>
                <w:b/>
                <w:bCs/>
                <w:spacing w:val="3"/>
                <w:sz w:val="19"/>
                <w:szCs w:val="19"/>
                <w:lang w:val="en-US" w:eastAsia="zh-CN"/>
              </w:rPr>
              <w:t>5</w:t>
            </w:r>
            <w:r>
              <w:rPr>
                <w:rFonts w:hint="eastAsia" w:ascii="微软雅黑" w:hAnsi="微软雅黑" w:eastAsia="微软雅黑" w:cs="微软雅黑"/>
                <w:b/>
                <w:bCs/>
                <w:spacing w:val="3"/>
                <w:sz w:val="19"/>
                <w:szCs w:val="19"/>
              </w:rPr>
              <w:t>/</w:t>
            </w:r>
            <w:r>
              <w:rPr>
                <w:rFonts w:hint="eastAsia" w:ascii="微软雅黑" w:hAnsi="微软雅黑" w:eastAsia="微软雅黑" w:cs="微软雅黑"/>
                <w:b/>
                <w:bCs/>
                <w:spacing w:val="3"/>
                <w:sz w:val="19"/>
                <w:szCs w:val="19"/>
                <w:lang w:val="en-US" w:eastAsia="zh-CN"/>
              </w:rPr>
              <w:t>30</w:t>
            </w:r>
          </w:p>
        </w:tc>
        <w:tc>
          <w:tcPr>
            <w:tcW w:w="1143" w:type="dxa"/>
            <w:vAlign w:val="top"/>
          </w:tcPr>
          <w:p>
            <w:pPr>
              <w:pStyle w:val="12"/>
              <w:spacing w:before="243" w:line="172" w:lineRule="auto"/>
              <w:ind w:left="94" w:leftChars="0"/>
              <w:jc w:val="left"/>
              <w:rPr>
                <w:rFonts w:hint="eastAsia" w:ascii="微软雅黑" w:hAnsi="微软雅黑" w:eastAsia="微软雅黑" w:cs="微软雅黑"/>
                <w:b/>
                <w:bCs/>
                <w:snapToGrid w:val="0"/>
                <w:color w:val="000000"/>
                <w:kern w:val="0"/>
                <w:sz w:val="19"/>
                <w:szCs w:val="19"/>
                <w:lang w:val="en-US" w:eastAsia="zh-CN" w:bidi="ar-SA"/>
              </w:rPr>
            </w:pPr>
            <w:r>
              <w:rPr>
                <w:rFonts w:hint="eastAsia" w:ascii="微软雅黑" w:hAnsi="微软雅黑" w:eastAsia="微软雅黑" w:cs="微软雅黑"/>
                <w:b/>
                <w:bCs/>
                <w:sz w:val="19"/>
                <w:szCs w:val="19"/>
                <w:lang w:val="en-US" w:eastAsia="zh-CN"/>
              </w:rPr>
              <w:t>14</w:t>
            </w:r>
            <w:r>
              <w:rPr>
                <w:rFonts w:hint="eastAsia" w:cs="微软雅黑"/>
                <w:b/>
                <w:bCs/>
                <w:sz w:val="19"/>
                <w:szCs w:val="19"/>
                <w:lang w:val="en-US" w:eastAsia="zh-CN"/>
              </w:rPr>
              <w:t>：</w:t>
            </w:r>
            <w:r>
              <w:rPr>
                <w:rFonts w:hint="eastAsia" w:ascii="微软雅黑" w:hAnsi="微软雅黑" w:eastAsia="微软雅黑" w:cs="微软雅黑"/>
                <w:b/>
                <w:bCs/>
                <w:sz w:val="19"/>
                <w:szCs w:val="19"/>
                <w:lang w:val="en-US" w:eastAsia="zh-CN"/>
              </w:rPr>
              <w:t>00</w:t>
            </w:r>
          </w:p>
        </w:tc>
        <w:tc>
          <w:tcPr>
            <w:tcW w:w="6679" w:type="dxa"/>
            <w:vAlign w:val="top"/>
          </w:tcPr>
          <w:p>
            <w:pPr>
              <w:pStyle w:val="12"/>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 xml:space="preserve"> 瑞士4月贸易帐</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12"/>
              <w:spacing w:before="228" w:line="191" w:lineRule="auto"/>
              <w:ind w:left="449" w:leftChars="0"/>
              <w:rPr>
                <w:rFonts w:hint="eastAsia" w:ascii="微软雅黑" w:hAnsi="微软雅黑" w:eastAsia="微软雅黑" w:cs="微软雅黑"/>
                <w:snapToGrid w:val="0"/>
                <w:color w:val="000000"/>
                <w:kern w:val="0"/>
                <w:sz w:val="19"/>
                <w:szCs w:val="19"/>
                <w:lang w:val="en-US" w:eastAsia="zh-CN" w:bidi="ar-SA"/>
              </w:rPr>
            </w:pPr>
            <w:r>
              <w:rPr>
                <w:rFonts w:hint="eastAsia" w:ascii="微软雅黑" w:hAnsi="微软雅黑" w:eastAsia="微软雅黑" w:cs="微软雅黑"/>
                <w:b/>
                <w:bCs/>
                <w:spacing w:val="3"/>
                <w:sz w:val="19"/>
                <w:szCs w:val="19"/>
              </w:rPr>
              <w:t>2024/</w:t>
            </w:r>
            <w:r>
              <w:rPr>
                <w:rFonts w:hint="eastAsia" w:ascii="微软雅黑" w:hAnsi="微软雅黑" w:eastAsia="微软雅黑" w:cs="微软雅黑"/>
                <w:b/>
                <w:bCs/>
                <w:spacing w:val="3"/>
                <w:sz w:val="19"/>
                <w:szCs w:val="19"/>
                <w:lang w:val="en-US" w:eastAsia="zh-CN"/>
              </w:rPr>
              <w:t>5</w:t>
            </w:r>
            <w:r>
              <w:rPr>
                <w:rFonts w:hint="eastAsia" w:ascii="微软雅黑" w:hAnsi="微软雅黑" w:eastAsia="微软雅黑" w:cs="微软雅黑"/>
                <w:b/>
                <w:bCs/>
                <w:spacing w:val="3"/>
                <w:sz w:val="19"/>
                <w:szCs w:val="19"/>
              </w:rPr>
              <w:t>/</w:t>
            </w:r>
            <w:r>
              <w:rPr>
                <w:rFonts w:hint="eastAsia" w:ascii="微软雅黑" w:hAnsi="微软雅黑" w:eastAsia="微软雅黑" w:cs="微软雅黑"/>
                <w:b/>
                <w:bCs/>
                <w:spacing w:val="3"/>
                <w:sz w:val="19"/>
                <w:szCs w:val="19"/>
                <w:lang w:val="en-US" w:eastAsia="zh-CN"/>
              </w:rPr>
              <w:t>30</w:t>
            </w:r>
          </w:p>
        </w:tc>
        <w:tc>
          <w:tcPr>
            <w:tcW w:w="1143" w:type="dxa"/>
            <w:shd w:val="clear" w:color="auto" w:fill="D3EAFF"/>
            <w:vAlign w:val="top"/>
          </w:tcPr>
          <w:p>
            <w:pPr>
              <w:pStyle w:val="12"/>
              <w:spacing w:before="243" w:line="172" w:lineRule="auto"/>
              <w:ind w:left="94" w:leftChars="0"/>
              <w:jc w:val="left"/>
              <w:rPr>
                <w:rFonts w:hint="eastAsia" w:ascii="微软雅黑" w:hAnsi="微软雅黑" w:eastAsia="微软雅黑" w:cs="微软雅黑"/>
                <w:snapToGrid w:val="0"/>
                <w:color w:val="000000"/>
                <w:kern w:val="0"/>
                <w:sz w:val="19"/>
                <w:szCs w:val="19"/>
                <w:lang w:val="en-US" w:eastAsia="en-US" w:bidi="ar-SA"/>
              </w:rPr>
            </w:pPr>
            <w:r>
              <w:rPr>
                <w:rFonts w:hint="eastAsia" w:ascii="微软雅黑" w:hAnsi="微软雅黑" w:eastAsia="微软雅黑" w:cs="微软雅黑"/>
                <w:b/>
                <w:bCs/>
                <w:spacing w:val="5"/>
                <w:sz w:val="19"/>
                <w:szCs w:val="19"/>
                <w:lang w:val="en-US" w:eastAsia="zh-CN"/>
              </w:rPr>
              <w:t>13</w:t>
            </w:r>
            <w:r>
              <w:rPr>
                <w:rFonts w:hint="eastAsia" w:cs="微软雅黑"/>
                <w:b/>
                <w:bCs/>
                <w:spacing w:val="5"/>
                <w:sz w:val="19"/>
                <w:szCs w:val="19"/>
                <w:lang w:val="en-US" w:eastAsia="zh-CN"/>
              </w:rPr>
              <w:t>：</w:t>
            </w:r>
            <w:r>
              <w:rPr>
                <w:rFonts w:hint="eastAsia" w:ascii="微软雅黑" w:hAnsi="微软雅黑" w:eastAsia="微软雅黑" w:cs="微软雅黑"/>
                <w:b/>
                <w:bCs/>
                <w:spacing w:val="5"/>
                <w:sz w:val="19"/>
                <w:szCs w:val="19"/>
                <w:lang w:val="en-US" w:eastAsia="zh-CN"/>
              </w:rPr>
              <w:t>00</w:t>
            </w:r>
          </w:p>
        </w:tc>
        <w:tc>
          <w:tcPr>
            <w:tcW w:w="6679" w:type="dxa"/>
            <w:shd w:val="clear" w:color="auto" w:fill="D3EAFF"/>
            <w:vAlign w:val="top"/>
          </w:tcPr>
          <w:p>
            <w:pPr>
              <w:pStyle w:val="12"/>
              <w:spacing w:before="224" w:line="179" w:lineRule="auto"/>
              <w:jc w:val="center"/>
              <w:rPr>
                <w:rFonts w:hint="default" w:eastAsia="微软雅黑"/>
                <w:sz w:val="19"/>
                <w:szCs w:val="19"/>
                <w:lang w:val="en-US" w:eastAsia="zh-CN"/>
              </w:rPr>
            </w:pPr>
            <w:r>
              <w:rPr>
                <w:rFonts w:hint="eastAsia"/>
                <w:sz w:val="19"/>
                <w:szCs w:val="19"/>
                <w:lang w:val="en-US" w:eastAsia="zh-CN"/>
              </w:rPr>
              <w:t>17:00 欧元区4月失业率</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9" w:hRule="atLeast"/>
        </w:trPr>
        <w:tc>
          <w:tcPr>
            <w:tcW w:w="1567" w:type="dxa"/>
            <w:vAlign w:val="top"/>
          </w:tcPr>
          <w:p>
            <w:pPr>
              <w:pStyle w:val="12"/>
              <w:spacing w:before="228" w:line="191" w:lineRule="auto"/>
              <w:ind w:left="449" w:leftChars="0"/>
              <w:rPr>
                <w:rFonts w:hint="eastAsia" w:ascii="微软雅黑" w:hAnsi="微软雅黑" w:eastAsia="微软雅黑" w:cs="微软雅黑"/>
                <w:snapToGrid w:val="0"/>
                <w:color w:val="000000"/>
                <w:kern w:val="0"/>
                <w:sz w:val="19"/>
                <w:szCs w:val="19"/>
                <w:lang w:val="en-US" w:eastAsia="zh-CN" w:bidi="ar-SA"/>
              </w:rPr>
            </w:pPr>
            <w:r>
              <w:rPr>
                <w:rFonts w:hint="eastAsia" w:ascii="微软雅黑" w:hAnsi="微软雅黑" w:eastAsia="微软雅黑" w:cs="微软雅黑"/>
                <w:b/>
                <w:bCs/>
                <w:spacing w:val="3"/>
                <w:sz w:val="19"/>
                <w:szCs w:val="19"/>
              </w:rPr>
              <w:t>2024/</w:t>
            </w:r>
            <w:r>
              <w:rPr>
                <w:rFonts w:hint="eastAsia" w:ascii="微软雅黑" w:hAnsi="微软雅黑" w:eastAsia="微软雅黑" w:cs="微软雅黑"/>
                <w:b/>
                <w:bCs/>
                <w:spacing w:val="3"/>
                <w:sz w:val="19"/>
                <w:szCs w:val="19"/>
                <w:lang w:val="en-US" w:eastAsia="zh-CN"/>
              </w:rPr>
              <w:t>5</w:t>
            </w:r>
            <w:r>
              <w:rPr>
                <w:rFonts w:hint="eastAsia" w:ascii="微软雅黑" w:hAnsi="微软雅黑" w:eastAsia="微软雅黑" w:cs="微软雅黑"/>
                <w:b/>
                <w:bCs/>
                <w:spacing w:val="3"/>
                <w:sz w:val="19"/>
                <w:szCs w:val="19"/>
              </w:rPr>
              <w:t>/</w:t>
            </w:r>
            <w:r>
              <w:rPr>
                <w:rFonts w:hint="eastAsia" w:ascii="微软雅黑" w:hAnsi="微软雅黑" w:eastAsia="微软雅黑" w:cs="微软雅黑"/>
                <w:b/>
                <w:bCs/>
                <w:spacing w:val="3"/>
                <w:sz w:val="19"/>
                <w:szCs w:val="19"/>
                <w:lang w:val="en-US" w:eastAsia="zh-CN"/>
              </w:rPr>
              <w:t>30</w:t>
            </w:r>
          </w:p>
        </w:tc>
        <w:tc>
          <w:tcPr>
            <w:tcW w:w="1143" w:type="dxa"/>
            <w:vAlign w:val="top"/>
          </w:tcPr>
          <w:p>
            <w:pPr>
              <w:pStyle w:val="12"/>
              <w:spacing w:before="243" w:line="172" w:lineRule="auto"/>
              <w:ind w:left="94" w:leftChars="0"/>
              <w:jc w:val="left"/>
              <w:rPr>
                <w:rFonts w:hint="eastAsia" w:ascii="微软雅黑" w:hAnsi="微软雅黑" w:eastAsia="微软雅黑" w:cs="微软雅黑"/>
                <w:snapToGrid w:val="0"/>
                <w:color w:val="000000"/>
                <w:kern w:val="0"/>
                <w:sz w:val="19"/>
                <w:szCs w:val="19"/>
                <w:lang w:val="en-US" w:eastAsia="zh-CN" w:bidi="ar-SA"/>
              </w:rPr>
            </w:pPr>
            <w:r>
              <w:rPr>
                <w:rFonts w:hint="eastAsia" w:ascii="微软雅黑" w:hAnsi="微软雅黑" w:eastAsia="微软雅黑" w:cs="微软雅黑"/>
                <w:b/>
                <w:bCs/>
                <w:spacing w:val="5"/>
                <w:sz w:val="19"/>
                <w:szCs w:val="19"/>
                <w:lang w:val="en-US" w:eastAsia="zh-CN"/>
              </w:rPr>
              <w:t>20：55</w:t>
            </w:r>
          </w:p>
        </w:tc>
        <w:tc>
          <w:tcPr>
            <w:tcW w:w="6679" w:type="dxa"/>
            <w:vAlign w:val="top"/>
          </w:tcPr>
          <w:p>
            <w:pPr>
              <w:pStyle w:val="12"/>
              <w:spacing w:before="224" w:line="179" w:lineRule="auto"/>
              <w:jc w:val="center"/>
              <w:rPr>
                <w:rFonts w:hint="default" w:eastAsia="微软雅黑"/>
                <w:sz w:val="19"/>
                <w:szCs w:val="19"/>
                <w:lang w:val="en-US" w:eastAsia="zh-CN"/>
              </w:rPr>
            </w:pPr>
            <w:r>
              <w:rPr>
                <w:rFonts w:hint="eastAsia"/>
              </w:rPr>
              <w:t>17:00 欧元区5月工业及经济景气指数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9" w:hRule="atLeast"/>
        </w:trPr>
        <w:tc>
          <w:tcPr>
            <w:tcW w:w="1567" w:type="dxa"/>
            <w:shd w:val="clear" w:color="auto" w:fill="D3EAFF"/>
            <w:vAlign w:val="top"/>
          </w:tcPr>
          <w:p>
            <w:pPr>
              <w:pStyle w:val="12"/>
              <w:spacing w:before="228" w:line="191" w:lineRule="auto"/>
              <w:ind w:left="449" w:leftChars="0"/>
              <w:rPr>
                <w:rFonts w:hint="eastAsia" w:ascii="微软雅黑" w:hAnsi="微软雅黑" w:eastAsia="微软雅黑" w:cs="微软雅黑"/>
                <w:b/>
                <w:bCs/>
                <w:spacing w:val="3"/>
                <w:sz w:val="19"/>
                <w:szCs w:val="19"/>
                <w:lang w:val="en-US"/>
              </w:rPr>
            </w:pPr>
            <w:r>
              <w:rPr>
                <w:rFonts w:hint="eastAsia" w:ascii="微软雅黑" w:hAnsi="微软雅黑" w:eastAsia="微软雅黑" w:cs="微软雅黑"/>
                <w:b/>
                <w:bCs/>
                <w:spacing w:val="3"/>
                <w:sz w:val="19"/>
                <w:szCs w:val="19"/>
              </w:rPr>
              <w:t>2024/</w:t>
            </w:r>
            <w:r>
              <w:rPr>
                <w:rFonts w:hint="eastAsia" w:ascii="微软雅黑" w:hAnsi="微软雅黑" w:eastAsia="微软雅黑" w:cs="微软雅黑"/>
                <w:b/>
                <w:bCs/>
                <w:spacing w:val="3"/>
                <w:sz w:val="19"/>
                <w:szCs w:val="19"/>
                <w:lang w:val="en-US" w:eastAsia="zh-CN"/>
              </w:rPr>
              <w:t>5</w:t>
            </w:r>
            <w:r>
              <w:rPr>
                <w:rFonts w:hint="eastAsia" w:ascii="微软雅黑" w:hAnsi="微软雅黑" w:eastAsia="微软雅黑" w:cs="微软雅黑"/>
                <w:b/>
                <w:bCs/>
                <w:spacing w:val="3"/>
                <w:sz w:val="19"/>
                <w:szCs w:val="19"/>
              </w:rPr>
              <w:t>/</w:t>
            </w:r>
            <w:r>
              <w:rPr>
                <w:rFonts w:hint="eastAsia" w:ascii="微软雅黑" w:hAnsi="微软雅黑" w:eastAsia="微软雅黑" w:cs="微软雅黑"/>
                <w:b/>
                <w:bCs/>
                <w:spacing w:val="3"/>
                <w:sz w:val="19"/>
                <w:szCs w:val="19"/>
                <w:lang w:val="en-US" w:eastAsia="zh-CN"/>
              </w:rPr>
              <w:t>30</w:t>
            </w:r>
          </w:p>
        </w:tc>
        <w:tc>
          <w:tcPr>
            <w:tcW w:w="1143" w:type="dxa"/>
            <w:shd w:val="clear" w:color="auto" w:fill="D3EAFF"/>
            <w:vAlign w:val="top"/>
          </w:tcPr>
          <w:p>
            <w:pPr>
              <w:pStyle w:val="12"/>
              <w:spacing w:before="243" w:line="172" w:lineRule="auto"/>
              <w:ind w:left="94" w:leftChars="0"/>
              <w:jc w:val="left"/>
              <w:rPr>
                <w:rFonts w:hint="eastAsia" w:ascii="微软雅黑" w:hAnsi="微软雅黑" w:eastAsia="微软雅黑" w:cs="微软雅黑"/>
                <w:b/>
                <w:bCs/>
                <w:spacing w:val="3"/>
                <w:sz w:val="19"/>
                <w:szCs w:val="19"/>
                <w:lang w:val="en-US" w:eastAsia="zh-CN"/>
              </w:rPr>
            </w:pPr>
            <w:r>
              <w:rPr>
                <w:rFonts w:hint="eastAsia" w:ascii="微软雅黑" w:hAnsi="微软雅黑" w:eastAsia="微软雅黑" w:cs="微软雅黑"/>
                <w:b/>
                <w:bCs/>
                <w:spacing w:val="5"/>
                <w:sz w:val="19"/>
                <w:szCs w:val="19"/>
                <w:lang w:val="en-US" w:eastAsia="zh-CN"/>
              </w:rPr>
              <w:t>21：00</w:t>
            </w:r>
          </w:p>
        </w:tc>
        <w:tc>
          <w:tcPr>
            <w:tcW w:w="6679" w:type="dxa"/>
            <w:shd w:val="clear" w:color="auto" w:fill="D3EAFF"/>
            <w:vAlign w:val="top"/>
          </w:tcPr>
          <w:p>
            <w:pPr>
              <w:pStyle w:val="12"/>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 xml:space="preserve"> 20:30 美国至5月25日当周初请失业金人数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9" w:hRule="atLeast"/>
        </w:trPr>
        <w:tc>
          <w:tcPr>
            <w:tcW w:w="1567" w:type="dxa"/>
            <w:shd w:val="clear" w:color="auto" w:fill="auto"/>
            <w:vAlign w:val="top"/>
          </w:tcPr>
          <w:p>
            <w:pPr>
              <w:pStyle w:val="12"/>
              <w:spacing w:before="228" w:line="191" w:lineRule="auto"/>
              <w:ind w:left="449" w:leftChars="0"/>
              <w:rPr>
                <w:rFonts w:hint="eastAsia" w:ascii="微软雅黑" w:hAnsi="微软雅黑" w:eastAsia="微软雅黑" w:cs="微软雅黑"/>
                <w:b/>
                <w:bCs/>
                <w:snapToGrid w:val="0"/>
                <w:color w:val="000000"/>
                <w:spacing w:val="3"/>
                <w:kern w:val="0"/>
                <w:sz w:val="19"/>
                <w:szCs w:val="19"/>
                <w:lang w:val="en-US" w:eastAsia="en-US" w:bidi="ar-SA"/>
              </w:rPr>
            </w:pPr>
            <w:r>
              <w:rPr>
                <w:rFonts w:hint="eastAsia" w:ascii="微软雅黑" w:hAnsi="微软雅黑" w:eastAsia="微软雅黑" w:cs="微软雅黑"/>
                <w:b/>
                <w:bCs/>
                <w:spacing w:val="3"/>
                <w:sz w:val="19"/>
                <w:szCs w:val="19"/>
              </w:rPr>
              <w:t>2024/</w:t>
            </w:r>
            <w:r>
              <w:rPr>
                <w:rFonts w:hint="eastAsia" w:ascii="微软雅黑" w:hAnsi="微软雅黑" w:eastAsia="微软雅黑" w:cs="微软雅黑"/>
                <w:b/>
                <w:bCs/>
                <w:spacing w:val="3"/>
                <w:sz w:val="19"/>
                <w:szCs w:val="19"/>
                <w:lang w:val="en-US" w:eastAsia="zh-CN"/>
              </w:rPr>
              <w:t>5</w:t>
            </w:r>
            <w:r>
              <w:rPr>
                <w:rFonts w:hint="eastAsia" w:ascii="微软雅黑" w:hAnsi="微软雅黑" w:eastAsia="微软雅黑" w:cs="微软雅黑"/>
                <w:b/>
                <w:bCs/>
                <w:spacing w:val="3"/>
                <w:sz w:val="19"/>
                <w:szCs w:val="19"/>
              </w:rPr>
              <w:t>/</w:t>
            </w:r>
            <w:r>
              <w:rPr>
                <w:rFonts w:hint="eastAsia" w:ascii="微软雅黑" w:hAnsi="微软雅黑" w:eastAsia="微软雅黑" w:cs="微软雅黑"/>
                <w:b/>
                <w:bCs/>
                <w:spacing w:val="3"/>
                <w:sz w:val="19"/>
                <w:szCs w:val="19"/>
                <w:lang w:val="en-US" w:eastAsia="zh-CN"/>
              </w:rPr>
              <w:t>30</w:t>
            </w:r>
          </w:p>
        </w:tc>
        <w:tc>
          <w:tcPr>
            <w:tcW w:w="1143" w:type="dxa"/>
            <w:shd w:val="clear" w:color="auto" w:fill="auto"/>
            <w:vAlign w:val="top"/>
          </w:tcPr>
          <w:p>
            <w:pPr>
              <w:pStyle w:val="12"/>
              <w:spacing w:before="243" w:line="172" w:lineRule="auto"/>
              <w:ind w:left="94" w:leftChars="0"/>
              <w:jc w:val="left"/>
              <w:rPr>
                <w:rFonts w:hint="eastAsia" w:ascii="微软雅黑" w:hAnsi="微软雅黑" w:eastAsia="微软雅黑" w:cs="微软雅黑"/>
                <w:b/>
                <w:bCs/>
                <w:snapToGrid w:val="0"/>
                <w:color w:val="000000"/>
                <w:spacing w:val="3"/>
                <w:kern w:val="0"/>
                <w:sz w:val="19"/>
                <w:szCs w:val="19"/>
                <w:lang w:val="en-US" w:eastAsia="zh-CN" w:bidi="ar-SA"/>
              </w:rPr>
            </w:pPr>
            <w:r>
              <w:rPr>
                <w:rFonts w:hint="eastAsia" w:ascii="微软雅黑" w:hAnsi="微软雅黑" w:eastAsia="微软雅黑" w:cs="微软雅黑"/>
                <w:b/>
                <w:bCs/>
                <w:spacing w:val="5"/>
                <w:sz w:val="19"/>
                <w:szCs w:val="19"/>
                <w:lang w:val="en-US" w:eastAsia="zh-CN"/>
              </w:rPr>
              <w:t>22：00</w:t>
            </w:r>
          </w:p>
        </w:tc>
        <w:tc>
          <w:tcPr>
            <w:tcW w:w="6679" w:type="dxa"/>
            <w:shd w:val="clear" w:color="auto" w:fill="auto"/>
            <w:vAlign w:val="top"/>
          </w:tcPr>
          <w:p>
            <w:pPr>
              <w:pStyle w:val="12"/>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 xml:space="preserve"> 20:30 美国第一季度实际GDP年化季率修正值</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9" w:hRule="atLeast"/>
        </w:trPr>
        <w:tc>
          <w:tcPr>
            <w:tcW w:w="1567" w:type="dxa"/>
            <w:shd w:val="clear" w:color="auto" w:fill="FFFFFF"/>
            <w:vAlign w:val="top"/>
          </w:tcPr>
          <w:p>
            <w:pPr>
              <w:pStyle w:val="12"/>
              <w:spacing w:before="228" w:line="191" w:lineRule="auto"/>
              <w:ind w:left="449" w:leftChars="0"/>
              <w:rPr>
                <w:rFonts w:hint="eastAsia" w:ascii="微软雅黑" w:hAnsi="微软雅黑" w:eastAsia="微软雅黑" w:cs="微软雅黑"/>
                <w:b/>
                <w:bCs/>
                <w:snapToGrid w:val="0"/>
                <w:color w:val="000000"/>
                <w:spacing w:val="3"/>
                <w:kern w:val="0"/>
                <w:sz w:val="19"/>
                <w:szCs w:val="19"/>
                <w:lang w:val="en-US" w:eastAsia="en-US" w:bidi="ar-SA"/>
              </w:rPr>
            </w:pPr>
            <w:r>
              <w:rPr>
                <w:rFonts w:hint="eastAsia" w:ascii="微软雅黑" w:hAnsi="微软雅黑" w:eastAsia="微软雅黑" w:cs="微软雅黑"/>
                <w:b/>
                <w:bCs/>
                <w:spacing w:val="3"/>
                <w:sz w:val="19"/>
                <w:szCs w:val="19"/>
              </w:rPr>
              <w:t>2024/</w:t>
            </w:r>
            <w:r>
              <w:rPr>
                <w:rFonts w:hint="eastAsia" w:ascii="微软雅黑" w:hAnsi="微软雅黑" w:eastAsia="微软雅黑" w:cs="微软雅黑"/>
                <w:b/>
                <w:bCs/>
                <w:spacing w:val="3"/>
                <w:sz w:val="19"/>
                <w:szCs w:val="19"/>
                <w:lang w:val="en-US" w:eastAsia="zh-CN"/>
              </w:rPr>
              <w:t>5</w:t>
            </w:r>
            <w:r>
              <w:rPr>
                <w:rFonts w:hint="eastAsia" w:ascii="微软雅黑" w:hAnsi="微软雅黑" w:eastAsia="微软雅黑" w:cs="微软雅黑"/>
                <w:b/>
                <w:bCs/>
                <w:spacing w:val="3"/>
                <w:sz w:val="19"/>
                <w:szCs w:val="19"/>
              </w:rPr>
              <w:t>/</w:t>
            </w:r>
            <w:r>
              <w:rPr>
                <w:rFonts w:hint="eastAsia" w:ascii="微软雅黑" w:hAnsi="微软雅黑" w:eastAsia="微软雅黑" w:cs="微软雅黑"/>
                <w:b/>
                <w:bCs/>
                <w:spacing w:val="3"/>
                <w:sz w:val="19"/>
                <w:szCs w:val="19"/>
                <w:lang w:val="en-US" w:eastAsia="zh-CN"/>
              </w:rPr>
              <w:t>31</w:t>
            </w:r>
          </w:p>
        </w:tc>
        <w:tc>
          <w:tcPr>
            <w:tcW w:w="1143" w:type="dxa"/>
            <w:shd w:val="clear" w:color="auto" w:fill="FFFFFF"/>
            <w:vAlign w:val="top"/>
          </w:tcPr>
          <w:p>
            <w:pPr>
              <w:pStyle w:val="12"/>
              <w:spacing w:before="243" w:line="172" w:lineRule="auto"/>
              <w:ind w:left="94" w:leftChars="0"/>
              <w:jc w:val="left"/>
              <w:rPr>
                <w:rFonts w:hint="eastAsia" w:ascii="微软雅黑" w:hAnsi="微软雅黑" w:eastAsia="微软雅黑" w:cs="微软雅黑"/>
                <w:b/>
                <w:bCs/>
                <w:spacing w:val="5"/>
                <w:sz w:val="19"/>
                <w:szCs w:val="19"/>
                <w:lang w:val="en-US" w:eastAsia="zh-CN"/>
              </w:rPr>
            </w:pPr>
            <w:r>
              <w:rPr>
                <w:rFonts w:hint="eastAsia" w:ascii="微软雅黑" w:hAnsi="微软雅黑" w:eastAsia="微软雅黑" w:cs="微软雅黑"/>
                <w:b/>
                <w:bCs/>
                <w:sz w:val="19"/>
                <w:szCs w:val="19"/>
                <w:lang w:val="en-US" w:eastAsia="zh-CN"/>
              </w:rPr>
              <w:t>00</w:t>
            </w:r>
            <w:r>
              <w:rPr>
                <w:rFonts w:hint="eastAsia" w:cs="微软雅黑"/>
                <w:b/>
                <w:bCs/>
                <w:sz w:val="19"/>
                <w:szCs w:val="19"/>
                <w:lang w:val="en-US" w:eastAsia="zh-CN"/>
              </w:rPr>
              <w:t>：</w:t>
            </w:r>
            <w:r>
              <w:rPr>
                <w:rFonts w:hint="eastAsia" w:ascii="微软雅黑" w:hAnsi="微软雅黑" w:eastAsia="微软雅黑" w:cs="微软雅黑"/>
                <w:b/>
                <w:bCs/>
                <w:sz w:val="19"/>
                <w:szCs w:val="19"/>
                <w:lang w:val="en-US" w:eastAsia="zh-CN"/>
              </w:rPr>
              <w:t xml:space="preserve">05 </w:t>
            </w:r>
          </w:p>
        </w:tc>
        <w:tc>
          <w:tcPr>
            <w:tcW w:w="6679" w:type="dxa"/>
            <w:shd w:val="clear" w:color="auto" w:fill="FFFFFF"/>
            <w:vAlign w:val="top"/>
          </w:tcPr>
          <w:p>
            <w:pPr>
              <w:pStyle w:val="12"/>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美联储威廉姆斯发表讲话</w:t>
            </w:r>
          </w:p>
        </w:tc>
      </w:tr>
    </w:tbl>
    <w:p>
      <w:pPr>
        <w:spacing w:before="120" w:line="190" w:lineRule="auto"/>
        <w:rPr>
          <w:rFonts w:ascii="微软雅黑" w:hAnsi="微软雅黑" w:eastAsia="微软雅黑" w:cs="微软雅黑"/>
          <w:color w:val="036EB8"/>
          <w:position w:val="-4"/>
          <w:sz w:val="28"/>
          <w:szCs w:val="28"/>
        </w:rPr>
      </w:pP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8" name="IM 14"/>
            <wp:cNvGraphicFramePr/>
            <a:graphic xmlns:a="http://schemas.openxmlformats.org/drawingml/2006/main">
              <a:graphicData uri="http://schemas.openxmlformats.org/drawingml/2006/picture">
                <pic:pic xmlns:pic="http://schemas.openxmlformats.org/drawingml/2006/picture">
                  <pic:nvPicPr>
                    <pic:cNvPr id="8"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观点汇总</w:t>
      </w: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美元指数</w:t>
      </w:r>
    </w:p>
    <w:p>
      <w:pPr>
        <w:spacing w:line="360" w:lineRule="auto"/>
        <w:ind w:firstLine="420" w:firstLineChars="0"/>
        <w:rPr>
          <w:rFonts w:hint="eastAsia" w:ascii="微软雅黑" w:hAnsi="微软雅黑" w:eastAsia="微软雅黑" w:cs="微软雅黑"/>
          <w:i w:val="0"/>
          <w:iCs w:val="0"/>
          <w:caps w:val="0"/>
          <w:color w:val="2C3E50"/>
          <w:spacing w:val="0"/>
          <w:sz w:val="24"/>
          <w:szCs w:val="24"/>
          <w:shd w:val="clear" w:fill="FFFFFF"/>
        </w:rPr>
      </w:pPr>
      <w:r>
        <w:rPr>
          <w:rFonts w:hint="eastAsia" w:ascii="微软雅黑" w:hAnsi="微软雅黑" w:eastAsia="微软雅黑" w:cs="微软雅黑"/>
          <w:i w:val="0"/>
          <w:iCs w:val="0"/>
          <w:caps w:val="0"/>
          <w:color w:val="2C3E50"/>
          <w:spacing w:val="0"/>
          <w:sz w:val="24"/>
          <w:szCs w:val="24"/>
          <w:shd w:val="clear" w:fill="FFFFFF"/>
        </w:rPr>
        <w:t>截至周四美元指数涨0.47%报105.13，非美货币普遍下跌，欧元兑美元跌0.51%报1.0801，英镑兑美元跌0.47%报1.2700，澳元兑美元跌0.6%报0.6610，美元兑日元涨0.33%报157.67。近期美债拍卖结果不及预期，市场对美债的需求有所下降，整体国债收益率抬升。美国5月里奇蒙德联储制造业指数为0，为2023年10月以来新高，高于预期-6及前值-7，制造业维持复苏趋势或继续后继通胀下行阻力。除此之外，美联储发布的经济状况“褐皮书”显示，全美的经济活动从4月初至5月中旬持续扩张，大多数地区报告经济活动略有增长，两个地区报告经济活动没有变化，整体经济韧性犹存。往后看，短期内受美债拍卖结果影响，长端美债收益率或持续上涨，叠加当前美国经济尚未显著放缓，利率预期回升导致美国与非美国家利差走阔或利多美元指数上涨。</w:t>
      </w:r>
    </w:p>
    <w:p>
      <w:pPr>
        <w:spacing w:before="235" w:line="176" w:lineRule="auto"/>
        <w:jc w:val="both"/>
        <w:rPr>
          <w:rFonts w:hint="default" w:ascii="微软雅黑" w:hAnsi="微软雅黑" w:eastAsia="微软雅黑" w:cs="微软雅黑"/>
          <w:spacing w:val="12"/>
          <w:sz w:val="24"/>
          <w:szCs w:val="24"/>
          <w:lang w:val="en-US" w:eastAsia="zh-CN"/>
        </w:rPr>
      </w:pPr>
      <w:r>
        <w:rPr>
          <w:rFonts w:ascii="微软雅黑" w:hAnsi="微软雅黑" w:eastAsia="微软雅黑" w:cs="微软雅黑"/>
          <w:spacing w:val="7"/>
          <w:sz w:val="21"/>
          <w:szCs w:val="21"/>
        </w:rPr>
        <w:t>图表</w:t>
      </w:r>
      <w:r>
        <w:rPr>
          <w:rFonts w:hint="eastAsia" w:ascii="微软雅黑" w:hAnsi="微软雅黑" w:eastAsia="微软雅黑" w:cs="微软雅黑"/>
          <w:spacing w:val="7"/>
          <w:sz w:val="21"/>
          <w:szCs w:val="21"/>
          <w:lang w:val="en-US" w:eastAsia="zh-CN"/>
        </w:rPr>
        <w:t>2</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美元指数走势图</w:t>
      </w:r>
    </w:p>
    <w:p>
      <w:pPr>
        <w:spacing w:before="103" w:line="256" w:lineRule="auto"/>
        <w:ind w:right="743"/>
        <w:jc w:val="both"/>
      </w:pPr>
      <w:r>
        <w:drawing>
          <wp:inline distT="0" distB="0" distL="114300" distR="114300">
            <wp:extent cx="5267960" cy="2818765"/>
            <wp:effectExtent l="0" t="0" r="8890"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3"/>
                    <a:stretch>
                      <a:fillRect/>
                    </a:stretch>
                  </pic:blipFill>
                  <pic:spPr>
                    <a:xfrm>
                      <a:off x="0" y="0"/>
                      <a:ext cx="5267960" cy="2818765"/>
                    </a:xfrm>
                    <a:prstGeom prst="rect">
                      <a:avLst/>
                    </a:prstGeom>
                    <a:noFill/>
                    <a:ln>
                      <a:noFill/>
                    </a:ln>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资料来源</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wind、瑞达国际</w:t>
      </w:r>
    </w:p>
    <w:p>
      <w:pPr>
        <w:spacing w:before="120" w:line="190" w:lineRule="auto"/>
        <w:jc w:val="both"/>
        <w:rPr>
          <w:rFonts w:hint="eastAsia" w:ascii="微软雅黑" w:hAnsi="微软雅黑" w:eastAsia="微软雅黑" w:cs="微软雅黑"/>
          <w:spacing w:val="7"/>
          <w:sz w:val="21"/>
          <w:szCs w:val="21"/>
          <w:lang w:val="en-US" w:eastAsia="zh-CN"/>
        </w:rPr>
      </w:pP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b/>
          <w:bCs/>
          <w:spacing w:val="12"/>
          <w:sz w:val="24"/>
          <w:szCs w:val="24"/>
          <w:lang w:val="en-US" w:eastAsia="zh-CN"/>
        </w:rPr>
        <w:t>S&amp;P500</w:t>
      </w:r>
    </w:p>
    <w:p>
      <w:pPr>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sz w:val="24"/>
          <w:szCs w:val="24"/>
        </w:rPr>
        <w:t>截至5月30日，标普500指数收跌0.74%至5266.95点；迷你标普500主力合约收跌1.01%至5270.00点。美股周三收跌，道指下跌超过410点。美债收益率攀升令股指承压，10年期美债收益率连续第二天上涨并突破4.6%。英伟达再创新高，但未能扭转大盘颓势。投资者继续关注美股财报与美联储降息时机和幅度等因素。策略上，短线逢低做多为主。</w:t>
      </w:r>
    </w:p>
    <w:p>
      <w:pPr>
        <w:spacing w:before="103" w:line="256" w:lineRule="auto"/>
        <w:ind w:right="743"/>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3</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S&amp;P500走势图</w:t>
      </w:r>
    </w:p>
    <w:p>
      <w:pPr>
        <w:spacing w:before="120" w:line="190" w:lineRule="auto"/>
        <w:jc w:val="both"/>
        <w:rPr>
          <w:rFonts w:ascii="新宋体" w:hAnsi="新宋体" w:eastAsia="新宋体"/>
          <w:b/>
        </w:rPr>
      </w:pPr>
      <w:r>
        <w:rPr>
          <w:rFonts w:ascii="新宋体" w:hAnsi="新宋体" w:eastAsia="新宋体"/>
          <w:b/>
        </w:rPr>
        <w:drawing>
          <wp:inline distT="0" distB="0" distL="0" distR="0">
            <wp:extent cx="6486525" cy="2061845"/>
            <wp:effectExtent l="0" t="0" r="9525" b="146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4"/>
                    <a:stretch>
                      <a:fillRect/>
                    </a:stretch>
                  </pic:blipFill>
                  <pic:spPr>
                    <a:xfrm>
                      <a:off x="0" y="0"/>
                      <a:ext cx="6486525" cy="2061845"/>
                    </a:xfrm>
                    <a:prstGeom prst="rect">
                      <a:avLst/>
                    </a:prstGeom>
                  </pic:spPr>
                </pic:pic>
              </a:graphicData>
            </a:graphic>
          </wp:inline>
        </w:drawing>
      </w:r>
    </w:p>
    <w:p>
      <w:pPr>
        <w:spacing w:before="120" w:line="190" w:lineRule="auto"/>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spacing w:val="7"/>
          <w:sz w:val="21"/>
          <w:szCs w:val="21"/>
          <w:lang w:val="en-US" w:eastAsia="zh-CN"/>
        </w:rPr>
        <w:t xml:space="preserve"> 资料来源：wind、瑞达国际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富时中国A50</w:t>
      </w:r>
    </w:p>
    <w:p>
      <w:pPr>
        <w:spacing w:line="360" w:lineRule="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截至5月29日，富时中国A50指数收涨0.20%至12625.84点；新交所富时A50期指主力合约收涨0.21%至12621点</w:t>
      </w:r>
      <w:r>
        <w:rPr>
          <w:rFonts w:hint="eastAsia" w:ascii="微软雅黑" w:hAnsi="微软雅黑" w:eastAsia="微软雅黑" w:cs="微软雅黑"/>
          <w:bCs/>
          <w:sz w:val="24"/>
          <w:szCs w:val="24"/>
        </w:rPr>
        <w:t>。近期，A股市场未发生重大政策面影响，整体消息面较为平静，市场面临上行驱动力不足的问题。海外方面，美联储降息路径分歧主导资金博弈，对A股外资流入形成压力，加剧了政策空窗期下A股上行阻力。后续需要关注的重点有，地产政策转向的效果及后续进一步的政策应对有待验证，关注三中全会各项改革方针的推出，以及海内外地缘政治环境对市场风险偏好的影响。</w:t>
      </w:r>
      <w:r>
        <w:rPr>
          <w:rFonts w:hint="eastAsia" w:ascii="微软雅黑" w:hAnsi="微软雅黑" w:eastAsia="微软雅黑" w:cs="微软雅黑"/>
          <w:sz w:val="24"/>
          <w:szCs w:val="24"/>
        </w:rPr>
        <w:t>策略上，短线观望为主。</w:t>
      </w:r>
    </w:p>
    <w:p>
      <w:pPr>
        <w:spacing w:before="103" w:line="256" w:lineRule="auto"/>
        <w:ind w:right="743"/>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4</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富时中国A50走势图</w:t>
      </w:r>
    </w:p>
    <w:p>
      <w:pPr>
        <w:spacing w:before="103" w:line="256" w:lineRule="auto"/>
        <w:ind w:right="743"/>
        <w:jc w:val="both"/>
        <w:rPr>
          <w:rFonts w:ascii="新宋体" w:hAnsi="新宋体" w:eastAsia="新宋体"/>
        </w:rPr>
      </w:pPr>
      <w:r>
        <w:rPr>
          <w:rFonts w:ascii="新宋体" w:hAnsi="新宋体" w:eastAsia="新宋体"/>
        </w:rPr>
        <w:drawing>
          <wp:inline distT="0" distB="0" distL="0" distR="0">
            <wp:extent cx="5274310" cy="1683385"/>
            <wp:effectExtent l="0" t="0" r="2540" b="1206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5"/>
                    <a:stretch>
                      <a:fillRect/>
                    </a:stretch>
                  </pic:blipFill>
                  <pic:spPr>
                    <a:xfrm>
                      <a:off x="0" y="0"/>
                      <a:ext cx="5274310" cy="1683385"/>
                    </a:xfrm>
                    <a:prstGeom prst="rect">
                      <a:avLst/>
                    </a:prstGeom>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 xml:space="preserve"> 资料来源：wind、瑞达国际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新宋体" w:hAnsi="新宋体" w:eastAsia="新宋体"/>
        </w:rPr>
      </w:pPr>
      <w:r>
        <w:rPr>
          <w:rFonts w:hint="eastAsia" w:ascii="微软雅黑" w:hAnsi="微软雅黑" w:eastAsia="微软雅黑" w:cs="微软雅黑"/>
          <w:b/>
          <w:bCs/>
          <w:spacing w:val="12"/>
          <w:sz w:val="24"/>
          <w:szCs w:val="24"/>
          <w:lang w:val="en-US" w:eastAsia="zh-CN"/>
        </w:rPr>
        <w:t>铜</w:t>
      </w:r>
    </w:p>
    <w:p>
      <w:pPr>
        <w:spacing w:line="36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隔夜COMEX铜震荡走弱，报收4.778美元/磅，涨跌幅-1.59%。国际方面，美联储褐皮书：美国经济活动继续扩张，但企业对经济前景愈发悲观。报告期内物价温和上涨，预计近期物价将继续温和增长。国内方面，国务院印发《2024—2025年节能降碳行动方案》：逐步取消各地新能源汽车购买限制；从严控制铜、氧化铝等冶炼新增产能；2024年继续实施粗钢产量调控。库存方面，截至5月29日，LME铜库存为117300吨，环比+2550吨；COMEX铜库存17887短吨，环比-631短吨；SHFE每日仓单231515吨，环比+4800吨。美元指数整体上先跌后涨，涨跌幅+0.024%，报104.62。美元指数连续第二个交易日反弹，收涨0.487%，报105.14。美债遭遇抛售潮，收益率多数收涨，10年期美债收益率最终收报4.619%，创本月初以来新高。对美联储政策利率最敏感的2年期美债收益率一度触及5%大关，最终收报4.981%。操作上，建议COMEX铜2407合约轻仓震荡偏多交易，注意交易节奏及风险控制。</w:t>
      </w: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5：</w:t>
      </w:r>
      <w:r>
        <w:rPr>
          <w:rFonts w:hint="eastAsia" w:ascii="微软雅黑" w:hAnsi="微软雅黑" w:eastAsia="微软雅黑" w:cs="微软雅黑"/>
          <w:spacing w:val="7"/>
          <w:sz w:val="21"/>
          <w:szCs w:val="21"/>
        </w:rPr>
        <w:t>铜日线走势图</w:t>
      </w:r>
    </w:p>
    <w:p>
      <w:pPr>
        <w:spacing w:before="103" w:line="256" w:lineRule="auto"/>
        <w:ind w:right="743"/>
        <w:jc w:val="both"/>
      </w:pPr>
      <w:r>
        <w:drawing>
          <wp:inline distT="0" distB="0" distL="0" distR="0">
            <wp:extent cx="6186170" cy="2194560"/>
            <wp:effectExtent l="0" t="0" r="5080" b="152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6"/>
                    <a:stretch>
                      <a:fillRect/>
                    </a:stretch>
                  </pic:blipFill>
                  <pic:spPr>
                    <a:xfrm>
                      <a:off x="0" y="0"/>
                      <a:ext cx="6186170" cy="2196674"/>
                    </a:xfrm>
                    <a:prstGeom prst="rect">
                      <a:avLst/>
                    </a:prstGeom>
                  </pic:spPr>
                </pic:pic>
              </a:graphicData>
            </a:graphic>
          </wp:inline>
        </w:drawing>
      </w:r>
    </w:p>
    <w:p>
      <w:pPr>
        <w:spacing w:before="120" w:line="190" w:lineRule="auto"/>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spacing w:val="7"/>
          <w:sz w:val="21"/>
          <w:szCs w:val="21"/>
          <w:lang w:val="en-US" w:eastAsia="zh-CN"/>
        </w:rPr>
        <w:t xml:space="preserve"> 资料来源：同花顺、瑞达国际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黄金</w:t>
      </w:r>
    </w:p>
    <w:p>
      <w:pPr>
        <w:spacing w:line="360" w:lineRule="auto"/>
        <w:ind w:firstLine="420" w:firstLineChars="0"/>
        <w:rPr>
          <w:rFonts w:hint="eastAsia" w:ascii="微软雅黑" w:hAnsi="微软雅黑" w:eastAsia="微软雅黑" w:cs="微软雅黑"/>
          <w:b w:val="0"/>
          <w:bCs w:val="0"/>
          <w:i w:val="0"/>
          <w:iCs w:val="0"/>
          <w:caps w:val="0"/>
          <w:color w:val="000000" w:themeColor="text1"/>
          <w:spacing w:val="0"/>
          <w:sz w:val="24"/>
          <w:szCs w:val="24"/>
          <w:shd w:val="clear" w:fill="FFFFFF"/>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14:textFill>
            <w14:solidFill>
              <w14:schemeClr w14:val="tx1"/>
            </w14:solidFill>
          </w14:textFill>
        </w:rPr>
        <w:t>消息面：</w:t>
      </w:r>
      <w:r>
        <w:rPr>
          <w:rFonts w:hint="eastAsia" w:ascii="微软雅黑" w:hAnsi="微软雅黑" w:eastAsia="微软雅黑" w:cs="微软雅黑"/>
          <w:i w:val="0"/>
          <w:iCs w:val="0"/>
          <w:caps w:val="0"/>
          <w:color w:val="2C3E50"/>
          <w:spacing w:val="0"/>
          <w:sz w:val="24"/>
          <w:szCs w:val="24"/>
          <w:shd w:val="clear" w:fill="FFFFFF"/>
        </w:rPr>
        <w:t>截至周四美元指数涨0.47%报105.13，非美货币普遍下跌，欧元兑美元跌0.51%报1.0801，英镑兑美元跌0.47%报1.2700，澳元兑美元跌0.6%报0.6610，美元兑日元涨0.33%报157.67。近期美债拍卖结果不及预期，市场对美债的需求有所下降，整体国债收益率抬升。美国5月里奇蒙德联储制造业指数为0，为2023年10月以来新高，高于预期-6及前值-7，制造业维持复苏趋势或继续后继通胀下行阻力。除此之外，美联储发布的经济状况“褐皮书”显示，全美的经济活动从4月初至5月中旬持续扩张，大多数地区报告经济活动略有增长，两个地区报告经济活动没有变化，整体经济韧性犹存。</w:t>
      </w:r>
    </w:p>
    <w:p>
      <w:pPr>
        <w:spacing w:line="360" w:lineRule="auto"/>
        <w:jc w:val="both"/>
        <w:rPr>
          <w:rFonts w:hint="eastAsia" w:ascii="微软雅黑" w:hAnsi="微软雅黑" w:eastAsia="微软雅黑" w:cs="微软雅黑"/>
          <w:b w:val="0"/>
          <w:bCs w:val="0"/>
          <w:color w:val="000000" w:themeColor="text1"/>
          <w:sz w:val="24"/>
          <w:szCs w:val="24"/>
          <w14:textFill>
            <w14:solidFill>
              <w14:schemeClr w14:val="tx1"/>
            </w14:solidFill>
          </w14:textFill>
        </w:rPr>
      </w:pPr>
      <w:r>
        <w:rPr>
          <w:rFonts w:hint="eastAsia" w:ascii="微软雅黑" w:hAnsi="微软雅黑" w:eastAsia="微软雅黑" w:cs="微软雅黑"/>
          <w:b w:val="0"/>
          <w:bCs w:val="0"/>
          <w:i w:val="0"/>
          <w:iCs w:val="0"/>
          <w:caps w:val="0"/>
          <w:color w:val="000000" w:themeColor="text1"/>
          <w:spacing w:val="0"/>
          <w:sz w:val="24"/>
          <w:szCs w:val="24"/>
          <w:shd w:val="clear" w:fill="FFFFFF"/>
          <w:lang w:val="en-US" w:eastAsia="zh-CN"/>
          <w14:textFill>
            <w14:solidFill>
              <w14:schemeClr w14:val="tx1"/>
            </w14:solidFill>
          </w14:textFill>
        </w:rPr>
        <w:tab/>
      </w:r>
      <w:r>
        <w:rPr>
          <w:rFonts w:hint="eastAsia" w:ascii="微软雅黑" w:hAnsi="微软雅黑" w:eastAsia="微软雅黑" w:cs="微软雅黑"/>
          <w:b w:val="0"/>
          <w:bCs w:val="0"/>
          <w:color w:val="000000" w:themeColor="text1"/>
          <w:sz w:val="24"/>
          <w:szCs w:val="24"/>
          <w14:textFill>
            <w14:solidFill>
              <w14:schemeClr w14:val="tx1"/>
            </w14:solidFill>
          </w14:textFill>
        </w:rPr>
        <w:t>外盘持仓方面：截至</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5</w:t>
      </w:r>
      <w:r>
        <w:rPr>
          <w:rFonts w:hint="eastAsia" w:ascii="微软雅黑" w:hAnsi="微软雅黑" w:eastAsia="微软雅黑" w:cs="微软雅黑"/>
          <w:b w:val="0"/>
          <w:bCs w:val="0"/>
          <w:color w:val="000000" w:themeColor="text1"/>
          <w:sz w:val="24"/>
          <w:szCs w:val="24"/>
          <w14:textFill>
            <w14:solidFill>
              <w14:schemeClr w14:val="tx1"/>
            </w14:solidFill>
          </w14:textFill>
        </w:rPr>
        <w:t>月</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28</w:t>
      </w:r>
      <w:r>
        <w:rPr>
          <w:rFonts w:hint="eastAsia" w:ascii="微软雅黑" w:hAnsi="微软雅黑" w:eastAsia="微软雅黑" w:cs="微软雅黑"/>
          <w:b w:val="0"/>
          <w:bCs w:val="0"/>
          <w:color w:val="000000" w:themeColor="text1"/>
          <w:sz w:val="24"/>
          <w:szCs w:val="24"/>
          <w14:textFill>
            <w14:solidFill>
              <w14:schemeClr w14:val="tx1"/>
            </w14:solidFill>
          </w14:textFill>
        </w:rPr>
        <w:t>日，SPDR Gold Trust黄金ETF持仓量为</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832.21</w:t>
      </w:r>
      <w:r>
        <w:rPr>
          <w:rFonts w:hint="eastAsia" w:ascii="微软雅黑" w:hAnsi="微软雅黑" w:eastAsia="微软雅黑" w:cs="微软雅黑"/>
          <w:b w:val="0"/>
          <w:bCs w:val="0"/>
          <w:color w:val="000000" w:themeColor="text1"/>
          <w:sz w:val="24"/>
          <w:szCs w:val="24"/>
          <w14:textFill>
            <w14:solidFill>
              <w14:schemeClr w14:val="tx1"/>
            </w14:solidFill>
          </w14:textFill>
        </w:rPr>
        <w:t>吨</w:t>
      </w:r>
      <w:r>
        <w:rPr>
          <w:rFonts w:hint="eastAsia" w:ascii="微软雅黑" w:hAnsi="微软雅黑" w:eastAsia="微软雅黑" w:cs="微软雅黑"/>
          <w:b w:val="0"/>
          <w:bCs w:val="0"/>
          <w:color w:val="000000" w:themeColor="text1"/>
          <w:sz w:val="24"/>
          <w:szCs w:val="24"/>
          <w:lang w:eastAsia="zh-CN"/>
          <w14:textFill>
            <w14:solidFill>
              <w14:schemeClr w14:val="tx1"/>
            </w14:solidFill>
          </w14:textFill>
        </w:rPr>
        <w:t>，</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较</w:t>
      </w:r>
      <w:r>
        <w:rPr>
          <w:rFonts w:hint="eastAsia" w:ascii="微软雅黑" w:hAnsi="微软雅黑" w:eastAsia="微软雅黑" w:cs="微软雅黑"/>
          <w:b w:val="0"/>
          <w:bCs w:val="0"/>
          <w:color w:val="000000" w:themeColor="text1"/>
          <w:sz w:val="24"/>
          <w:szCs w:val="24"/>
          <w14:textFill>
            <w14:solidFill>
              <w14:schemeClr w14:val="tx1"/>
            </w14:solidFill>
          </w14:textFill>
        </w:rPr>
        <w:t>上一交易</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日持平</w:t>
      </w:r>
      <w:r>
        <w:rPr>
          <w:rFonts w:hint="eastAsia" w:ascii="微软雅黑" w:hAnsi="微软雅黑" w:eastAsia="微软雅黑" w:cs="微软雅黑"/>
          <w:b w:val="0"/>
          <w:bCs w:val="0"/>
          <w:color w:val="000000" w:themeColor="text1"/>
          <w:sz w:val="24"/>
          <w:szCs w:val="24"/>
          <w14:textFill>
            <w14:solidFill>
              <w14:schemeClr w14:val="tx1"/>
            </w14:solidFill>
          </w14:textFill>
        </w:rPr>
        <w:t>。</w:t>
      </w:r>
    </w:p>
    <w:p>
      <w:pPr>
        <w:spacing w:line="360" w:lineRule="auto"/>
        <w:ind w:firstLine="420" w:firstLineChars="0"/>
        <w:jc w:val="both"/>
        <w:rPr>
          <w:rFonts w:hint="eastAsia" w:ascii="Helvetica" w:hAnsi="Helvetica" w:eastAsia="Helvetica" w:cs="Helvetica"/>
          <w:i w:val="0"/>
          <w:iCs w:val="0"/>
          <w:caps w:val="0"/>
          <w:color w:val="2C3E50"/>
          <w:spacing w:val="0"/>
          <w:sz w:val="24"/>
          <w:szCs w:val="24"/>
          <w:shd w:val="clear" w:fill="FFFFFF"/>
        </w:rPr>
      </w:pPr>
      <w:r>
        <w:rPr>
          <w:rFonts w:hint="eastAsia" w:ascii="微软雅黑" w:hAnsi="微软雅黑" w:eastAsia="微软雅黑" w:cs="微软雅黑"/>
          <w:i w:val="0"/>
          <w:iCs w:val="0"/>
          <w:caps w:val="0"/>
          <w:color w:val="2C3E50"/>
          <w:spacing w:val="0"/>
          <w:sz w:val="24"/>
          <w:szCs w:val="24"/>
          <w:shd w:val="clear" w:fill="FFFFFF"/>
        </w:rPr>
        <w:t>往后看，短期内受美债拍卖结果影响，长端美债收益率或持续上涨，叠加当前美国经济尚未显著放缓，利率预期回升导致美国与非美国家利差走阔或利多美元指数上涨，贵金属价格或相对承压。操作上建议，日内轻仓做空，请投资者注意风险控制。</w:t>
      </w: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7"/>
          <w:sz w:val="21"/>
          <w:szCs w:val="21"/>
        </w:rPr>
        <w:t>图6</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rPr>
        <w:t>COMEX黄金日线走势图</w:t>
      </w:r>
      <w:r>
        <w:rPr>
          <w:rFonts w:hint="eastAsia" w:ascii="微软雅黑" w:hAnsi="微软雅黑" w:eastAsia="微软雅黑" w:cs="微软雅黑"/>
          <w:spacing w:val="7"/>
          <w:sz w:val="21"/>
          <w:szCs w:val="21"/>
          <w:lang w:val="en-US" w:eastAsia="zh-CN"/>
        </w:rPr>
        <w:t xml:space="preserve">  </w:t>
      </w:r>
    </w:p>
    <w:p>
      <w:pPr>
        <w:spacing w:before="103" w:line="256" w:lineRule="auto"/>
        <w:ind w:right="743"/>
        <w:jc w:val="both"/>
      </w:pPr>
      <w:r>
        <w:drawing>
          <wp:inline distT="0" distB="0" distL="114300" distR="114300">
            <wp:extent cx="6427470" cy="2266315"/>
            <wp:effectExtent l="0" t="0" r="11430" b="63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7"/>
                    <a:stretch>
                      <a:fillRect/>
                    </a:stretch>
                  </pic:blipFill>
                  <pic:spPr>
                    <a:xfrm>
                      <a:off x="0" y="0"/>
                      <a:ext cx="6427470" cy="2266315"/>
                    </a:xfrm>
                    <a:prstGeom prst="rect">
                      <a:avLst/>
                    </a:prstGeom>
                    <a:noFill/>
                    <a:ln>
                      <a:noFill/>
                    </a:ln>
                  </pic:spPr>
                </pic:pic>
              </a:graphicData>
            </a:graphic>
          </wp:inline>
        </w:drawing>
      </w:r>
    </w:p>
    <w:p>
      <w:pPr>
        <w:spacing w:before="120" w:line="190" w:lineRule="auto"/>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default" w:ascii="微软雅黑" w:hAnsi="微软雅黑" w:eastAsia="微软雅黑" w:cs="微软雅黑"/>
          <w:spacing w:val="12"/>
          <w:sz w:val="24"/>
          <w:szCs w:val="24"/>
          <w:lang w:val="en-US" w:eastAsia="zh-CN"/>
        </w:rPr>
      </w:pPr>
      <w:r>
        <w:rPr>
          <w:rFonts w:hint="eastAsia" w:ascii="微软雅黑" w:hAnsi="微软雅黑" w:eastAsia="微软雅黑" w:cs="微软雅黑"/>
          <w:b/>
          <w:bCs/>
          <w:spacing w:val="12"/>
          <w:sz w:val="24"/>
          <w:szCs w:val="24"/>
          <w:lang w:val="en-US" w:eastAsia="zh-CN"/>
        </w:rPr>
        <w:t>原油</w:t>
      </w:r>
    </w:p>
    <w:p>
      <w:pPr>
        <w:jc w:val="left"/>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截至收盘，纽约商品期货交易所（NYMEX）成交最活跃的西得克萨斯中质原油（WTI）7月合约下跌0.62美元或0.74%，报83.60美元/桶。7月布伦特原油下跌0.60美元或0.75%，报79.23美元/桶。</w:t>
      </w:r>
    </w:p>
    <w:p>
      <w:pPr>
        <w:ind w:firstLine="480" w:firstLineChars="200"/>
        <w:jc w:val="left"/>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美国消费者信心在连续三个月恶化后，5月份意外改善，但是对通胀的担忧持续存在，许多美国家庭预计明年利率会上升。</w:t>
      </w:r>
    </w:p>
    <w:p>
      <w:pPr>
        <w:jc w:val="left"/>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能源咨询机构Gelber的一份报告称，市场对美联储首次降息时间的预期不断推迟。</w:t>
      </w:r>
    </w:p>
    <w:p>
      <w:pPr>
        <w:jc w:val="left"/>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与此同时，由于美国汽油需求令人担忧，汽油期货价格徘徊在最近两个月的低点附近，衡量炼油利润率的裂解价差也跌至2月份以来的最低水平。</w:t>
      </w:r>
    </w:p>
    <w:p>
      <w:pPr>
        <w:jc w:val="left"/>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能源咨询公司里滕布施的分析师表示，随着季节性看涨因素减弱，汽油需求仍然出人意料地疲软，供应量接近正常水平。</w:t>
      </w:r>
    </w:p>
    <w:p>
      <w:pPr>
        <w:jc w:val="left"/>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投资者正在等待周五公布的美国4月份个人消费支出(PCE)价格指数报告，这也是美联储首选的通胀指标。经济学家预计4月份的PCE保持稳定。</w:t>
      </w:r>
    </w:p>
    <w:p>
      <w:pPr>
        <w:jc w:val="left"/>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过去几个月来，市场对于美联储降息的预期一直摇摆不定。美联储政策制定者对通胀粘性持谨慎态度，认为需要更长时间来确认通胀将会回到2%的目标，然后才会降息。</w:t>
      </w:r>
    </w:p>
    <w:p>
      <w:pPr>
        <w:jc w:val="left"/>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市场人士在等待美国石油学会(API)周三盘后发布的库存报告。分析师预测，截至5月24日当周，美国原油库存可能减少200万桶。相比之下，去年同期原油库存增加了450万桶，过去五年（2019-2023年）平均增加了110万桶。</w:t>
      </w:r>
    </w:p>
    <w:p>
      <w:pPr>
        <w:jc w:val="left"/>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欧佩克联盟将在6月2日（周日）举行会议，交易商和分析师普遍预期欧佩克联盟将会延续当前约220万桶/日的减产。</w:t>
      </w:r>
    </w:p>
    <w:p>
      <w:pPr>
        <w:jc w:val="left"/>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中东紧张局势加剧，抑制了原油价格的下跌空间。</w:t>
      </w:r>
    </w:p>
    <w:p>
      <w:pPr>
        <w:jc w:val="left"/>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尽管国际社会普遍反对，以色列依然派出坦克袭击拉法，并且表示和哈马斯武装的战争将持续一整年。与此同时，胡塞武装在三个不同的海域对六艘船只发动袭击。半官方的伊朗塔斯尼姆通讯社称，德黑兰已经将海射弹道导弹Ghadr提供给胡塞武装。</w:t>
      </w:r>
    </w:p>
    <w:p>
      <w:pPr>
        <w:jc w:val="left"/>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本月迄今布伦特原油（近期合约）下跌4.85%，今年迄今上涨8.52%，周三收盘价比去年同期上涨15.06%，但是比2008年7月3日的历史最高点146.08美元下跌42.77%。</w:t>
      </w:r>
    </w:p>
    <w:p>
      <w:pPr>
        <w:jc w:val="left"/>
      </w:pPr>
      <w:r>
        <w:rPr>
          <w:rFonts w:hint="eastAsia" w:ascii="微软雅黑" w:hAnsi="微软雅黑" w:eastAsia="微软雅黑" w:cs="微软雅黑"/>
          <w:color w:val="000000"/>
          <w:sz w:val="24"/>
          <w:szCs w:val="24"/>
        </w:rPr>
        <w:t>本月迄今WTI原油下跌3.30%，今年迄今上涨10.58%，周三收盘价比去年同期上涨16.36%，但是仍然比2008年7月3日的历史高点145.29美元下跌45.47%。</w:t>
      </w:r>
    </w:p>
    <w:p>
      <w:pPr>
        <w:spacing w:before="103" w:line="256" w:lineRule="auto"/>
        <w:ind w:right="743"/>
        <w:jc w:val="both"/>
      </w:pPr>
      <w:r>
        <w:rPr>
          <w:rFonts w:hint="eastAsia" w:ascii="微软雅黑" w:hAnsi="微软雅黑" w:eastAsia="微软雅黑" w:cs="微软雅黑"/>
          <w:spacing w:val="7"/>
          <w:sz w:val="21"/>
          <w:szCs w:val="21"/>
          <w:lang w:val="en-US" w:eastAsia="zh-CN"/>
        </w:rPr>
        <w:t>图7：原油（WTI）走势图</w:t>
      </w:r>
    </w:p>
    <w:p>
      <w:pPr>
        <w:spacing w:before="103" w:line="256" w:lineRule="auto"/>
        <w:ind w:right="743"/>
        <w:jc w:val="both"/>
        <w:rPr>
          <w:rFonts w:hint="eastAsia"/>
        </w:rPr>
      </w:pPr>
      <w:r>
        <w:drawing>
          <wp:inline distT="0" distB="0" distL="0" distR="0">
            <wp:extent cx="6243320" cy="2626995"/>
            <wp:effectExtent l="0" t="0" r="5080" b="190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8"/>
                    <a:stretch>
                      <a:fillRect/>
                    </a:stretch>
                  </pic:blipFill>
                  <pic:spPr>
                    <a:xfrm>
                      <a:off x="0" y="0"/>
                      <a:ext cx="6243320" cy="2626995"/>
                    </a:xfrm>
                    <a:prstGeom prst="rect">
                      <a:avLst/>
                    </a:prstGeom>
                  </pic:spPr>
                </pic:pic>
              </a:graphicData>
            </a:graphic>
          </wp:inline>
        </w:drawing>
      </w:r>
    </w:p>
    <w:p>
      <w:pPr>
        <w:spacing w:before="120" w:line="190" w:lineRule="auto"/>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b/>
          <w:bCs/>
          <w:spacing w:val="7"/>
          <w:sz w:val="24"/>
          <w:szCs w:val="24"/>
          <w:lang w:val="en-US" w:eastAsia="zh-CN"/>
        </w:rPr>
        <w:t>原糖</w:t>
      </w:r>
    </w:p>
    <w:p>
      <w:pPr>
        <w:spacing w:line="360" w:lineRule="auto"/>
        <w:ind w:firstLine="420" w:firstLineChars="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洲际期货交易所（ICE）原糖期货周三收跌，巴西产量强劲提振了糖供应。交投最活跃的ICE 7月原糖期货合约收盘收跌0.38美分或2.0%，结算价每磅18.35美分。新榨季巴西糖供应逐渐提升，强劲的生产力预计带来利空。不过当前主产国天气将影响短期价格波动，且对产量预期不一致。</w:t>
      </w:r>
    </w:p>
    <w:p>
      <w:pPr>
        <w:spacing w:line="360" w:lineRule="auto"/>
        <w:ind w:firstLine="420" w:firstLineChars="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美糖主力价格关注上方阻力20.5美分/磅，下方支撑17.5美分/磅。操作上，建议7月 ICE 原糖短期暂且观望。</w:t>
      </w:r>
    </w:p>
    <w:p>
      <w:pPr>
        <w:spacing w:line="360" w:lineRule="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ICE美糖主力合约价格走势图及支撑位和阻力位</w:t>
      </w:r>
    </w:p>
    <w:p>
      <w:pPr>
        <w:spacing w:before="103" w:line="256" w:lineRule="auto"/>
        <w:ind w:right="743"/>
        <w:jc w:val="both"/>
        <w:rPr>
          <w:rFonts w:hint="eastAsia" w:ascii="微软雅黑" w:hAnsi="微软雅黑" w:eastAsia="微软雅黑" w:cs="微软雅黑"/>
          <w:sz w:val="24"/>
          <w:szCs w:val="24"/>
          <w:lang w:val="en-US" w:eastAsia="zh-CN"/>
        </w:rPr>
      </w:pPr>
      <w:r>
        <w:rPr>
          <w:rFonts w:hint="eastAsia" w:ascii="微软雅黑" w:hAnsi="微软雅黑" w:eastAsia="微软雅黑" w:cs="微软雅黑"/>
          <w:spacing w:val="7"/>
          <w:sz w:val="21"/>
          <w:szCs w:val="21"/>
          <w:lang w:val="en-US" w:eastAsia="zh-CN"/>
        </w:rPr>
        <w:t>图8：ICE糖走势图</w:t>
      </w:r>
    </w:p>
    <w:p>
      <w:pPr>
        <w:rPr>
          <w:rFonts w:hint="eastAsia"/>
          <w:lang w:val="en-US" w:eastAsia="zh-CN"/>
        </w:rPr>
      </w:pPr>
      <w:r>
        <w:rPr>
          <w:rFonts w:hint="eastAsia"/>
          <w:lang w:val="en-US" w:eastAsia="zh-CN"/>
        </w:rPr>
        <w:drawing>
          <wp:inline distT="0" distB="0" distL="114300" distR="114300">
            <wp:extent cx="5268595" cy="1852930"/>
            <wp:effectExtent l="0" t="0" r="8255" b="13970"/>
            <wp:docPr id="23" name="图片 2" descr="QQ截图20240530080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descr="QQ截图20240530080215"/>
                    <pic:cNvPicPr>
                      <a:picLocks noChangeAspect="1"/>
                    </pic:cNvPicPr>
                  </pic:nvPicPr>
                  <pic:blipFill>
                    <a:blip r:embed="rId19"/>
                    <a:stretch>
                      <a:fillRect/>
                    </a:stretch>
                  </pic:blipFill>
                  <pic:spPr>
                    <a:xfrm>
                      <a:off x="0" y="0"/>
                      <a:ext cx="5268595" cy="1852930"/>
                    </a:xfrm>
                    <a:prstGeom prst="rect">
                      <a:avLst/>
                    </a:prstGeom>
                    <a:noFill/>
                    <a:ln>
                      <a:noFill/>
                    </a:ln>
                  </pic:spPr>
                </pic:pic>
              </a:graphicData>
            </a:graphic>
          </wp:inline>
        </w:drawing>
      </w:r>
    </w:p>
    <w:p>
      <w:pPr>
        <w:spacing w:before="120" w:line="190" w:lineRule="auto"/>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20" w:line="190" w:lineRule="auto"/>
        <w:jc w:val="both"/>
        <w:rPr>
          <w:rFonts w:hint="eastAsia" w:ascii="微软雅黑" w:hAnsi="微软雅黑" w:eastAsia="微软雅黑" w:cs="微软雅黑"/>
          <w:b/>
          <w:bCs/>
          <w:spacing w:val="7"/>
          <w:sz w:val="24"/>
          <w:szCs w:val="24"/>
          <w:lang w:val="en-US" w:eastAsia="zh-CN"/>
        </w:rPr>
      </w:pPr>
      <w:r>
        <w:rPr>
          <w:rFonts w:hint="eastAsia" w:ascii="微软雅黑" w:hAnsi="微软雅黑" w:eastAsia="微软雅黑" w:cs="微软雅黑"/>
          <w:b/>
          <w:bCs/>
          <w:spacing w:val="7"/>
          <w:sz w:val="24"/>
          <w:szCs w:val="24"/>
          <w:lang w:val="en-US" w:eastAsia="zh-CN"/>
        </w:rPr>
        <w:t>棉花</w:t>
      </w:r>
    </w:p>
    <w:p>
      <w:pPr>
        <w:spacing w:line="360" w:lineRule="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洲际交易所(ICE)棉花期货周三下滑，从前一日触及的逾一个月高位回撤，因美元走强，及股市下滑加剧市场悲观情绪。交投最活跃的ICE 7月期棉收跌1.33美分或1.60%，结算价报81.10美分/磅。</w:t>
      </w:r>
    </w:p>
    <w:p>
      <w:pPr>
        <w:spacing w:line="360" w:lineRule="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据美国农业部(USDA)报告显示，2024年5月10-16日，2023/24年度美国陆地棉出口签约量46058吨，较前周增长30%，较前4周平均水平增长19%；2023/24年度美国陆地棉出口装运量46331吨，较前周下降15%，较前4周平均水平下降12%。当周美国棉花出口装运速度放缓，签约量环比增加明显。</w:t>
      </w:r>
    </w:p>
    <w:p>
      <w:pPr>
        <w:spacing w:line="360" w:lineRule="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美棉主力价格关注上方压力86.0美分/磅，下方支撑75.0美分/磅。建议7月 ICE 期棉短期观望。</w:t>
      </w:r>
    </w:p>
    <w:p>
      <w:pPr>
        <w:spacing w:line="360" w:lineRule="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ICE美棉主力合约价格走势图及支撑位和阻力位</w:t>
      </w:r>
    </w:p>
    <w:p>
      <w:pPr>
        <w:spacing w:before="103" w:line="256" w:lineRule="auto"/>
        <w:ind w:right="743"/>
        <w:jc w:val="both"/>
        <w:rPr>
          <w:rFonts w:hint="eastAsia"/>
          <w:lang w:val="en-US" w:eastAsia="zh-CN"/>
        </w:rPr>
      </w:pPr>
      <w:r>
        <w:rPr>
          <w:rFonts w:hint="eastAsia" w:ascii="微软雅黑" w:hAnsi="微软雅黑" w:eastAsia="微软雅黑" w:cs="微软雅黑"/>
          <w:spacing w:val="7"/>
          <w:sz w:val="21"/>
          <w:szCs w:val="21"/>
          <w:lang w:val="en-US" w:eastAsia="zh-CN"/>
        </w:rPr>
        <w:t>图9</w:t>
      </w:r>
      <w:bookmarkStart w:id="0" w:name="_GoBack"/>
      <w:bookmarkEnd w:id="0"/>
      <w:r>
        <w:rPr>
          <w:rFonts w:hint="eastAsia" w:ascii="微软雅黑" w:hAnsi="微软雅黑" w:eastAsia="微软雅黑" w:cs="微软雅黑"/>
          <w:spacing w:val="7"/>
          <w:sz w:val="21"/>
          <w:szCs w:val="21"/>
          <w:lang w:val="en-US" w:eastAsia="zh-CN"/>
        </w:rPr>
        <w:t>：ICE棉走势图</w:t>
      </w:r>
    </w:p>
    <w:p>
      <w:pPr>
        <w:rPr>
          <w:rFonts w:hint="eastAsia"/>
          <w:lang w:val="en-US" w:eastAsia="zh-CN"/>
        </w:rPr>
      </w:pPr>
      <w:r>
        <w:rPr>
          <w:rFonts w:hint="eastAsia"/>
          <w:lang w:val="en-US" w:eastAsia="zh-CN"/>
        </w:rPr>
        <w:drawing>
          <wp:inline distT="0" distB="0" distL="114300" distR="114300">
            <wp:extent cx="5265420" cy="2132965"/>
            <wp:effectExtent l="0" t="0" r="11430" b="635"/>
            <wp:docPr id="24" name="图片 3" descr="QQ截图20240530080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descr="QQ截图20240530080223"/>
                    <pic:cNvPicPr>
                      <a:picLocks noChangeAspect="1"/>
                    </pic:cNvPicPr>
                  </pic:nvPicPr>
                  <pic:blipFill>
                    <a:blip r:embed="rId20"/>
                    <a:stretch>
                      <a:fillRect/>
                    </a:stretch>
                  </pic:blipFill>
                  <pic:spPr>
                    <a:xfrm>
                      <a:off x="0" y="0"/>
                      <a:ext cx="5265420" cy="2132965"/>
                    </a:xfrm>
                    <a:prstGeom prst="rect">
                      <a:avLst/>
                    </a:prstGeom>
                    <a:noFill/>
                    <a:ln>
                      <a:noFill/>
                    </a:ln>
                  </pic:spPr>
                </pic:pic>
              </a:graphicData>
            </a:graphic>
          </wp:inline>
        </w:drawing>
      </w:r>
    </w:p>
    <w:p>
      <w:pPr>
        <w:spacing w:before="120" w:line="190" w:lineRule="auto"/>
        <w:jc w:val="both"/>
        <w:rPr>
          <w:rFonts w:hint="default" w:ascii="微软雅黑" w:hAnsi="微软雅黑" w:eastAsia="微软雅黑" w:cs="微软雅黑"/>
          <w:b/>
          <w:bCs/>
          <w:spacing w:val="7"/>
          <w:sz w:val="24"/>
          <w:szCs w:val="24"/>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20" w:line="190" w:lineRule="auto"/>
        <w:jc w:val="both"/>
        <w:rPr>
          <w:rFonts w:hint="eastAsia" w:ascii="微软雅黑" w:hAnsi="微软雅黑" w:eastAsia="微软雅黑" w:cs="微软雅黑"/>
          <w:spacing w:val="7"/>
          <w:sz w:val="21"/>
          <w:szCs w:val="21"/>
          <w:lang w:val="en-US" w:eastAsia="zh-CN"/>
        </w:rPr>
      </w:pPr>
    </w:p>
    <w:p>
      <w:pPr>
        <w:spacing w:before="120" w:line="190" w:lineRule="auto"/>
        <w:jc w:val="both"/>
        <w:rPr>
          <w:rFonts w:hint="eastAsia" w:ascii="微软雅黑" w:hAnsi="微软雅黑" w:eastAsia="微软雅黑" w:cs="微软雅黑"/>
          <w:spacing w:val="7"/>
          <w:sz w:val="21"/>
          <w:szCs w:val="21"/>
          <w:lang w:val="en-US" w:eastAsia="zh-CN"/>
        </w:rPr>
      </w:pPr>
    </w:p>
    <w:p>
      <w:pPr>
        <w:spacing w:before="120" w:line="190" w:lineRule="auto"/>
        <w:jc w:val="both"/>
        <w:rPr>
          <w:rFonts w:hint="eastAsia" w:ascii="微软雅黑" w:hAnsi="微软雅黑" w:eastAsia="微软雅黑" w:cs="微软雅黑"/>
          <w:spacing w:val="7"/>
          <w:sz w:val="21"/>
          <w:szCs w:val="21"/>
          <w:lang w:val="en-US" w:eastAsia="zh-CN"/>
        </w:rPr>
      </w:pPr>
    </w:p>
    <w:p>
      <w:pPr>
        <w:spacing w:before="120" w:line="190" w:lineRule="auto"/>
        <w:jc w:val="both"/>
        <w:rPr>
          <w:rFonts w:hint="eastAsia" w:ascii="微软雅黑" w:hAnsi="微软雅黑" w:eastAsia="微软雅黑" w:cs="微软雅黑"/>
          <w:spacing w:val="7"/>
          <w:sz w:val="21"/>
          <w:szCs w:val="21"/>
          <w:lang w:val="en-US" w:eastAsia="zh-CN"/>
        </w:rPr>
      </w:pPr>
    </w:p>
    <w:p>
      <w:pPr>
        <w:spacing w:before="120" w:line="190" w:lineRule="auto"/>
        <w:jc w:val="both"/>
        <w:rPr>
          <w:rFonts w:hint="eastAsia" w:ascii="微软雅黑" w:hAnsi="微软雅黑" w:eastAsia="微软雅黑" w:cs="微软雅黑"/>
          <w:spacing w:val="7"/>
          <w:sz w:val="21"/>
          <w:szCs w:val="21"/>
          <w:lang w:val="en-US" w:eastAsia="zh-CN"/>
        </w:rPr>
      </w:pPr>
    </w:p>
    <w:p>
      <w:pPr>
        <w:spacing w:before="120" w:line="190" w:lineRule="auto"/>
        <w:jc w:val="both"/>
        <w:rPr>
          <w:rFonts w:hint="eastAsia" w:ascii="微软雅黑" w:hAnsi="微软雅黑" w:eastAsia="微软雅黑" w:cs="微软雅黑"/>
          <w:spacing w:val="7"/>
          <w:sz w:val="21"/>
          <w:szCs w:val="21"/>
          <w:lang w:val="en-US" w:eastAsia="zh-CN"/>
        </w:rPr>
      </w:pPr>
    </w:p>
    <w:p>
      <w:pPr>
        <w:spacing w:before="120" w:line="190" w:lineRule="auto"/>
        <w:jc w:val="both"/>
        <w:rPr>
          <w:rFonts w:hint="eastAsia" w:ascii="微软雅黑" w:hAnsi="微软雅黑" w:eastAsia="微软雅黑" w:cs="微软雅黑"/>
          <w:spacing w:val="7"/>
          <w:sz w:val="21"/>
          <w:szCs w:val="21"/>
          <w:lang w:val="en-US" w:eastAsia="zh-CN"/>
        </w:rPr>
      </w:pPr>
    </w:p>
    <w:p>
      <w:pPr>
        <w:spacing w:before="120" w:line="190" w:lineRule="auto"/>
        <w:jc w:val="both"/>
        <w:rPr>
          <w:rFonts w:hint="eastAsia" w:ascii="微软雅黑" w:hAnsi="微软雅黑" w:eastAsia="微软雅黑" w:cs="微软雅黑"/>
          <w:spacing w:val="7"/>
          <w:sz w:val="21"/>
          <w:szCs w:val="21"/>
          <w:lang w:val="en-US" w:eastAsia="zh-CN"/>
        </w:rPr>
      </w:pPr>
    </w:p>
    <w:p>
      <w:pPr>
        <w:spacing w:before="120" w:line="190" w:lineRule="auto"/>
        <w:jc w:val="both"/>
        <w:rPr>
          <w:rFonts w:hint="eastAsia" w:ascii="微软雅黑" w:hAnsi="微软雅黑" w:eastAsia="微软雅黑" w:cs="微软雅黑"/>
          <w:spacing w:val="7"/>
          <w:sz w:val="21"/>
          <w:szCs w:val="21"/>
          <w:lang w:val="en-US" w:eastAsia="zh-CN"/>
        </w:rPr>
      </w:pPr>
    </w:p>
    <w:p>
      <w:pPr>
        <w:spacing w:before="120" w:line="190" w:lineRule="auto"/>
        <w:jc w:val="both"/>
        <w:rPr>
          <w:rFonts w:hint="eastAsia" w:ascii="微软雅黑" w:hAnsi="微软雅黑" w:eastAsia="微软雅黑" w:cs="微软雅黑"/>
          <w:spacing w:val="7"/>
          <w:sz w:val="21"/>
          <w:szCs w:val="21"/>
          <w:lang w:val="en-US" w:eastAsia="zh-CN"/>
        </w:rPr>
      </w:pPr>
    </w:p>
    <w:p>
      <w:pPr>
        <w:spacing w:before="120" w:line="190" w:lineRule="auto"/>
        <w:jc w:val="both"/>
        <w:rPr>
          <w:rFonts w:hint="eastAsia" w:ascii="微软雅黑" w:hAnsi="微软雅黑" w:eastAsia="微软雅黑" w:cs="微软雅黑"/>
          <w:spacing w:val="7"/>
          <w:sz w:val="21"/>
          <w:szCs w:val="21"/>
          <w:lang w:val="en-US" w:eastAsia="zh-CN"/>
        </w:rPr>
      </w:pPr>
    </w:p>
    <w:p>
      <w:pPr>
        <w:spacing w:before="120" w:line="190" w:lineRule="auto"/>
        <w:jc w:val="both"/>
        <w:rPr>
          <w:rFonts w:hint="eastAsia" w:ascii="微软雅黑" w:hAnsi="微软雅黑" w:eastAsia="微软雅黑" w:cs="微软雅黑"/>
          <w:spacing w:val="7"/>
          <w:sz w:val="21"/>
          <w:szCs w:val="21"/>
          <w:lang w:val="en-US" w:eastAsia="zh-CN"/>
        </w:rPr>
      </w:pPr>
    </w:p>
    <w:p>
      <w:pPr>
        <w:spacing w:before="120" w:line="190" w:lineRule="auto"/>
        <w:jc w:val="both"/>
        <w:rPr>
          <w:rFonts w:hint="eastAsia" w:ascii="微软雅黑" w:hAnsi="微软雅黑" w:eastAsia="微软雅黑" w:cs="微软雅黑"/>
          <w:spacing w:val="7"/>
          <w:sz w:val="21"/>
          <w:szCs w:val="21"/>
          <w:lang w:val="en-US" w:eastAsia="zh-CN"/>
        </w:rPr>
      </w:pPr>
    </w:p>
    <w:p>
      <w:pPr>
        <w:spacing w:before="120" w:line="190" w:lineRule="auto"/>
        <w:jc w:val="both"/>
        <w:rPr>
          <w:rFonts w:hint="eastAsia" w:ascii="微软雅黑" w:hAnsi="微软雅黑" w:eastAsia="微软雅黑" w:cs="微软雅黑"/>
          <w:spacing w:val="7"/>
          <w:sz w:val="21"/>
          <w:szCs w:val="21"/>
          <w:lang w:val="en-US" w:eastAsia="zh-CN"/>
        </w:rPr>
      </w:pPr>
    </w:p>
    <w:p>
      <w:pPr>
        <w:spacing w:before="120" w:line="190" w:lineRule="auto"/>
        <w:jc w:val="both"/>
        <w:rPr>
          <w:rFonts w:hint="eastAsia" w:ascii="微软雅黑" w:hAnsi="微软雅黑" w:eastAsia="微软雅黑" w:cs="微软雅黑"/>
          <w:spacing w:val="7"/>
          <w:sz w:val="21"/>
          <w:szCs w:val="21"/>
          <w:lang w:val="en-US" w:eastAsia="zh-CN"/>
        </w:rPr>
      </w:pPr>
    </w:p>
    <w:p>
      <w:pPr>
        <w:spacing w:before="120" w:line="190" w:lineRule="auto"/>
        <w:jc w:val="both"/>
        <w:rPr>
          <w:rFonts w:hint="eastAsia" w:ascii="微软雅黑" w:hAnsi="微软雅黑" w:eastAsia="微软雅黑" w:cs="微软雅黑"/>
          <w:spacing w:val="7"/>
          <w:sz w:val="21"/>
          <w:szCs w:val="21"/>
          <w:lang w:val="en-US" w:eastAsia="zh-CN"/>
        </w:rPr>
      </w:pPr>
    </w:p>
    <w:p>
      <w:pPr>
        <w:spacing w:before="120" w:line="190" w:lineRule="auto"/>
        <w:jc w:val="both"/>
        <w:rPr>
          <w:rFonts w:hint="eastAsia" w:ascii="微软雅黑" w:hAnsi="微软雅黑" w:eastAsia="微软雅黑" w:cs="微软雅黑"/>
          <w:spacing w:val="7"/>
          <w:sz w:val="21"/>
          <w:szCs w:val="21"/>
          <w:lang w:val="en-US" w:eastAsia="zh-CN"/>
        </w:rPr>
      </w:pPr>
    </w:p>
    <w:p>
      <w:pPr>
        <w:spacing w:before="120" w:line="190" w:lineRule="auto"/>
        <w:jc w:val="both"/>
        <w:rPr>
          <w:rFonts w:hint="eastAsia" w:ascii="微软雅黑" w:hAnsi="微软雅黑" w:eastAsia="微软雅黑" w:cs="微软雅黑"/>
          <w:spacing w:val="7"/>
          <w:sz w:val="21"/>
          <w:szCs w:val="21"/>
          <w:lang w:val="en-US" w:eastAsia="zh-CN"/>
        </w:rPr>
      </w:pPr>
    </w:p>
    <w:p>
      <w:pPr>
        <w:spacing w:before="120" w:line="190" w:lineRule="auto"/>
        <w:jc w:val="both"/>
        <w:rPr>
          <w:rFonts w:hint="eastAsia" w:ascii="微软雅黑" w:hAnsi="微软雅黑" w:eastAsia="微软雅黑" w:cs="微软雅黑"/>
          <w:spacing w:val="7"/>
          <w:sz w:val="21"/>
          <w:szCs w:val="21"/>
          <w:lang w:val="en-US" w:eastAsia="zh-CN"/>
        </w:rPr>
      </w:pPr>
    </w:p>
    <w:p>
      <w:pPr>
        <w:spacing w:before="120" w:line="190" w:lineRule="auto"/>
        <w:jc w:val="both"/>
        <w:rPr>
          <w:rFonts w:hint="eastAsia" w:ascii="微软雅黑" w:hAnsi="微软雅黑" w:eastAsia="微软雅黑" w:cs="微软雅黑"/>
          <w:spacing w:val="7"/>
          <w:sz w:val="21"/>
          <w:szCs w:val="21"/>
          <w:lang w:val="en-US" w:eastAsia="zh-CN"/>
        </w:rPr>
      </w:pPr>
    </w:p>
    <w:p>
      <w:pPr>
        <w:spacing w:before="120" w:line="190" w:lineRule="auto"/>
        <w:jc w:val="both"/>
        <w:rPr>
          <w:rFonts w:hint="eastAsia" w:ascii="微软雅黑" w:hAnsi="微软雅黑" w:eastAsia="微软雅黑" w:cs="微软雅黑"/>
          <w:spacing w:val="7"/>
          <w:sz w:val="21"/>
          <w:szCs w:val="21"/>
          <w:lang w:val="en-US" w:eastAsia="zh-CN"/>
        </w:rPr>
      </w:pPr>
    </w:p>
    <w:p>
      <w:pPr>
        <w:spacing w:before="120" w:line="190" w:lineRule="auto"/>
        <w:jc w:val="both"/>
        <w:rPr>
          <w:rFonts w:hint="eastAsia" w:ascii="微软雅黑" w:hAnsi="微软雅黑" w:eastAsia="微软雅黑" w:cs="微软雅黑"/>
          <w:spacing w:val="7"/>
          <w:sz w:val="21"/>
          <w:szCs w:val="21"/>
          <w:lang w:val="en-US" w:eastAsia="zh-CN"/>
        </w:rPr>
      </w:pPr>
    </w:p>
    <w:p>
      <w:pPr>
        <w:spacing w:before="120" w:line="190" w:lineRule="auto"/>
        <w:jc w:val="both"/>
        <w:rPr>
          <w:rFonts w:hint="eastAsia" w:ascii="微软雅黑" w:hAnsi="微软雅黑" w:eastAsia="微软雅黑" w:cs="微软雅黑"/>
          <w:spacing w:val="7"/>
          <w:sz w:val="21"/>
          <w:szCs w:val="21"/>
          <w:lang w:val="en-US" w:eastAsia="zh-CN"/>
        </w:rPr>
      </w:pPr>
    </w:p>
    <w:p>
      <w:pPr>
        <w:spacing w:before="120" w:line="190" w:lineRule="auto"/>
        <w:jc w:val="both"/>
        <w:rPr>
          <w:rFonts w:hint="eastAsia" w:ascii="微软雅黑" w:hAnsi="微软雅黑" w:eastAsia="微软雅黑" w:cs="微软雅黑"/>
          <w:spacing w:val="7"/>
          <w:sz w:val="21"/>
          <w:szCs w:val="21"/>
          <w:lang w:val="en-US" w:eastAsia="zh-CN"/>
        </w:rPr>
      </w:pPr>
    </w:p>
    <w:p>
      <w:pPr>
        <w:spacing w:before="120" w:line="190" w:lineRule="auto"/>
        <w:jc w:val="both"/>
        <w:rPr>
          <w:rFonts w:hint="eastAsia" w:ascii="微软雅黑" w:hAnsi="微软雅黑" w:eastAsia="微软雅黑" w:cs="微软雅黑"/>
          <w:spacing w:val="7"/>
          <w:sz w:val="21"/>
          <w:szCs w:val="21"/>
          <w:lang w:val="en-US" w:eastAsia="zh-CN"/>
        </w:rPr>
      </w:pPr>
    </w:p>
    <w:p>
      <w:pPr>
        <w:spacing w:before="120" w:line="190" w:lineRule="auto"/>
        <w:jc w:val="both"/>
        <w:rPr>
          <w:rFonts w:hint="eastAsia" w:ascii="微软雅黑" w:hAnsi="微软雅黑" w:eastAsia="微软雅黑" w:cs="微软雅黑"/>
          <w:spacing w:val="7"/>
          <w:sz w:val="21"/>
          <w:szCs w:val="21"/>
          <w:lang w:val="en-US" w:eastAsia="zh-CN"/>
        </w:rPr>
      </w:pPr>
    </w:p>
    <w:p>
      <w:pPr>
        <w:spacing w:before="172" w:line="417" w:lineRule="exact"/>
        <w:rPr>
          <w:rFonts w:ascii="微软雅黑" w:hAnsi="微软雅黑" w:eastAsia="微软雅黑" w:cs="微软雅黑"/>
          <w:sz w:val="20"/>
          <w:szCs w:val="20"/>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hAnsi="微软雅黑" w:eastAsia="微软雅黑" w:cs="微软雅黑"/>
          <w:b/>
          <w:bCs/>
          <w:color w:val="036EB8"/>
          <w:spacing w:val="19"/>
          <w:sz w:val="28"/>
          <w:szCs w:val="28"/>
        </w:rPr>
        <w:t xml:space="preserve"> </w:t>
      </w:r>
      <w:r>
        <w:rPr>
          <w:rFonts w:ascii="微软雅黑" w:hAnsi="微软雅黑" w:eastAsia="微软雅黑" w:cs="微软雅黑"/>
          <w:color w:val="CE393F"/>
          <w:spacing w:val="8"/>
          <w:position w:val="2"/>
          <w:sz w:val="40"/>
          <w:szCs w:val="40"/>
        </w:rPr>
        <w:t>△</w:t>
      </w:r>
      <w:r>
        <w:rPr>
          <w:rFonts w:ascii="微软雅黑" w:hAnsi="微软雅黑" w:eastAsia="微软雅黑" w:cs="微软雅黑"/>
          <w:color w:val="CE393F"/>
          <w:spacing w:val="-38"/>
          <w:position w:val="2"/>
          <w:sz w:val="40"/>
          <w:szCs w:val="40"/>
        </w:rPr>
        <w:t xml:space="preserve"> </w:t>
      </w:r>
      <w:r>
        <w:rPr>
          <w:rFonts w:ascii="微软雅黑" w:hAnsi="微软雅黑" w:eastAsia="微软雅黑" w:cs="微软雅黑"/>
          <w:spacing w:val="8"/>
          <w:position w:val="2"/>
          <w:sz w:val="20"/>
          <w:szCs w:val="20"/>
        </w:rPr>
        <w:t>免责声明</w:t>
      </w:r>
    </w:p>
    <w:p>
      <w:pPr>
        <w:spacing w:before="63" w:line="193" w:lineRule="auto"/>
        <w:ind w:left="340" w:right="706" w:firstLine="379"/>
        <w:jc w:val="both"/>
        <w:rPr>
          <w:rFonts w:ascii="微软雅黑" w:hAnsi="微软雅黑" w:eastAsia="微软雅黑" w:cs="微软雅黑"/>
          <w:color w:val="898989"/>
          <w:spacing w:val="-8"/>
          <w:sz w:val="18"/>
          <w:szCs w:val="18"/>
        </w:rPr>
      </w:pPr>
      <w:r>
        <w:rPr>
          <w:rFonts w:ascii="微软雅黑" w:hAnsi="微软雅黑" w:eastAsia="微软雅黑" w:cs="微软雅黑"/>
          <w:color w:val="898989"/>
          <w:spacing w:val="3"/>
          <w:sz w:val="18"/>
          <w:szCs w:val="18"/>
        </w:rPr>
        <w:t>此报告由瑞达国际所编制。本报告采用之资料及意见均相信可靠及准确</w:t>
      </w:r>
      <w:r>
        <w:rPr>
          <w:rFonts w:ascii="微软雅黑" w:hAnsi="微软雅黑" w:eastAsia="微软雅黑" w:cs="微软雅黑"/>
          <w:color w:val="898989"/>
          <w:spacing w:val="2"/>
          <w:sz w:val="18"/>
          <w:szCs w:val="18"/>
        </w:rPr>
        <w:t>，但本公司并不对各分析或有关资料之可</w:t>
      </w:r>
      <w:r>
        <w:rPr>
          <w:rFonts w:ascii="微软雅黑" w:hAnsi="微软雅黑" w:eastAsia="微软雅黑" w:cs="微软雅黑"/>
          <w:color w:val="898989"/>
          <w:spacing w:val="3"/>
          <w:sz w:val="18"/>
          <w:szCs w:val="18"/>
        </w:rPr>
        <w:t>靠性及准确性作出全面性保证。本报告只供客户或读者作参考之用，客户或读者不应完全依靠本报告内容作为投</w:t>
      </w:r>
      <w:r>
        <w:rPr>
          <w:rFonts w:ascii="微软雅黑" w:hAnsi="微软雅黑" w:eastAsia="微软雅黑" w:cs="微软雅黑"/>
          <w:color w:val="898989"/>
          <w:spacing w:val="2"/>
          <w:sz w:val="18"/>
          <w:szCs w:val="18"/>
        </w:rPr>
        <w:t>资准</w:t>
      </w:r>
      <w:r>
        <w:rPr>
          <w:rFonts w:ascii="微软雅黑" w:hAnsi="微软雅黑" w:eastAsia="微软雅黑" w:cs="微软雅黑"/>
          <w:color w:val="898989"/>
          <w:spacing w:val="-8"/>
          <w:sz w:val="18"/>
          <w:szCs w:val="18"/>
        </w:rPr>
        <w:t>则。</w:t>
      </w:r>
    </w:p>
    <w:p>
      <w:pPr>
        <w:spacing w:before="63" w:line="193" w:lineRule="auto"/>
        <w:ind w:left="340" w:right="706" w:firstLine="379"/>
        <w:jc w:val="both"/>
        <w:rPr>
          <w:rFonts w:ascii="微软雅黑" w:hAnsi="微软雅黑" w:eastAsia="微软雅黑" w:cs="微软雅黑"/>
          <w:sz w:val="18"/>
          <w:szCs w:val="18"/>
        </w:rPr>
        <w:sectPr>
          <w:headerReference r:id="rId6" w:type="default"/>
          <w:footerReference r:id="rId7" w:type="default"/>
          <w:pgSz w:w="11915" w:h="16837"/>
          <w:pgMar w:top="400" w:right="382" w:bottom="0" w:left="1153" w:header="340" w:footer="340" w:gutter="0"/>
          <w:pgBorders>
            <w:top w:val="none" w:sz="0" w:space="0"/>
            <w:left w:val="none" w:sz="0" w:space="0"/>
            <w:bottom w:val="none" w:sz="0" w:space="0"/>
            <w:right w:val="none" w:sz="0" w:space="0"/>
          </w:pgBorders>
          <w:pgNumType w:fmt="decimal"/>
          <w:cols w:space="720" w:num="1"/>
        </w:sectPr>
      </w:pPr>
      <w:r>
        <w:rPr>
          <w:rFonts w:ascii="微软雅黑" w:hAnsi="微软雅黑" w:eastAsia="微软雅黑" w:cs="微软雅黑"/>
          <w:color w:val="898989"/>
          <w:spacing w:val="3"/>
          <w:sz w:val="18"/>
          <w:szCs w:val="18"/>
        </w:rPr>
        <w:t>本报告之资料及意见如有任何更改，恕不另行通知。本报告并非及并无意图</w:t>
      </w:r>
      <w:r>
        <w:rPr>
          <w:rFonts w:ascii="微软雅黑" w:hAnsi="微软雅黑" w:eastAsia="微软雅黑" w:cs="微软雅黑"/>
          <w:color w:val="898989"/>
          <w:spacing w:val="2"/>
          <w:sz w:val="18"/>
          <w:szCs w:val="18"/>
        </w:rPr>
        <w:t>构成任何作价或招揽进行买卖本报告</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2"/>
          <w:sz w:val="18"/>
          <w:szCs w:val="18"/>
        </w:rPr>
        <w:t>提及的商品。本公司不会对任何因依靠本报告作出任何买卖而引致之任何损失承担任</w:t>
      </w:r>
      <w:r>
        <w:rPr>
          <w:rFonts w:ascii="微软雅黑" w:hAnsi="微软雅黑" w:eastAsia="微软雅黑" w:cs="微软雅黑"/>
          <w:color w:val="898989"/>
          <w:spacing w:val="1"/>
          <w:sz w:val="18"/>
          <w:szCs w:val="18"/>
        </w:rPr>
        <w:t>何责任。</w:t>
      </w:r>
    </w:p>
    <w:p>
      <w:pPr>
        <w:spacing w:before="34" w:line="569" w:lineRule="exact"/>
      </w:pPr>
    </w:p>
    <w:p>
      <w:pPr>
        <w:spacing w:before="34" w:line="569" w:lineRule="exact"/>
        <w:ind w:firstLine="6421"/>
      </w:pPr>
    </w:p>
    <w:p>
      <w:pPr>
        <w:spacing w:line="3052" w:lineRule="exact"/>
        <w:jc w:val="center"/>
      </w:pPr>
      <w:r>
        <w:rPr>
          <w:position w:val="-61"/>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pPr>
        <w:pStyle w:val="3"/>
        <w:spacing w:line="371" w:lineRule="auto"/>
        <w:jc w:val="center"/>
      </w:pPr>
    </w:p>
    <w:p>
      <w:pPr>
        <w:spacing w:before="103" w:line="191" w:lineRule="auto"/>
        <w:jc w:val="center"/>
        <w:rPr>
          <w:rFonts w:ascii="微软雅黑" w:hAnsi="微软雅黑" w:eastAsia="微软雅黑" w:cs="微软雅黑"/>
          <w:sz w:val="24"/>
          <w:szCs w:val="24"/>
        </w:rPr>
      </w:pPr>
      <w:r>
        <w:rPr>
          <w:rFonts w:ascii="微软雅黑" w:hAnsi="微软雅黑" w:eastAsia="微软雅黑" w:cs="微软雅黑"/>
          <w:spacing w:val="7"/>
          <w:sz w:val="24"/>
          <w:szCs w:val="24"/>
        </w:rPr>
        <w:t>24小时客服电话： 00852</w:t>
      </w:r>
      <w:r>
        <w:rPr>
          <w:rFonts w:ascii="微软雅黑" w:hAnsi="微软雅黑" w:eastAsia="微软雅黑" w:cs="微软雅黑"/>
          <w:spacing w:val="-33"/>
          <w:sz w:val="24"/>
          <w:szCs w:val="24"/>
        </w:rPr>
        <w:t xml:space="preserve"> </w:t>
      </w:r>
      <w:r>
        <w:rPr>
          <w:rFonts w:ascii="微软雅黑" w:hAnsi="微软雅黑" w:eastAsia="微软雅黑" w:cs="微软雅黑"/>
          <w:spacing w:val="7"/>
          <w:sz w:val="24"/>
          <w:szCs w:val="24"/>
        </w:rPr>
        <w:t>-</w:t>
      </w:r>
      <w:r>
        <w:rPr>
          <w:rFonts w:ascii="微软雅黑" w:hAnsi="微软雅黑" w:eastAsia="微软雅黑" w:cs="微软雅黑"/>
          <w:spacing w:val="-37"/>
          <w:sz w:val="24"/>
          <w:szCs w:val="24"/>
        </w:rPr>
        <w:t xml:space="preserve"> </w:t>
      </w:r>
      <w:r>
        <w:rPr>
          <w:rFonts w:ascii="微软雅黑" w:hAnsi="微软雅黑" w:eastAsia="微软雅黑" w:cs="微软雅黑"/>
          <w:spacing w:val="7"/>
          <w:sz w:val="24"/>
          <w:szCs w:val="24"/>
        </w:rPr>
        <w:t>25342000/86</w:t>
      </w:r>
      <w:r>
        <w:rPr>
          <w:rFonts w:ascii="微软雅黑" w:hAnsi="微软雅黑" w:eastAsia="微软雅黑" w:cs="微软雅黑"/>
          <w:spacing w:val="-36"/>
          <w:sz w:val="24"/>
          <w:szCs w:val="24"/>
        </w:rPr>
        <w:t xml:space="preserve"> </w:t>
      </w:r>
      <w:r>
        <w:rPr>
          <w:rFonts w:ascii="微软雅黑" w:hAnsi="微软雅黑" w:eastAsia="微软雅黑" w:cs="微软雅黑"/>
          <w:spacing w:val="7"/>
          <w:sz w:val="24"/>
          <w:szCs w:val="24"/>
        </w:rPr>
        <w:t>-</w:t>
      </w:r>
      <w:r>
        <w:rPr>
          <w:rFonts w:ascii="微软雅黑" w:hAnsi="微软雅黑" w:eastAsia="微软雅黑" w:cs="微软雅黑"/>
          <w:spacing w:val="-26"/>
          <w:sz w:val="24"/>
          <w:szCs w:val="24"/>
        </w:rPr>
        <w:t xml:space="preserve"> </w:t>
      </w:r>
      <w:r>
        <w:rPr>
          <w:rFonts w:ascii="微软雅黑" w:hAnsi="微软雅黑" w:eastAsia="微软雅黑" w:cs="微软雅黑"/>
          <w:spacing w:val="7"/>
          <w:sz w:val="24"/>
          <w:szCs w:val="24"/>
        </w:rPr>
        <w:t>13603059885</w:t>
      </w:r>
    </w:p>
    <w:p>
      <w:pPr>
        <w:spacing w:before="233" w:line="175" w:lineRule="auto"/>
        <w:jc w:val="center"/>
        <w:rPr>
          <w:rFonts w:ascii="微软雅黑" w:hAnsi="微软雅黑" w:eastAsia="微软雅黑" w:cs="微软雅黑"/>
          <w:sz w:val="24"/>
          <w:szCs w:val="24"/>
        </w:rPr>
      </w:pPr>
      <w:r>
        <w:rPr>
          <w:rFonts w:ascii="微软雅黑" w:hAnsi="微软雅黑" w:eastAsia="微软雅黑" w:cs="微软雅黑"/>
          <w:spacing w:val="5"/>
          <w:sz w:val="24"/>
          <w:szCs w:val="24"/>
        </w:rPr>
        <w:t>24小时传真电话： 00852</w:t>
      </w:r>
      <w:r>
        <w:rPr>
          <w:rFonts w:ascii="微软雅黑" w:hAnsi="微软雅黑" w:eastAsia="微软雅黑" w:cs="微软雅黑"/>
          <w:spacing w:val="-32"/>
          <w:sz w:val="24"/>
          <w:szCs w:val="24"/>
        </w:rPr>
        <w:t xml:space="preserve"> </w:t>
      </w:r>
      <w:r>
        <w:rPr>
          <w:rFonts w:ascii="微软雅黑" w:hAnsi="微软雅黑" w:eastAsia="微软雅黑" w:cs="微软雅黑"/>
          <w:spacing w:val="5"/>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pacing w:val="5"/>
          <w:sz w:val="24"/>
          <w:szCs w:val="24"/>
        </w:rPr>
        <w:t>25632368</w:t>
      </w:r>
    </w:p>
    <w:p>
      <w:pPr>
        <w:spacing w:before="258" w:line="190" w:lineRule="auto"/>
        <w:jc w:val="center"/>
        <w:rPr>
          <w:rFonts w:ascii="微软雅黑" w:hAnsi="微软雅黑" w:eastAsia="微软雅黑" w:cs="微软雅黑"/>
          <w:sz w:val="24"/>
          <w:szCs w:val="24"/>
        </w:rPr>
      </w:pPr>
      <w:r>
        <w:rPr>
          <w:rFonts w:ascii="微软雅黑" w:hAnsi="微软雅黑" w:eastAsia="微软雅黑" w:cs="微软雅黑"/>
          <w:spacing w:val="13"/>
          <w:sz w:val="24"/>
          <w:szCs w:val="24"/>
        </w:rPr>
        <w:t xml:space="preserve">客服邮箱： </w:t>
      </w:r>
      <w:r>
        <w:rPr>
          <w:rFonts w:ascii="微软雅黑" w:hAnsi="微软雅黑" w:eastAsia="微软雅黑" w:cs="微软雅黑"/>
          <w:sz w:val="24"/>
          <w:szCs w:val="24"/>
        </w:rPr>
        <w:t>cs</w:t>
      </w:r>
      <w:r>
        <w:rPr>
          <w:rFonts w:ascii="微软雅黑" w:hAnsi="微软雅黑" w:eastAsia="微软雅黑" w:cs="微软雅黑"/>
          <w:spacing w:val="13"/>
          <w:sz w:val="24"/>
          <w:szCs w:val="24"/>
        </w:rPr>
        <w:t>@</w:t>
      </w:r>
      <w:r>
        <w:rPr>
          <w:rFonts w:ascii="微软雅黑" w:hAnsi="微软雅黑" w:eastAsia="微软雅黑" w:cs="微软雅黑"/>
          <w:sz w:val="24"/>
          <w:szCs w:val="24"/>
        </w:rPr>
        <w:t>ruida</w:t>
      </w:r>
      <w:r>
        <w:rPr>
          <w:rFonts w:ascii="微软雅黑" w:hAnsi="微软雅黑" w:eastAsia="微软雅黑" w:cs="微软雅黑"/>
          <w:spacing w:val="13"/>
          <w:sz w:val="24"/>
          <w:szCs w:val="24"/>
        </w:rPr>
        <w:t>-</w:t>
      </w:r>
      <w:r>
        <w:rPr>
          <w:rFonts w:ascii="微软雅黑" w:hAnsi="微软雅黑" w:eastAsia="微软雅黑" w:cs="微软雅黑"/>
          <w:spacing w:val="-29"/>
          <w:sz w:val="24"/>
          <w:szCs w:val="24"/>
        </w:rPr>
        <w:t xml:space="preserve"> </w:t>
      </w:r>
      <w:r>
        <w:rPr>
          <w:rFonts w:ascii="微软雅黑" w:hAnsi="微软雅黑" w:eastAsia="微软雅黑" w:cs="微软雅黑"/>
          <w:sz w:val="24"/>
          <w:szCs w:val="24"/>
        </w:rPr>
        <w:t>int</w:t>
      </w:r>
      <w:r>
        <w:rPr>
          <w:rFonts w:ascii="微软雅黑" w:hAnsi="微软雅黑" w:eastAsia="微软雅黑" w:cs="微软雅黑"/>
          <w:spacing w:val="-28"/>
          <w:sz w:val="24"/>
          <w:szCs w:val="24"/>
        </w:rPr>
        <w:t xml:space="preserve"> </w:t>
      </w:r>
      <w:r>
        <w:rPr>
          <w:rFonts w:ascii="微软雅黑" w:hAnsi="微软雅黑" w:eastAsia="微软雅黑" w:cs="微软雅黑"/>
          <w:spacing w:val="13"/>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z w:val="24"/>
          <w:szCs w:val="24"/>
        </w:rPr>
        <w:t>com</w:t>
      </w:r>
    </w:p>
    <w:p>
      <w:pPr>
        <w:spacing w:before="234" w:line="192" w:lineRule="auto"/>
        <w:jc w:val="center"/>
        <w:rPr>
          <w:rFonts w:ascii="微软雅黑" w:hAnsi="微软雅黑" w:eastAsia="微软雅黑" w:cs="微软雅黑"/>
          <w:sz w:val="24"/>
          <w:szCs w:val="24"/>
        </w:rPr>
      </w:pPr>
      <w:r>
        <w:rPr>
          <w:rFonts w:ascii="微软雅黑" w:hAnsi="微软雅黑" w:eastAsia="微软雅黑" w:cs="微软雅黑"/>
          <w:spacing w:val="8"/>
          <w:sz w:val="24"/>
          <w:szCs w:val="24"/>
        </w:rPr>
        <w:t>客服</w:t>
      </w:r>
      <w:r>
        <w:rPr>
          <w:rFonts w:ascii="微软雅黑" w:hAnsi="微软雅黑" w:eastAsia="微软雅黑" w:cs="微软雅黑"/>
          <w:sz w:val="24"/>
          <w:szCs w:val="24"/>
        </w:rPr>
        <w:t>QQ</w:t>
      </w:r>
      <w:r>
        <w:rPr>
          <w:rFonts w:ascii="微软雅黑" w:hAnsi="微软雅黑" w:eastAsia="微软雅黑" w:cs="微软雅黑"/>
          <w:spacing w:val="8"/>
          <w:sz w:val="24"/>
          <w:szCs w:val="24"/>
        </w:rPr>
        <w:t>： 203195058/29384</w:t>
      </w:r>
      <w:r>
        <w:rPr>
          <w:rFonts w:ascii="微软雅黑" w:hAnsi="微软雅黑" w:eastAsia="微软雅黑" w:cs="微软雅黑"/>
          <w:spacing w:val="7"/>
          <w:sz w:val="24"/>
          <w:szCs w:val="24"/>
        </w:rPr>
        <w:t>72186</w:t>
      </w:r>
    </w:p>
    <w:p>
      <w:pPr>
        <w:spacing w:before="234" w:line="176" w:lineRule="auto"/>
        <w:jc w:val="center"/>
        <w:rPr>
          <w:rFonts w:ascii="微软雅黑" w:hAnsi="微软雅黑" w:eastAsia="微软雅黑" w:cs="微软雅黑"/>
          <w:sz w:val="24"/>
          <w:szCs w:val="24"/>
        </w:rPr>
      </w:pPr>
      <w:r>
        <w:rPr>
          <w:rFonts w:ascii="微软雅黑" w:hAnsi="微软雅黑" w:eastAsia="微软雅黑" w:cs="微软雅黑"/>
          <w:spacing w:val="21"/>
          <w:sz w:val="24"/>
          <w:szCs w:val="24"/>
        </w:rPr>
        <w:t>网址：</w:t>
      </w:r>
      <w:r>
        <w:rPr>
          <w:rFonts w:ascii="微软雅黑" w:hAnsi="微软雅黑" w:eastAsia="微软雅黑" w:cs="微软雅黑"/>
          <w:sz w:val="24"/>
          <w:szCs w:val="24"/>
        </w:rPr>
        <w:t>www</w:t>
      </w:r>
      <w:r>
        <w:rPr>
          <w:rFonts w:ascii="微软雅黑" w:hAnsi="微软雅黑" w:eastAsia="微软雅黑" w:cs="微软雅黑"/>
          <w:spacing w:val="21"/>
          <w:sz w:val="24"/>
          <w:szCs w:val="24"/>
        </w:rPr>
        <w:t>.</w:t>
      </w:r>
      <w:r>
        <w:rPr>
          <w:rFonts w:ascii="微软雅黑" w:hAnsi="微软雅黑" w:eastAsia="微软雅黑" w:cs="微软雅黑"/>
          <w:spacing w:val="-22"/>
          <w:sz w:val="24"/>
          <w:szCs w:val="24"/>
        </w:rPr>
        <w:t xml:space="preserve"> </w:t>
      </w:r>
      <w:r>
        <w:rPr>
          <w:rFonts w:ascii="微软雅黑" w:hAnsi="微软雅黑" w:eastAsia="微软雅黑" w:cs="微软雅黑"/>
          <w:sz w:val="24"/>
          <w:szCs w:val="24"/>
        </w:rPr>
        <w:t>ruida</w:t>
      </w:r>
      <w:r>
        <w:rPr>
          <w:rFonts w:ascii="微软雅黑" w:hAnsi="微软雅黑" w:eastAsia="微软雅黑" w:cs="微软雅黑"/>
          <w:spacing w:val="21"/>
          <w:sz w:val="24"/>
          <w:szCs w:val="24"/>
        </w:rPr>
        <w:t>-</w:t>
      </w:r>
      <w:r>
        <w:rPr>
          <w:rFonts w:ascii="微软雅黑" w:hAnsi="微软雅黑" w:eastAsia="微软雅黑" w:cs="微软雅黑"/>
          <w:spacing w:val="-28"/>
          <w:sz w:val="24"/>
          <w:szCs w:val="24"/>
        </w:rPr>
        <w:t xml:space="preserve"> </w:t>
      </w:r>
      <w:r>
        <w:rPr>
          <w:rFonts w:ascii="微软雅黑" w:hAnsi="微软雅黑" w:eastAsia="微软雅黑" w:cs="微软雅黑"/>
          <w:sz w:val="24"/>
          <w:szCs w:val="24"/>
        </w:rPr>
        <w:t>int</w:t>
      </w:r>
      <w:r>
        <w:rPr>
          <w:rFonts w:ascii="微软雅黑" w:hAnsi="微软雅黑" w:eastAsia="微软雅黑" w:cs="微软雅黑"/>
          <w:spacing w:val="-28"/>
          <w:sz w:val="24"/>
          <w:szCs w:val="24"/>
        </w:rPr>
        <w:t xml:space="preserve"> </w:t>
      </w:r>
      <w:r>
        <w:rPr>
          <w:rFonts w:ascii="微软雅黑" w:hAnsi="微软雅黑" w:eastAsia="微软雅黑" w:cs="微软雅黑"/>
          <w:spacing w:val="21"/>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z w:val="24"/>
          <w:szCs w:val="24"/>
        </w:rPr>
        <w:t>com</w:t>
      </w:r>
    </w:p>
    <w:p>
      <w:pPr>
        <w:spacing w:before="253" w:line="177" w:lineRule="auto"/>
        <w:jc w:val="center"/>
        <w:rPr>
          <w:rFonts w:ascii="微软雅黑" w:hAnsi="微软雅黑" w:eastAsia="微软雅黑" w:cs="微软雅黑"/>
          <w:sz w:val="24"/>
          <w:szCs w:val="24"/>
        </w:rPr>
      </w:pPr>
      <w:r>
        <w:rPr>
          <w:rFonts w:ascii="微软雅黑" w:hAnsi="微软雅黑" w:eastAsia="微软雅黑" w:cs="微软雅黑"/>
          <w:spacing w:val="16"/>
          <w:sz w:val="24"/>
          <w:szCs w:val="24"/>
        </w:rPr>
        <w:t>地址:</w:t>
      </w:r>
      <w:r>
        <w:rPr>
          <w:rFonts w:ascii="微软雅黑" w:hAnsi="微软雅黑" w:eastAsia="微软雅黑" w:cs="微软雅黑"/>
          <w:spacing w:val="45"/>
          <w:w w:val="101"/>
          <w:sz w:val="24"/>
          <w:szCs w:val="24"/>
        </w:rPr>
        <w:t xml:space="preserve"> </w:t>
      </w:r>
      <w:r>
        <w:rPr>
          <w:rFonts w:ascii="微软雅黑" w:hAnsi="微软雅黑" w:eastAsia="微软雅黑" w:cs="微软雅黑"/>
          <w:spacing w:val="16"/>
          <w:sz w:val="24"/>
          <w:szCs w:val="24"/>
        </w:rPr>
        <w:t>香港湾仔菲林明道8号大同大厦17楼05</w:t>
      </w:r>
      <w:r>
        <w:rPr>
          <w:rFonts w:ascii="微软雅黑" w:hAnsi="微软雅黑" w:eastAsia="微软雅黑" w:cs="微软雅黑"/>
          <w:spacing w:val="-36"/>
          <w:sz w:val="24"/>
          <w:szCs w:val="24"/>
        </w:rPr>
        <w:t xml:space="preserve"> </w:t>
      </w:r>
      <w:r>
        <w:rPr>
          <w:rFonts w:ascii="微软雅黑" w:hAnsi="微软雅黑" w:eastAsia="微软雅黑" w:cs="微软雅黑"/>
          <w:spacing w:val="16"/>
          <w:sz w:val="24"/>
          <w:szCs w:val="24"/>
        </w:rPr>
        <w:t>-</w:t>
      </w:r>
      <w:r>
        <w:rPr>
          <w:rFonts w:ascii="微软雅黑" w:hAnsi="微软雅黑" w:eastAsia="微软雅黑" w:cs="微软雅黑"/>
          <w:spacing w:val="-36"/>
          <w:sz w:val="24"/>
          <w:szCs w:val="24"/>
        </w:rPr>
        <w:t xml:space="preserve"> </w:t>
      </w:r>
      <w:r>
        <w:rPr>
          <w:rFonts w:ascii="微软雅黑" w:hAnsi="微软雅黑" w:eastAsia="微软雅黑" w:cs="微软雅黑"/>
          <w:spacing w:val="16"/>
          <w:sz w:val="24"/>
          <w:szCs w:val="24"/>
        </w:rPr>
        <w:t>06室</w:t>
      </w:r>
    </w:p>
    <w:p/>
    <w:sectPr>
      <w:pgSz w:w="11923" w:h="16837"/>
      <w:pgMar w:top="400" w:right="556" w:bottom="0" w:left="1015" w:header="340" w:footer="340" w:gutter="0"/>
      <w:pgBorders>
        <w:top w:val="none" w:sz="0" w:space="0"/>
        <w:left w:val="none" w:sz="0" w:space="0"/>
        <w:bottom w:val="none" w:sz="0" w:space="0"/>
        <w:right w:val="none" w:sz="0" w:space="0"/>
      </w:pgBorders>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 w:name="Helvetica">
    <w:altName w:val="Arial"/>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Yu Gothic Light">
    <w:panose1 w:val="020B0300000000000000"/>
    <w:charset w:val="80"/>
    <w:family w:val="auto"/>
    <w:pitch w:val="default"/>
    <w:sig w:usb0="E00002FF" w:usb1="2AC7FDFF" w:usb2="00000016" w:usb3="00000000" w:csb0="2002009F" w:csb1="00000000"/>
  </w:font>
  <w:font w:name="幼圆">
    <w:panose1 w:val="02010509060101010101"/>
    <w:charset w:val="86"/>
    <w:family w:val="auto"/>
    <w:pitch w:val="default"/>
    <w:sig w:usb0="00000001" w:usb1="080E0000" w:usb2="00000000" w:usb3="00000000" w:csb0="00040000" w:csb1="00000000"/>
  </w:font>
  <w:font w:name="Yu Gothic UI">
    <w:panose1 w:val="020B0500000000000000"/>
    <w:charset w:val="80"/>
    <w:family w:val="auto"/>
    <w:pitch w:val="default"/>
    <w:sig w:usb0="E00002FF" w:usb1="2AC7FDFF" w:usb2="00000016" w:usb3="00000000" w:csb0="2002009F" w:csb1="00000000"/>
  </w:font>
  <w:font w:name="Arial Black">
    <w:panose1 w:val="020B0A04020102020204"/>
    <w:charset w:val="00"/>
    <w:family w:val="auto"/>
    <w:pitch w:val="default"/>
    <w:sig w:usb0="A00002AF" w:usb1="400078FB" w:usb2="00000000" w:usb3="00000000" w:csb0="6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double" w:color="0766D4" w:sz="8" w:space="0"/>
      </w:pBdr>
      <w:spacing w:line="14" w:lineRule="auto"/>
      <w:rPr>
        <w:sz w:val="2"/>
      </w:rPr>
    </w:pPr>
    <w: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top w:val="none" w:color="auto" w:sz="0" w:space="1"/>
        <w:left w:val="none" w:color="auto" w:sz="0" w:space="4"/>
        <w:bottom w:val="thinThickSmallGap" w:color="3669AB" w:sz="24" w:space="0"/>
        <w:right w:val="none" w:color="auto" w:sz="0" w:space="4"/>
        <w:between w:val="none" w:color="auto" w:sz="0" w:space="0"/>
      </w:pBdr>
      <w:kinsoku w:val="0"/>
      <w:autoSpaceDE w:val="0"/>
      <w:autoSpaceDN w:val="0"/>
      <w:adjustRightInd w:val="0"/>
      <w:snapToGrid w:val="0"/>
      <w:spacing w:line="240" w:lineRule="auto"/>
      <w:ind w:right="420" w:rightChars="200"/>
      <w:jc w:val="right"/>
      <w:textAlignment w:val="baseline"/>
      <w:rPr>
        <w:rFonts w:hint="eastAsia" w:eastAsia="宋体"/>
        <w:sz w:val="2"/>
        <w:lang w:eastAsia="zh-CN"/>
      </w:rPr>
    </w:pPr>
    <w:r>
      <w:rPr>
        <w:sz w:val="2"/>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5"/>
                    </w:pPr>
                  </w:p>
                </w:txbxContent>
              </v:textbox>
            </v:shape>
          </w:pict>
        </mc:Fallback>
      </mc:AlternateContent>
    </w:r>
    <w:r>
      <w:rPr>
        <w:rFonts w:hint="eastAsia" w:eastAsia="宋体"/>
        <w:sz w:val="2"/>
        <w:lang w:eastAsia="zh-CN"/>
      </w:rPr>
      <w:drawing>
        <wp:inline distT="0" distB="0" distL="114300" distR="114300">
          <wp:extent cx="2263140" cy="810895"/>
          <wp:effectExtent l="0" t="0" r="3810" b="0"/>
          <wp:docPr id="3" name="图片 3"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pPr>
      <w:pStyle w:val="3"/>
      <w:pBdr>
        <w:bottom w:val="single" w:color="3669AB" w:sz="4" w:space="0"/>
      </w:pBdr>
      <w:spacing w:line="240" w:lineRule="auto"/>
      <w:ind w:right="420" w:rightChars="200"/>
      <w:jc w:val="both"/>
      <w:rPr>
        <w:rFonts w:hint="eastAsia" w:eastAsia="宋体"/>
        <w:color w:val="FFFFFF" w:themeColor="background1"/>
        <w:sz w:val="2"/>
        <w:lang w:eastAsia="zh-CN"/>
        <w14:textFill>
          <w14:solidFill>
            <w14:schemeClr w14:val="bg1"/>
          </w14:solidFill>
        </w14:textFil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7"/>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cwZTQ2YTkyMzU3YjI3Y2QwOGNkYzVjNGE5OTQxYWMifQ=="/>
  </w:docVars>
  <w:rsids>
    <w:rsidRoot w:val="59DE62A0"/>
    <w:rsid w:val="000A785F"/>
    <w:rsid w:val="000C024B"/>
    <w:rsid w:val="001431C1"/>
    <w:rsid w:val="0018099E"/>
    <w:rsid w:val="00181D4B"/>
    <w:rsid w:val="004E0863"/>
    <w:rsid w:val="004E69F8"/>
    <w:rsid w:val="00593490"/>
    <w:rsid w:val="005F4A09"/>
    <w:rsid w:val="007013BB"/>
    <w:rsid w:val="00727595"/>
    <w:rsid w:val="00816288"/>
    <w:rsid w:val="008813CF"/>
    <w:rsid w:val="008D4A14"/>
    <w:rsid w:val="00920750"/>
    <w:rsid w:val="00984CAE"/>
    <w:rsid w:val="009D033E"/>
    <w:rsid w:val="00A42231"/>
    <w:rsid w:val="00A437D3"/>
    <w:rsid w:val="00BC57CD"/>
    <w:rsid w:val="00BF6C5D"/>
    <w:rsid w:val="00C177F8"/>
    <w:rsid w:val="00CA7EEA"/>
    <w:rsid w:val="00CE6532"/>
    <w:rsid w:val="00CE72AE"/>
    <w:rsid w:val="00D14CB7"/>
    <w:rsid w:val="00D348C5"/>
    <w:rsid w:val="00DC19CB"/>
    <w:rsid w:val="00E16FE2"/>
    <w:rsid w:val="00E442E6"/>
    <w:rsid w:val="00E64644"/>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E7687A"/>
    <w:rsid w:val="01F1594A"/>
    <w:rsid w:val="01FA65AD"/>
    <w:rsid w:val="02055605"/>
    <w:rsid w:val="02077690"/>
    <w:rsid w:val="021052EA"/>
    <w:rsid w:val="02151639"/>
    <w:rsid w:val="021D04ED"/>
    <w:rsid w:val="021D5BFB"/>
    <w:rsid w:val="02296E92"/>
    <w:rsid w:val="022B4BE4"/>
    <w:rsid w:val="02313F99"/>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60857"/>
    <w:rsid w:val="03891409"/>
    <w:rsid w:val="038E44A6"/>
    <w:rsid w:val="03AA4003"/>
    <w:rsid w:val="03B31109"/>
    <w:rsid w:val="03C54999"/>
    <w:rsid w:val="03CF5817"/>
    <w:rsid w:val="03D44348"/>
    <w:rsid w:val="03D5622A"/>
    <w:rsid w:val="03D64DF8"/>
    <w:rsid w:val="03D65769"/>
    <w:rsid w:val="03E00AD0"/>
    <w:rsid w:val="03E33071"/>
    <w:rsid w:val="03F31506"/>
    <w:rsid w:val="03F76482"/>
    <w:rsid w:val="03FE7EAB"/>
    <w:rsid w:val="04013CA9"/>
    <w:rsid w:val="0402799B"/>
    <w:rsid w:val="04040FB1"/>
    <w:rsid w:val="0405375F"/>
    <w:rsid w:val="04145465"/>
    <w:rsid w:val="0420191B"/>
    <w:rsid w:val="04253689"/>
    <w:rsid w:val="042751F8"/>
    <w:rsid w:val="043B3CCE"/>
    <w:rsid w:val="04405814"/>
    <w:rsid w:val="044B2E3C"/>
    <w:rsid w:val="044C27AC"/>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5E80E1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50C0F"/>
    <w:rsid w:val="097C1F9D"/>
    <w:rsid w:val="09823AB3"/>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042C8"/>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27FC6"/>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33D9B"/>
    <w:rsid w:val="0EC40C69"/>
    <w:rsid w:val="0EC63E70"/>
    <w:rsid w:val="0ECA5559"/>
    <w:rsid w:val="0ED004CD"/>
    <w:rsid w:val="0ED4462A"/>
    <w:rsid w:val="0ED65BE6"/>
    <w:rsid w:val="0ED85EC8"/>
    <w:rsid w:val="0EDB7766"/>
    <w:rsid w:val="0EE26D46"/>
    <w:rsid w:val="0EF357FE"/>
    <w:rsid w:val="0F0E09E8"/>
    <w:rsid w:val="0F1B4006"/>
    <w:rsid w:val="0F386966"/>
    <w:rsid w:val="0F3B0205"/>
    <w:rsid w:val="0F425337"/>
    <w:rsid w:val="0F465226"/>
    <w:rsid w:val="0F53554E"/>
    <w:rsid w:val="0F5D63CD"/>
    <w:rsid w:val="0F7756E1"/>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C93D20"/>
    <w:rsid w:val="10D17073"/>
    <w:rsid w:val="10E47E92"/>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A74C5B"/>
    <w:rsid w:val="17BC3F9E"/>
    <w:rsid w:val="17C36FE9"/>
    <w:rsid w:val="17D15BAA"/>
    <w:rsid w:val="17EF6030"/>
    <w:rsid w:val="18041ADC"/>
    <w:rsid w:val="180A2E6A"/>
    <w:rsid w:val="181A30AD"/>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BF7BBB"/>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4745E"/>
    <w:rsid w:val="1D9E0B53"/>
    <w:rsid w:val="1DA358F3"/>
    <w:rsid w:val="1DA8010B"/>
    <w:rsid w:val="1DA87555"/>
    <w:rsid w:val="1DAB47A7"/>
    <w:rsid w:val="1DB70C3A"/>
    <w:rsid w:val="1DBE097F"/>
    <w:rsid w:val="1DD11478"/>
    <w:rsid w:val="1DD62C34"/>
    <w:rsid w:val="1DD939D5"/>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14362A"/>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E6182"/>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57132"/>
    <w:rsid w:val="22D64BAD"/>
    <w:rsid w:val="22E744D4"/>
    <w:rsid w:val="22F20137"/>
    <w:rsid w:val="22FD42C4"/>
    <w:rsid w:val="2309444A"/>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900E53"/>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543EA"/>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62092"/>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4334B"/>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82FB5"/>
    <w:rsid w:val="30C9346B"/>
    <w:rsid w:val="30E738F1"/>
    <w:rsid w:val="30F32296"/>
    <w:rsid w:val="30F84CE1"/>
    <w:rsid w:val="30F85AFE"/>
    <w:rsid w:val="30FD0529"/>
    <w:rsid w:val="30FF50DE"/>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0949F8"/>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90E05"/>
    <w:rsid w:val="34C53F49"/>
    <w:rsid w:val="34E940DB"/>
    <w:rsid w:val="34F00345"/>
    <w:rsid w:val="34F36F75"/>
    <w:rsid w:val="34F43C01"/>
    <w:rsid w:val="34F80CDC"/>
    <w:rsid w:val="350C46FB"/>
    <w:rsid w:val="350D601C"/>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5630F"/>
    <w:rsid w:val="369C0E0A"/>
    <w:rsid w:val="36B576F9"/>
    <w:rsid w:val="36C06592"/>
    <w:rsid w:val="36C26992"/>
    <w:rsid w:val="36D36DF1"/>
    <w:rsid w:val="36D52B69"/>
    <w:rsid w:val="36D55C7A"/>
    <w:rsid w:val="36D64D97"/>
    <w:rsid w:val="36E6103A"/>
    <w:rsid w:val="36EA0095"/>
    <w:rsid w:val="36EF34FF"/>
    <w:rsid w:val="36FE65A8"/>
    <w:rsid w:val="3710594F"/>
    <w:rsid w:val="37203462"/>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1E22EE"/>
    <w:rsid w:val="38207E14"/>
    <w:rsid w:val="382471D8"/>
    <w:rsid w:val="382947EF"/>
    <w:rsid w:val="38295077"/>
    <w:rsid w:val="382B6D50"/>
    <w:rsid w:val="382F0057"/>
    <w:rsid w:val="383C5781"/>
    <w:rsid w:val="384D08D4"/>
    <w:rsid w:val="384D1B31"/>
    <w:rsid w:val="3851701B"/>
    <w:rsid w:val="38591578"/>
    <w:rsid w:val="38613F89"/>
    <w:rsid w:val="386F5126"/>
    <w:rsid w:val="38781A41"/>
    <w:rsid w:val="388D1222"/>
    <w:rsid w:val="3895243A"/>
    <w:rsid w:val="38A10829"/>
    <w:rsid w:val="38B00000"/>
    <w:rsid w:val="38B844F1"/>
    <w:rsid w:val="38BB18EB"/>
    <w:rsid w:val="38C2047C"/>
    <w:rsid w:val="38D37AC3"/>
    <w:rsid w:val="38D66316"/>
    <w:rsid w:val="38E30E42"/>
    <w:rsid w:val="38F66DC7"/>
    <w:rsid w:val="38F92413"/>
    <w:rsid w:val="391060DB"/>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6B10EF"/>
    <w:rsid w:val="3A775214"/>
    <w:rsid w:val="3A801F6F"/>
    <w:rsid w:val="3A8F494D"/>
    <w:rsid w:val="3AA8734B"/>
    <w:rsid w:val="3AAA7E69"/>
    <w:rsid w:val="3AAD7959"/>
    <w:rsid w:val="3AB24305"/>
    <w:rsid w:val="3ABE56C2"/>
    <w:rsid w:val="3ACA050B"/>
    <w:rsid w:val="3ACF5B21"/>
    <w:rsid w:val="3AD06868"/>
    <w:rsid w:val="3AD82705"/>
    <w:rsid w:val="3AEB650A"/>
    <w:rsid w:val="3AF5356F"/>
    <w:rsid w:val="3AF61300"/>
    <w:rsid w:val="3AF9494C"/>
    <w:rsid w:val="3B007A89"/>
    <w:rsid w:val="3B105E84"/>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865B6"/>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CF727D5"/>
    <w:rsid w:val="3D001FC2"/>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219E2"/>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0687C"/>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36870"/>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1548"/>
    <w:rsid w:val="49A32653"/>
    <w:rsid w:val="49A5461D"/>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5D68EE"/>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B964A1"/>
    <w:rsid w:val="4DC16ABA"/>
    <w:rsid w:val="4DC5444C"/>
    <w:rsid w:val="4DD23507"/>
    <w:rsid w:val="4DD454D1"/>
    <w:rsid w:val="4DD73A22"/>
    <w:rsid w:val="4DD76D6F"/>
    <w:rsid w:val="4DDD3C5A"/>
    <w:rsid w:val="4DDE1EAC"/>
    <w:rsid w:val="4DDF7A30"/>
    <w:rsid w:val="4DE1199C"/>
    <w:rsid w:val="4DF0398D"/>
    <w:rsid w:val="4DF60C80"/>
    <w:rsid w:val="4DFE3442"/>
    <w:rsid w:val="4E002804"/>
    <w:rsid w:val="4E037B64"/>
    <w:rsid w:val="4E125FF9"/>
    <w:rsid w:val="4E185B3D"/>
    <w:rsid w:val="4E1D04AD"/>
    <w:rsid w:val="4E255ED1"/>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D61D4"/>
    <w:rsid w:val="505F1651"/>
    <w:rsid w:val="50642410"/>
    <w:rsid w:val="506D5769"/>
    <w:rsid w:val="507F724A"/>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D1444D"/>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6538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11144"/>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663955"/>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CA5C5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951B5"/>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E6CBF"/>
    <w:rsid w:val="646B1B68"/>
    <w:rsid w:val="64820ABF"/>
    <w:rsid w:val="64861B48"/>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44096"/>
    <w:rsid w:val="670562A3"/>
    <w:rsid w:val="6707201B"/>
    <w:rsid w:val="670B7AEA"/>
    <w:rsid w:val="671E1113"/>
    <w:rsid w:val="67220595"/>
    <w:rsid w:val="67241800"/>
    <w:rsid w:val="672A3F5C"/>
    <w:rsid w:val="672C2A5E"/>
    <w:rsid w:val="672D3563"/>
    <w:rsid w:val="673D5A3D"/>
    <w:rsid w:val="67505B4F"/>
    <w:rsid w:val="6756421A"/>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4310ED"/>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81494"/>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54739"/>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1A12"/>
    <w:rsid w:val="6FE86762"/>
    <w:rsid w:val="6FE949B4"/>
    <w:rsid w:val="6FEC0000"/>
    <w:rsid w:val="6FEE70E9"/>
    <w:rsid w:val="6FF54D17"/>
    <w:rsid w:val="70096E04"/>
    <w:rsid w:val="700C2451"/>
    <w:rsid w:val="70281CF1"/>
    <w:rsid w:val="70310109"/>
    <w:rsid w:val="703235D5"/>
    <w:rsid w:val="70380103"/>
    <w:rsid w:val="703A3D0A"/>
    <w:rsid w:val="703D6AAE"/>
    <w:rsid w:val="70433998"/>
    <w:rsid w:val="704B5D52"/>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B36501"/>
    <w:rsid w:val="71E259CA"/>
    <w:rsid w:val="71F66F14"/>
    <w:rsid w:val="71F907B3"/>
    <w:rsid w:val="721455EC"/>
    <w:rsid w:val="72247F25"/>
    <w:rsid w:val="72281098"/>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1414D"/>
    <w:rsid w:val="74220923"/>
    <w:rsid w:val="74257F85"/>
    <w:rsid w:val="7430772F"/>
    <w:rsid w:val="743E2DF5"/>
    <w:rsid w:val="74450114"/>
    <w:rsid w:val="744A79EB"/>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803CC"/>
    <w:rsid w:val="77876861"/>
    <w:rsid w:val="77972F48"/>
    <w:rsid w:val="77C11D73"/>
    <w:rsid w:val="77C34564"/>
    <w:rsid w:val="77D71596"/>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44231"/>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57831"/>
    <w:rsid w:val="7B486307"/>
    <w:rsid w:val="7B4C229B"/>
    <w:rsid w:val="7B4C4049"/>
    <w:rsid w:val="7B4C5DF7"/>
    <w:rsid w:val="7B5178B1"/>
    <w:rsid w:val="7B5F5032"/>
    <w:rsid w:val="7B670E83"/>
    <w:rsid w:val="7B7F7F7B"/>
    <w:rsid w:val="7B914268"/>
    <w:rsid w:val="7B965AB3"/>
    <w:rsid w:val="7BA26400"/>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65EC0"/>
    <w:rsid w:val="7EC81C39"/>
    <w:rsid w:val="7ECD54A1"/>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9">
    <w:name w:val="Default Paragraph Font"/>
    <w:autoRedefine/>
    <w:semiHidden/>
    <w:qFormat/>
    <w:uiPriority w:val="0"/>
  </w:style>
  <w:style w:type="table" w:default="1" w:styleId="7">
    <w:name w:val="Normal Table"/>
    <w:autoRedefine/>
    <w:semiHidden/>
    <w:qFormat/>
    <w:uiPriority w:val="0"/>
    <w:tblPr>
      <w:tblCellMar>
        <w:top w:w="0" w:type="dxa"/>
        <w:left w:w="108" w:type="dxa"/>
        <w:bottom w:w="0" w:type="dxa"/>
        <w:right w:w="108" w:type="dxa"/>
      </w:tblCellMar>
    </w:tblPr>
  </w:style>
  <w:style w:type="paragraph" w:styleId="3">
    <w:name w:val="Body Text"/>
    <w:basedOn w:val="1"/>
    <w:autoRedefine/>
    <w:semiHidden/>
    <w:qFormat/>
    <w:uiPriority w:val="0"/>
    <w:rPr>
      <w:rFonts w:ascii="Arial" w:hAnsi="Arial" w:eastAsia="Arial" w:cs="Arial"/>
      <w:sz w:val="21"/>
      <w:szCs w:val="21"/>
      <w:lang w:val="en-US" w:eastAsia="en-US" w:bidi="ar-SA"/>
    </w:rPr>
  </w:style>
  <w:style w:type="paragraph" w:styleId="4">
    <w:name w:val="footer"/>
    <w:basedOn w:val="1"/>
    <w:autoRedefine/>
    <w:qFormat/>
    <w:uiPriority w:val="0"/>
    <w:pPr>
      <w:tabs>
        <w:tab w:val="center" w:pos="4153"/>
        <w:tab w:val="right" w:pos="8306"/>
      </w:tabs>
      <w:snapToGrid w:val="0"/>
      <w:jc w:val="left"/>
    </w:pPr>
    <w:rPr>
      <w:sz w:val="18"/>
    </w:rPr>
  </w:style>
  <w:style w:type="paragraph" w:styleId="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autoRedefine/>
    <w:qFormat/>
    <w:uiPriority w:val="0"/>
    <w:pPr>
      <w:spacing w:before="0" w:beforeAutospacing="1" w:after="0" w:afterAutospacing="1"/>
      <w:ind w:left="0" w:right="0"/>
      <w:jc w:val="left"/>
    </w:pPr>
    <w:rPr>
      <w:kern w:val="0"/>
      <w:sz w:val="24"/>
      <w:lang w:val="en-US" w:eastAsia="zh-CN" w:bidi="ar"/>
    </w:rPr>
  </w:style>
  <w:style w:type="table" w:styleId="8">
    <w:name w:val="Table Grid"/>
    <w:basedOn w:val="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autoRedefine/>
    <w:qFormat/>
    <w:uiPriority w:val="0"/>
    <w:rPr>
      <w:b/>
    </w:rPr>
  </w:style>
  <w:style w:type="character" w:styleId="11">
    <w:name w:val="Hyperlink"/>
    <w:basedOn w:val="9"/>
    <w:autoRedefine/>
    <w:qFormat/>
    <w:uiPriority w:val="0"/>
    <w:rPr>
      <w:color w:val="0000FF"/>
      <w:u w:val="single"/>
    </w:rPr>
  </w:style>
  <w:style w:type="paragraph" w:customStyle="1" w:styleId="12">
    <w:name w:val="Table Text"/>
    <w:basedOn w:val="1"/>
    <w:autoRedefine/>
    <w:semiHidden/>
    <w:qFormat/>
    <w:uiPriority w:val="0"/>
    <w:rPr>
      <w:rFonts w:ascii="微软雅黑" w:hAnsi="微软雅黑" w:eastAsia="微软雅黑" w:cs="微软雅黑"/>
      <w:sz w:val="17"/>
      <w:szCs w:val="17"/>
      <w:lang w:val="en-US" w:eastAsia="en-US" w:bidi="ar-SA"/>
    </w:rPr>
  </w:style>
  <w:style w:type="table" w:customStyle="1" w:styleId="13">
    <w:name w:val="Table Normal"/>
    <w:autoRedefine/>
    <w:semiHidden/>
    <w:unhideWhenUsed/>
    <w:qFormat/>
    <w:uiPriority w:val="0"/>
    <w:tblPr>
      <w:tblCellMar>
        <w:top w:w="0" w:type="dxa"/>
        <w:left w:w="0" w:type="dxa"/>
        <w:bottom w:w="0" w:type="dxa"/>
        <w:right w:w="0" w:type="dxa"/>
      </w:tblCellMar>
    </w:tblPr>
  </w:style>
  <w:style w:type="paragraph" w:customStyle="1" w:styleId="14">
    <w:name w:val="列表段落1"/>
    <w:basedOn w:val="1"/>
    <w:autoRedefine/>
    <w:qFormat/>
    <w:uiPriority w:val="34"/>
    <w:pPr>
      <w:ind w:left="480" w:leftChars="200"/>
      <w:jc w:val="left"/>
    </w:pPr>
    <w:rPr>
      <w:rFonts w:asciiTheme="minorHAnsi" w:hAnsiTheme="minorHAnsi" w:eastAsiaTheme="minorEastAsia" w:cstheme="minorBidi"/>
      <w:sz w:val="24"/>
      <w:szCs w:val="22"/>
      <w:lang w:eastAsia="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2951</Words>
  <Characters>3470</Characters>
  <Lines>0</Lines>
  <Paragraphs>0</Paragraphs>
  <TotalTime>46</TotalTime>
  <ScaleCrop>false</ScaleCrop>
  <LinksUpToDate>false</LinksUpToDate>
  <CharactersWithSpaces>3505</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2024-03-19T23:57:00Z</dcterms:created>
  <dc:creator>WPS_1180513195</dc:creator>
  <cp:lastModifiedBy>TimmyW</cp:lastModifiedBy>
  <dcterms:modified xsi:type="dcterms:W3CDTF">2024-05-30T01:56:53Z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8A1CB5AB06EE4F578326ACDC099C9970_13</vt:lpwstr>
  </property>
</Properties>
</file>