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iyX8T7IBAABg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hint="eastAsia" w:ascii="微软雅黑" w:hAnsi="微软雅黑" w:eastAsia="微软雅黑" w:cs="微软雅黑"/>
          <w:b/>
          <w:bCs/>
          <w:color w:val="FFFFFF"/>
          <w:spacing w:val="6"/>
          <w:sz w:val="96"/>
          <w:szCs w:val="96"/>
          <w:lang w:val="en-US" w:eastAsia="zh-CN"/>
        </w:rPr>
        <w:t>每日</w:t>
      </w:r>
      <w:r>
        <w:rPr>
          <w:rFonts w:ascii="微软雅黑" w:hAnsi="微软雅黑" w:eastAsia="微软雅黑" w:cs="微软雅黑"/>
          <w:b/>
          <w:bCs/>
          <w:color w:val="FFFFFF"/>
          <w:spacing w:val="6"/>
          <w:sz w:val="96"/>
          <w:szCs w:val="96"/>
        </w:rPr>
        <w:t>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31</w:t>
      </w:r>
      <w:bookmarkStart w:id="0" w:name="_GoBack"/>
      <w:bookmarkEnd w:id="0"/>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市场综述</w:t>
      </w:r>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b w:val="0"/>
          <w:bCs w:val="0"/>
          <w:i w:val="0"/>
          <w:iCs w:val="0"/>
          <w:caps w:val="0"/>
          <w:color w:val="333333"/>
          <w:spacing w:val="0"/>
          <w:sz w:val="24"/>
          <w:szCs w:val="24"/>
          <w:shd w:val="clear" w:fill="FFFFFF"/>
          <w:lang w:val="en-US" w:eastAsia="zh-CN"/>
        </w:rPr>
        <w:t>截至周五</w:t>
      </w:r>
      <w:r>
        <w:rPr>
          <w:rFonts w:hint="eastAsia" w:ascii="微软雅黑" w:hAnsi="微软雅黑" w:eastAsia="微软雅黑" w:cs="微软雅黑"/>
          <w:b w:val="0"/>
          <w:bCs w:val="0"/>
          <w:i w:val="0"/>
          <w:iCs w:val="0"/>
          <w:caps w:val="0"/>
          <w:color w:val="333333"/>
          <w:spacing w:val="0"/>
          <w:sz w:val="24"/>
          <w:szCs w:val="24"/>
          <w:shd w:val="clear" w:fill="FFFFFF"/>
        </w:rPr>
        <w:t>美国三大股指全线收跌，</w:t>
      </w:r>
      <w:r>
        <w:rPr>
          <w:rFonts w:hint="eastAsia" w:ascii="微软雅黑" w:hAnsi="微软雅黑" w:eastAsia="微软雅黑" w:cs="微软雅黑"/>
          <w:b w:val="0"/>
          <w:bCs w:val="0"/>
          <w:sz w:val="24"/>
          <w:szCs w:val="24"/>
        </w:rPr>
        <w:t>道指</w:t>
      </w:r>
      <w:r>
        <w:rPr>
          <w:rFonts w:hint="eastAsia" w:ascii="微软雅黑" w:hAnsi="微软雅黑" w:eastAsia="微软雅黑" w:cs="微软雅黑"/>
          <w:b w:val="0"/>
          <w:bCs w:val="0"/>
          <w:i w:val="0"/>
          <w:iCs w:val="0"/>
          <w:caps w:val="0"/>
          <w:color w:val="333333"/>
          <w:spacing w:val="0"/>
          <w:sz w:val="24"/>
          <w:szCs w:val="24"/>
          <w:shd w:val="clear" w:fill="FFFFFF"/>
        </w:rPr>
        <w:t>跌0.86%报38111.48点，录得连续第三日下跌，</w:t>
      </w:r>
      <w:r>
        <w:rPr>
          <w:rFonts w:hint="eastAsia" w:ascii="微软雅黑" w:hAnsi="微软雅黑" w:eastAsia="微软雅黑" w:cs="微软雅黑"/>
          <w:b w:val="0"/>
          <w:bCs w:val="0"/>
          <w:sz w:val="24"/>
          <w:szCs w:val="24"/>
          <w:u w:val="none"/>
        </w:rPr>
        <w:t>标普500指数</w:t>
      </w:r>
      <w:r>
        <w:rPr>
          <w:rFonts w:hint="eastAsia" w:ascii="微软雅黑" w:hAnsi="微软雅黑" w:eastAsia="微软雅黑" w:cs="微软雅黑"/>
          <w:b w:val="0"/>
          <w:bCs w:val="0"/>
          <w:i w:val="0"/>
          <w:iCs w:val="0"/>
          <w:caps w:val="0"/>
          <w:color w:val="333333"/>
          <w:spacing w:val="0"/>
          <w:sz w:val="24"/>
          <w:szCs w:val="24"/>
          <w:shd w:val="clear" w:fill="FFFFFF"/>
        </w:rPr>
        <w:t>跌0.6%报5235.48点，</w:t>
      </w:r>
      <w:r>
        <w:rPr>
          <w:rFonts w:hint="eastAsia" w:ascii="微软雅黑" w:hAnsi="微软雅黑" w:eastAsia="微软雅黑" w:cs="微软雅黑"/>
          <w:b w:val="0"/>
          <w:bCs w:val="0"/>
          <w:sz w:val="24"/>
          <w:szCs w:val="24"/>
          <w:u w:val="none"/>
        </w:rPr>
        <w:t>纳指</w:t>
      </w:r>
      <w:r>
        <w:rPr>
          <w:rFonts w:hint="eastAsia" w:ascii="微软雅黑" w:hAnsi="微软雅黑" w:eastAsia="微软雅黑" w:cs="微软雅黑"/>
          <w:b w:val="0"/>
          <w:bCs w:val="0"/>
          <w:i w:val="0"/>
          <w:iCs w:val="0"/>
          <w:caps w:val="0"/>
          <w:color w:val="333333"/>
          <w:spacing w:val="0"/>
          <w:sz w:val="24"/>
          <w:szCs w:val="24"/>
          <w:shd w:val="clear" w:fill="FFFFFF"/>
        </w:rPr>
        <w:t>跌1.08%报16737.08点。</w:t>
      </w:r>
      <w:r>
        <w:rPr>
          <w:rFonts w:hint="eastAsia" w:ascii="微软雅黑" w:hAnsi="微软雅黑" w:eastAsia="微软雅黑" w:cs="微软雅黑"/>
          <w:b w:val="0"/>
          <w:bCs w:val="0"/>
          <w:i w:val="0"/>
          <w:iCs w:val="0"/>
          <w:caps w:val="0"/>
          <w:color w:val="333333"/>
          <w:spacing w:val="0"/>
          <w:sz w:val="24"/>
          <w:szCs w:val="24"/>
          <w:u w:val="none"/>
          <w:shd w:val="clear" w:fill="FFFFFF"/>
        </w:rPr>
        <w:t>美元指数</w:t>
      </w:r>
      <w:r>
        <w:rPr>
          <w:rFonts w:hint="eastAsia" w:ascii="微软雅黑" w:hAnsi="微软雅黑" w:eastAsia="微软雅黑" w:cs="微软雅黑"/>
          <w:b w:val="0"/>
          <w:bCs w:val="0"/>
          <w:i w:val="0"/>
          <w:iCs w:val="0"/>
          <w:caps w:val="0"/>
          <w:color w:val="333333"/>
          <w:spacing w:val="0"/>
          <w:sz w:val="24"/>
          <w:szCs w:val="24"/>
          <w:shd w:val="clear" w:fill="FFFFFF"/>
        </w:rPr>
        <w:t>跌0.36%报104.75，非美货币普遍上涨</w:t>
      </w:r>
      <w:r>
        <w:rPr>
          <w:rFonts w:hint="eastAsia" w:ascii="微软雅黑" w:hAnsi="微软雅黑" w:eastAsia="微软雅黑" w:cs="微软雅黑"/>
          <w:b w:val="0"/>
          <w:bCs w:val="0"/>
          <w:i w:val="0"/>
          <w:iCs w:val="0"/>
          <w:caps w:val="0"/>
          <w:color w:val="333333"/>
          <w:spacing w:val="0"/>
          <w:sz w:val="24"/>
          <w:szCs w:val="24"/>
          <w:shd w:val="clear" w:fill="FFFFFF"/>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离岸人民币对美元涨202个基点报7.2529。国际油价全线下跌，</w:t>
      </w:r>
      <w:r>
        <w:rPr>
          <w:rFonts w:hint="eastAsia" w:ascii="微软雅黑" w:hAnsi="微软雅黑" w:eastAsia="微软雅黑" w:cs="微软雅黑"/>
          <w:b w:val="0"/>
          <w:bCs w:val="0"/>
          <w:i w:val="0"/>
          <w:iCs w:val="0"/>
          <w:caps w:val="0"/>
          <w:color w:val="333333"/>
          <w:spacing w:val="0"/>
          <w:sz w:val="24"/>
          <w:szCs w:val="24"/>
          <w:u w:val="none"/>
          <w:shd w:val="clear" w:fill="FFFFFF"/>
        </w:rPr>
        <w:t>美油</w:t>
      </w:r>
      <w:r>
        <w:rPr>
          <w:rFonts w:hint="eastAsia" w:ascii="微软雅黑" w:hAnsi="微软雅黑" w:eastAsia="微软雅黑" w:cs="微软雅黑"/>
          <w:b w:val="0"/>
          <w:bCs w:val="0"/>
          <w:i w:val="0"/>
          <w:iCs w:val="0"/>
          <w:caps w:val="0"/>
          <w:color w:val="333333"/>
          <w:spacing w:val="0"/>
          <w:sz w:val="24"/>
          <w:szCs w:val="24"/>
          <w:shd w:val="clear" w:fill="FFFFFF"/>
        </w:rPr>
        <w:t>7月合约跌1.72%，报77.87美元/桶。</w:t>
      </w:r>
      <w:r>
        <w:rPr>
          <w:rFonts w:hint="eastAsia" w:ascii="微软雅黑" w:hAnsi="微软雅黑" w:eastAsia="微软雅黑" w:cs="微软雅黑"/>
          <w:b w:val="0"/>
          <w:bCs w:val="0"/>
          <w:sz w:val="24"/>
          <w:szCs w:val="24"/>
          <w:u w:val="none"/>
        </w:rPr>
        <w:t>布油</w:t>
      </w:r>
      <w:r>
        <w:rPr>
          <w:rFonts w:hint="eastAsia" w:ascii="微软雅黑" w:hAnsi="微软雅黑" w:eastAsia="微软雅黑" w:cs="微软雅黑"/>
          <w:b w:val="0"/>
          <w:bCs w:val="0"/>
          <w:i w:val="0"/>
          <w:iCs w:val="0"/>
          <w:caps w:val="0"/>
          <w:color w:val="333333"/>
          <w:spacing w:val="0"/>
          <w:sz w:val="24"/>
          <w:szCs w:val="24"/>
          <w:shd w:val="clear" w:fill="FFFFFF"/>
        </w:rPr>
        <w:t>8月合约跌1.79%，报81.94美元/桶。国际金属期货收盘涨跌不一，</w:t>
      </w:r>
      <w:r>
        <w:rPr>
          <w:rFonts w:hint="eastAsia" w:ascii="微软雅黑" w:hAnsi="微软雅黑" w:eastAsia="微软雅黑" w:cs="微软雅黑"/>
          <w:b w:val="0"/>
          <w:bCs w:val="0"/>
          <w:i w:val="0"/>
          <w:iCs w:val="0"/>
          <w:caps w:val="0"/>
          <w:color w:val="333333"/>
          <w:spacing w:val="0"/>
          <w:sz w:val="24"/>
          <w:szCs w:val="24"/>
          <w:u w:val="none"/>
          <w:shd w:val="clear" w:fill="FFFFFF"/>
        </w:rPr>
        <w:t>COMEX黄金期货</w:t>
      </w:r>
      <w:r>
        <w:rPr>
          <w:rFonts w:hint="eastAsia" w:ascii="微软雅黑" w:hAnsi="微软雅黑" w:eastAsia="微软雅黑" w:cs="微软雅黑"/>
          <w:b w:val="0"/>
          <w:bCs w:val="0"/>
          <w:i w:val="0"/>
          <w:iCs w:val="0"/>
          <w:caps w:val="0"/>
          <w:color w:val="333333"/>
          <w:spacing w:val="0"/>
          <w:sz w:val="24"/>
          <w:szCs w:val="24"/>
          <w:shd w:val="clear" w:fill="FFFFFF"/>
        </w:rPr>
        <w:t>涨0.02%报2364.5美元/盎司，</w:t>
      </w:r>
      <w:r>
        <w:rPr>
          <w:rFonts w:hint="eastAsia" w:ascii="微软雅黑" w:hAnsi="微软雅黑" w:eastAsia="微软雅黑" w:cs="微软雅黑"/>
          <w:b w:val="0"/>
          <w:bCs w:val="0"/>
          <w:sz w:val="24"/>
          <w:szCs w:val="24"/>
          <w:u w:val="none"/>
        </w:rPr>
        <w:t>COMEX白银期货</w:t>
      </w:r>
      <w:r>
        <w:rPr>
          <w:rFonts w:hint="eastAsia" w:ascii="微软雅黑" w:hAnsi="微软雅黑" w:eastAsia="微软雅黑" w:cs="微软雅黑"/>
          <w:b w:val="0"/>
          <w:bCs w:val="0"/>
          <w:i w:val="0"/>
          <w:iCs w:val="0"/>
          <w:caps w:val="0"/>
          <w:color w:val="333333"/>
          <w:spacing w:val="0"/>
          <w:sz w:val="24"/>
          <w:szCs w:val="24"/>
          <w:shd w:val="clear" w:fill="FFFFFF"/>
        </w:rPr>
        <w:t>跌3.19%报31.34美元/盎司</w:t>
      </w:r>
      <w:r>
        <w:rPr>
          <w:rFonts w:hint="eastAsia" w:ascii="微软雅黑" w:hAnsi="微软雅黑" w:eastAsia="微软雅黑" w:cs="微软雅黑"/>
          <w:b w:val="0"/>
          <w:bCs w:val="0"/>
          <w:i w:val="0"/>
          <w:iCs w:val="0"/>
          <w:caps w:val="0"/>
          <w:color w:val="333333"/>
          <w:spacing w:val="0"/>
          <w:sz w:val="24"/>
          <w:szCs w:val="24"/>
          <w:u w:val="none"/>
          <w:shd w:val="clear" w:fill="FFFFFF"/>
        </w:rPr>
        <w:t>LME期铜</w:t>
      </w:r>
      <w:r>
        <w:rPr>
          <w:rFonts w:hint="eastAsia" w:ascii="微软雅黑" w:hAnsi="微软雅黑" w:eastAsia="微软雅黑" w:cs="微软雅黑"/>
          <w:b w:val="0"/>
          <w:bCs w:val="0"/>
          <w:i w:val="0"/>
          <w:iCs w:val="0"/>
          <w:caps w:val="0"/>
          <w:color w:val="333333"/>
          <w:spacing w:val="0"/>
          <w:sz w:val="24"/>
          <w:szCs w:val="24"/>
          <w:shd w:val="clear" w:fill="FFFFFF"/>
        </w:rPr>
        <w:t>跌3.17%报10125美元/吨。</w:t>
      </w:r>
      <w:r>
        <w:rPr>
          <w:rFonts w:hint="eastAsia" w:ascii="微软雅黑" w:hAnsi="微软雅黑" w:eastAsia="微软雅黑" w:cs="微软雅黑"/>
          <w:sz w:val="24"/>
          <w:szCs w:val="24"/>
          <w:lang w:val="en-US" w:eastAsia="zh-CN"/>
        </w:rPr>
        <w:t>ICE 7月原糖期货合约收盘收跌0.16美分或0.90%，结算价每磅18.19美分。ICE 7月期棉收跌3.34美分或4.10%，结算价报77.76美分/磅。</w:t>
      </w:r>
    </w:p>
    <w:p>
      <w:pPr>
        <w:spacing w:before="235" w:line="176" w:lineRule="auto"/>
        <w:jc w:val="both"/>
        <w:rPr>
          <w:rFonts w:hint="default" w:ascii="微软雅黑" w:hAnsi="微软雅黑" w:eastAsia="微软雅黑" w:cs="微软雅黑"/>
          <w:spacing w:val="7"/>
          <w:sz w:val="21"/>
          <w:szCs w:val="21"/>
          <w:lang w:val="en-US" w:eastAsia="zh-CN"/>
        </w:rPr>
      </w:pPr>
      <w:r>
        <w:rPr>
          <w:rFonts w:ascii="微软雅黑" w:hAnsi="微软雅黑" w:eastAsia="微软雅黑" w:cs="微软雅黑"/>
          <w:spacing w:val="7"/>
          <w:sz w:val="21"/>
          <w:szCs w:val="21"/>
        </w:rPr>
        <w:t>图表1</w:t>
      </w:r>
      <w:r>
        <w:rPr>
          <w:rFonts w:hint="eastAsia" w:ascii="微软雅黑" w:hAnsi="微软雅黑" w:eastAsia="微软雅黑" w:cs="微软雅黑"/>
          <w:spacing w:val="7"/>
          <w:sz w:val="21"/>
          <w:szCs w:val="21"/>
          <w:lang w:eastAsia="zh-CN"/>
        </w:rPr>
        <w:t>：</w:t>
      </w:r>
      <w:r>
        <w:rPr>
          <w:rFonts w:ascii="微软雅黑" w:hAnsi="微软雅黑" w:eastAsia="微软雅黑" w:cs="微软雅黑"/>
          <w:spacing w:val="7"/>
          <w:sz w:val="21"/>
          <w:szCs w:val="21"/>
        </w:rPr>
        <w:t>全球</w:t>
      </w:r>
      <w:r>
        <w:rPr>
          <w:rFonts w:hint="eastAsia" w:ascii="微软雅黑" w:hAnsi="微软雅黑" w:eastAsia="微软雅黑" w:cs="微软雅黑"/>
          <w:spacing w:val="7"/>
          <w:sz w:val="21"/>
          <w:szCs w:val="21"/>
          <w:lang w:val="en-US" w:eastAsia="zh-CN"/>
        </w:rPr>
        <w:t>主要股指</w:t>
      </w:r>
      <w:r>
        <w:rPr>
          <w:rFonts w:ascii="微软雅黑" w:hAnsi="微软雅黑" w:eastAsia="微软雅黑" w:cs="微软雅黑"/>
          <w:spacing w:val="7"/>
          <w:sz w:val="21"/>
          <w:szCs w:val="21"/>
        </w:rPr>
        <w:t>涨跌幅</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t>
      </w:r>
    </w:p>
    <w:p>
      <w:pPr>
        <w:spacing w:before="235" w:line="176" w:lineRule="auto"/>
        <w:jc w:val="both"/>
        <w:rPr>
          <w:rFonts w:hint="eastAsia"/>
          <w:lang w:eastAsia="zh-CN"/>
        </w:rPr>
      </w:pPr>
      <w:r>
        <w:drawing>
          <wp:inline distT="0" distB="0" distL="114300" distR="114300">
            <wp:extent cx="6586220" cy="3707130"/>
            <wp:effectExtent l="0" t="0" r="5080"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a:stretch>
                      <a:fillRect/>
                    </a:stretch>
                  </pic:blipFill>
                  <pic:spPr>
                    <a:xfrm>
                      <a:off x="0" y="0"/>
                      <a:ext cx="6586220" cy="3707130"/>
                    </a:xfrm>
                    <a:prstGeom prst="rect">
                      <a:avLst/>
                    </a:prstGeom>
                    <a:noFill/>
                    <a:ln>
                      <a:noFill/>
                    </a:ln>
                  </pic:spPr>
                </pic:pic>
              </a:graphicData>
            </a:graphic>
          </wp:inline>
        </w:drawing>
      </w:r>
    </w:p>
    <w:p>
      <w:pPr>
        <w:spacing w:before="120" w:line="190" w:lineRule="auto"/>
        <w:jc w:val="both"/>
        <w:rPr>
          <w:rFonts w:ascii="微软雅黑" w:hAnsi="微软雅黑" w:eastAsia="微软雅黑" w:cs="微软雅黑"/>
          <w:spacing w:val="7"/>
          <w:sz w:val="21"/>
          <w:szCs w:val="21"/>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公开资料整理、瑞达国际</w:t>
      </w:r>
    </w:p>
    <w:p>
      <w:pPr>
        <w:pStyle w:val="3"/>
        <w:spacing w:line="282" w:lineRule="auto"/>
      </w:pPr>
    </w:p>
    <w:p>
      <w:pPr>
        <w:pStyle w:val="3"/>
        <w:spacing w:line="282" w:lineRule="auto"/>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消息回顾</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美联储“鹰派票委”博斯蒂克表示，预计新冠疫情期间出现的“爆炸性”价格压力将在明年恢复到正常水平。他认为今年第四季度，美联储可能会真正考虑并准备降息。</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美联储威廉姆斯：最近在降低通胀方面进展不足；有充分证据表明货币政策具有限制性；2024年PCE通胀将放缓至2.5%，2025年将接近2%；货币政策设置良好，推动美联储目标的达成；正在收到的数据表明经济增速放缓，但保持稳健；预计通胀将在2024年下半年恢复放缓；预计年底失业率将达到4%；预计今年经济增速为2%-2.5%。</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美国第一季度实际GDP年化季率下修0.3个百分点至1.3%，明显低于2023年第四季度3.4%的增速，主要是因为个人消费支出下修0.5个百分点至2%。另外，一季度核心PCE物价指数小幅下修至3.6%。</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u w:val="none"/>
          <w:shd w:val="clear" w:fill="FFFFFF"/>
        </w:rPr>
        <w:t>美国上周初请失业金人数</w:t>
      </w:r>
      <w:r>
        <w:rPr>
          <w:rFonts w:hint="eastAsia" w:ascii="微软雅黑" w:hAnsi="微软雅黑" w:eastAsia="微软雅黑" w:cs="微软雅黑"/>
          <w:b w:val="0"/>
          <w:bCs w:val="0"/>
          <w:i w:val="0"/>
          <w:iCs w:val="0"/>
          <w:caps w:val="0"/>
          <w:color w:val="333333"/>
          <w:spacing w:val="0"/>
          <w:sz w:val="24"/>
          <w:szCs w:val="24"/>
          <w:shd w:val="clear" w:fill="FFFFFF"/>
        </w:rPr>
        <w:t>增加3000人至21.9万人，略高于市场预期的21.8万人。截至5月18日</w:t>
      </w:r>
      <w:r>
        <w:rPr>
          <w:rFonts w:hint="eastAsia" w:ascii="微软雅黑" w:hAnsi="微软雅黑" w:eastAsia="微软雅黑" w:cs="微软雅黑"/>
          <w:b w:val="0"/>
          <w:bCs w:val="0"/>
          <w:sz w:val="24"/>
          <w:szCs w:val="24"/>
          <w:u w:val="none"/>
        </w:rPr>
        <w:t>当周续请失业金人数</w:t>
      </w:r>
      <w:r>
        <w:rPr>
          <w:rFonts w:hint="eastAsia" w:ascii="微软雅黑" w:hAnsi="微软雅黑" w:eastAsia="微软雅黑" w:cs="微软雅黑"/>
          <w:b w:val="0"/>
          <w:bCs w:val="0"/>
          <w:i w:val="0"/>
          <w:iCs w:val="0"/>
          <w:caps w:val="0"/>
          <w:color w:val="333333"/>
          <w:spacing w:val="0"/>
          <w:sz w:val="24"/>
          <w:szCs w:val="24"/>
          <w:shd w:val="clear" w:fill="FFFFFF"/>
        </w:rPr>
        <w:t>增加4000人至179.1万人，低于市场预期。</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z w:val="24"/>
          <w:szCs w:val="24"/>
          <w:u w:val="none"/>
        </w:rPr>
        <w:t>美国4月成屋签约销售指数环比</w:t>
      </w:r>
      <w:r>
        <w:rPr>
          <w:rFonts w:hint="eastAsia" w:ascii="微软雅黑" w:hAnsi="微软雅黑" w:eastAsia="微软雅黑" w:cs="微软雅黑"/>
          <w:b w:val="0"/>
          <w:bCs w:val="0"/>
          <w:i w:val="0"/>
          <w:iCs w:val="0"/>
          <w:caps w:val="0"/>
          <w:color w:val="333333"/>
          <w:spacing w:val="0"/>
          <w:sz w:val="24"/>
          <w:szCs w:val="24"/>
          <w:shd w:val="clear" w:fill="FFFFFF"/>
        </w:rPr>
        <w:t>降7.7%，创2021年2月以来最大降幅，预期降0.6%，前值从升3.4%修正为升3.6%。</w:t>
      </w:r>
      <w:r>
        <w:rPr>
          <w:rFonts w:hint="eastAsia" w:ascii="微软雅黑" w:hAnsi="微软雅黑" w:eastAsia="微软雅黑" w:cs="微软雅黑"/>
          <w:b w:val="0"/>
          <w:bCs w:val="0"/>
          <w:spacing w:val="4"/>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i w:val="0"/>
          <w:iCs w:val="0"/>
          <w:caps w:val="0"/>
          <w:color w:val="333333"/>
          <w:spacing w:val="0"/>
          <w:sz w:val="24"/>
          <w:szCs w:val="24"/>
          <w:shd w:val="clear" w:fill="FFFFFF"/>
        </w:rPr>
        <w:t>欧元区5月工业景气指数-9.9，预期-9.4，前值-10.5；经济景气指数96.0，预期96.2，前值95.6。</w:t>
      </w:r>
      <w:r>
        <w:rPr>
          <w:rFonts w:hint="eastAsia" w:ascii="微软雅黑" w:hAnsi="微软雅黑" w:eastAsia="微软雅黑" w:cs="微软雅黑"/>
          <w:b w:val="0"/>
          <w:bCs w:val="0"/>
          <w:sz w:val="24"/>
          <w:szCs w:val="24"/>
          <w:u w:val="none"/>
        </w:rPr>
        <w:t>欧元区4月失业率</w:t>
      </w:r>
      <w:r>
        <w:rPr>
          <w:rFonts w:hint="eastAsia" w:ascii="微软雅黑" w:hAnsi="微软雅黑" w:eastAsia="微软雅黑" w:cs="微软雅黑"/>
          <w:b w:val="0"/>
          <w:bCs w:val="0"/>
          <w:i w:val="0"/>
          <w:iCs w:val="0"/>
          <w:caps w:val="0"/>
          <w:color w:val="333333"/>
          <w:spacing w:val="0"/>
          <w:sz w:val="24"/>
          <w:szCs w:val="24"/>
          <w:shd w:val="clear" w:fill="FFFFFF"/>
        </w:rPr>
        <w:t>为6.4%，预期6.5%，前值6.5%。</w:t>
      </w:r>
      <w:r>
        <w:rPr>
          <w:rFonts w:hint="eastAsia" w:ascii="微软雅黑" w:hAnsi="微软雅黑" w:eastAsia="微软雅黑" w:cs="微软雅黑"/>
          <w:b w:val="0"/>
          <w:bCs w:val="0"/>
          <w:i w:val="0"/>
          <w:iCs w:val="0"/>
          <w:caps w:val="0"/>
          <w:color w:val="333333"/>
          <w:spacing w:val="0"/>
          <w:sz w:val="24"/>
          <w:szCs w:val="24"/>
          <w:shd w:val="clear" w:fill="FFFFFF"/>
          <w:lang w:eastAsia="zh-CN"/>
        </w:rPr>
        <w:t>】</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p>
    <w:p>
      <w:pPr>
        <w:spacing w:before="120" w:line="190" w:lineRule="auto"/>
        <w:ind w:left="6"/>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9"/>
          <w:sz w:val="28"/>
          <w:szCs w:val="28"/>
          <w:lang w:val="en-US" w:eastAsia="zh-CN"/>
        </w:rPr>
        <w:t>今日关注</w:t>
      </w:r>
    </w:p>
    <w:p>
      <w:pPr>
        <w:spacing w:before="84"/>
      </w:pPr>
    </w:p>
    <w:tbl>
      <w:tblPr>
        <w:tblStyle w:val="13"/>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143"/>
        <w:gridCol w:w="6679"/>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2710" w:type="dxa"/>
            <w:gridSpan w:val="2"/>
            <w:shd w:val="clear" w:color="auto" w:fill="3D85C1"/>
            <w:vAlign w:val="top"/>
          </w:tcPr>
          <w:p>
            <w:pPr>
              <w:pStyle w:val="12"/>
              <w:spacing w:before="221" w:line="182" w:lineRule="auto"/>
              <w:ind w:left="1142"/>
              <w:rPr>
                <w:sz w:val="19"/>
                <w:szCs w:val="19"/>
              </w:rPr>
            </w:pPr>
            <w:r>
              <w:rPr>
                <w:b/>
                <w:bCs/>
                <w:color w:val="FFFFFF"/>
                <w:spacing w:val="4"/>
                <w:sz w:val="19"/>
                <w:szCs w:val="19"/>
              </w:rPr>
              <w:t>时间</w:t>
            </w:r>
          </w:p>
        </w:tc>
        <w:tc>
          <w:tcPr>
            <w:tcW w:w="6679" w:type="dxa"/>
            <w:shd w:val="clear" w:color="auto" w:fill="3D85C1"/>
            <w:vAlign w:val="top"/>
          </w:tcPr>
          <w:p>
            <w:pPr>
              <w:pStyle w:val="12"/>
              <w:spacing w:before="221" w:line="195" w:lineRule="auto"/>
              <w:ind w:left="2866"/>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vAlign w:val="top"/>
          </w:tcPr>
          <w:p>
            <w:pPr>
              <w:pStyle w:val="12"/>
              <w:spacing w:before="243" w:line="172" w:lineRule="auto"/>
              <w:ind w:left="94" w:leftChars="0"/>
              <w:jc w:val="left"/>
              <w:rPr>
                <w:rFonts w:hint="eastAsia" w:ascii="微软雅黑" w:hAnsi="微软雅黑" w:eastAsia="微软雅黑" w:cs="微软雅黑"/>
                <w:b/>
                <w:bCs/>
                <w:snapToGrid w:val="0"/>
                <w:color w:val="000000"/>
                <w:kern w:val="0"/>
                <w:sz w:val="19"/>
                <w:szCs w:val="19"/>
                <w:lang w:val="en-US" w:eastAsia="zh-CN" w:bidi="ar-SA"/>
              </w:rPr>
            </w:pPr>
            <w:r>
              <w:rPr>
                <w:rFonts w:hint="default" w:eastAsia="微软雅黑"/>
                <w:sz w:val="19"/>
                <w:szCs w:val="19"/>
                <w:lang w:val="en-US" w:eastAsia="zh-CN"/>
              </w:rPr>
              <w:t>07:30</w:t>
            </w:r>
          </w:p>
        </w:tc>
        <w:tc>
          <w:tcPr>
            <w:tcW w:w="6679" w:type="dxa"/>
            <w:vAlign w:val="top"/>
          </w:tcPr>
          <w:p>
            <w:pPr>
              <w:pStyle w:val="12"/>
              <w:spacing w:before="224" w:line="179" w:lineRule="auto"/>
              <w:jc w:val="center"/>
              <w:rPr>
                <w:rFonts w:hint="default" w:eastAsia="微软雅黑"/>
                <w:sz w:val="19"/>
                <w:szCs w:val="19"/>
                <w:lang w:val="en-US" w:eastAsia="zh-CN"/>
              </w:rPr>
            </w:pPr>
            <w:r>
              <w:rPr>
                <w:rFonts w:hint="default" w:eastAsia="微软雅黑"/>
                <w:sz w:val="19"/>
                <w:szCs w:val="19"/>
                <w:lang w:val="en-US" w:eastAsia="zh-CN"/>
              </w:rPr>
              <w:t>日本4月失业率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shd w:val="clear" w:color="auto" w:fill="D3EAFF"/>
            <w:vAlign w:val="top"/>
          </w:tcPr>
          <w:p>
            <w:pPr>
              <w:pStyle w:val="12"/>
              <w:spacing w:before="243" w:line="172" w:lineRule="auto"/>
              <w:ind w:left="94" w:leftChars="0"/>
              <w:jc w:val="left"/>
              <w:rPr>
                <w:rFonts w:hint="eastAsia" w:ascii="微软雅黑" w:hAnsi="微软雅黑" w:eastAsia="微软雅黑" w:cs="微软雅黑"/>
                <w:snapToGrid w:val="0"/>
                <w:color w:val="000000"/>
                <w:kern w:val="0"/>
                <w:sz w:val="19"/>
                <w:szCs w:val="19"/>
                <w:lang w:val="en-US" w:eastAsia="en-US" w:bidi="ar-SA"/>
              </w:rPr>
            </w:pPr>
            <w:r>
              <w:rPr>
                <w:rFonts w:hint="eastAsia"/>
              </w:rPr>
              <w:t xml:space="preserve">09:30 </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eastAsia"/>
              </w:rPr>
              <w:t>中国5月官方制造业PMI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2"/>
              <w:spacing w:before="228" w:line="191" w:lineRule="auto"/>
              <w:ind w:left="449" w:leftChars="0"/>
              <w:rPr>
                <w:rFonts w:hint="eastAsia" w:ascii="微软雅黑" w:hAnsi="微软雅黑" w:eastAsia="微软雅黑" w:cs="微软雅黑"/>
                <w:snapToGrid w:val="0"/>
                <w:color w:val="000000"/>
                <w:kern w:val="0"/>
                <w:sz w:val="19"/>
                <w:szCs w:val="19"/>
                <w:lang w:val="en-US" w:eastAsia="zh-CN"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vAlign w:val="top"/>
          </w:tcPr>
          <w:p>
            <w:pPr>
              <w:pStyle w:val="12"/>
              <w:spacing w:before="243" w:line="172" w:lineRule="auto"/>
              <w:ind w:left="94" w:leftChars="0"/>
              <w:jc w:val="left"/>
              <w:rPr>
                <w:rFonts w:hint="eastAsia" w:ascii="微软雅黑" w:hAnsi="微软雅黑" w:eastAsia="微软雅黑" w:cs="微软雅黑"/>
                <w:snapToGrid w:val="0"/>
                <w:color w:val="000000"/>
                <w:kern w:val="0"/>
                <w:sz w:val="19"/>
                <w:szCs w:val="19"/>
                <w:lang w:val="en-US" w:eastAsia="zh-CN" w:bidi="ar-SA"/>
              </w:rPr>
            </w:pPr>
            <w:r>
              <w:rPr>
                <w:rFonts w:hint="eastAsia"/>
              </w:rPr>
              <w:t>14:45</w:t>
            </w:r>
          </w:p>
        </w:tc>
        <w:tc>
          <w:tcPr>
            <w:tcW w:w="6679" w:type="dxa"/>
            <w:vAlign w:val="top"/>
          </w:tcPr>
          <w:p>
            <w:pPr>
              <w:pStyle w:val="12"/>
              <w:spacing w:before="224" w:line="179" w:lineRule="auto"/>
              <w:jc w:val="center"/>
              <w:rPr>
                <w:rFonts w:hint="default" w:eastAsia="微软雅黑"/>
                <w:sz w:val="19"/>
                <w:szCs w:val="19"/>
                <w:lang w:val="en-US" w:eastAsia="zh-CN"/>
              </w:rPr>
            </w:pPr>
            <w:r>
              <w:rPr>
                <w:rFonts w:hint="eastAsia"/>
              </w:rPr>
              <w:t>法国5月CPI月率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D3EAFF"/>
            <w:vAlign w:val="top"/>
          </w:tcPr>
          <w:p>
            <w:pPr>
              <w:pStyle w:val="12"/>
              <w:spacing w:before="228" w:line="191" w:lineRule="auto"/>
              <w:ind w:left="449" w:leftChars="0"/>
              <w:rPr>
                <w:rFonts w:hint="eastAsia" w:ascii="微软雅黑" w:hAnsi="微软雅黑" w:eastAsia="微软雅黑" w:cs="微软雅黑"/>
                <w:b/>
                <w:bCs/>
                <w:spacing w:val="3"/>
                <w:sz w:val="19"/>
                <w:szCs w:val="19"/>
                <w:lang w:val="en-US"/>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shd w:val="clear" w:color="auto" w:fill="D3EAFF"/>
            <w:vAlign w:val="top"/>
          </w:tcPr>
          <w:p>
            <w:pPr>
              <w:pStyle w:val="12"/>
              <w:spacing w:before="243" w:line="172" w:lineRule="auto"/>
              <w:ind w:left="94" w:leftChars="0"/>
              <w:jc w:val="left"/>
              <w:rPr>
                <w:rFonts w:hint="eastAsia" w:ascii="微软雅黑" w:hAnsi="微软雅黑" w:eastAsia="微软雅黑" w:cs="微软雅黑"/>
                <w:b/>
                <w:bCs/>
                <w:spacing w:val="3"/>
                <w:sz w:val="19"/>
                <w:szCs w:val="19"/>
                <w:lang w:val="en-US" w:eastAsia="zh-CN"/>
              </w:rPr>
            </w:pPr>
            <w:r>
              <w:rPr>
                <w:rFonts w:hint="eastAsia"/>
              </w:rPr>
              <w:t>17:00</w:t>
            </w:r>
          </w:p>
        </w:tc>
        <w:tc>
          <w:tcPr>
            <w:tcW w:w="6679" w:type="dxa"/>
            <w:shd w:val="clear" w:color="auto" w:fill="D3EAFF"/>
            <w:vAlign w:val="top"/>
          </w:tcPr>
          <w:p>
            <w:pPr>
              <w:pStyle w:val="12"/>
              <w:spacing w:before="224" w:line="179" w:lineRule="auto"/>
              <w:jc w:val="center"/>
              <w:rPr>
                <w:rFonts w:hint="default" w:eastAsia="微软雅黑"/>
                <w:sz w:val="19"/>
                <w:szCs w:val="19"/>
                <w:lang w:val="en-US" w:eastAsia="zh-CN"/>
              </w:rPr>
            </w:pPr>
            <w:r>
              <w:rPr>
                <w:rFonts w:hint="eastAsia"/>
              </w:rPr>
              <w:t>欧元区5月CPI年率初值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auto"/>
            <w:vAlign w:val="top"/>
          </w:tcPr>
          <w:p>
            <w:pPr>
              <w:pStyle w:val="12"/>
              <w:spacing w:before="228" w:line="191" w:lineRule="auto"/>
              <w:ind w:left="449" w:leftChars="0"/>
              <w:rPr>
                <w:rFonts w:hint="eastAsia" w:ascii="微软雅黑" w:hAnsi="微软雅黑" w:eastAsia="微软雅黑" w:cs="微软雅黑"/>
                <w:b/>
                <w:bCs/>
                <w:snapToGrid w:val="0"/>
                <w:color w:val="000000"/>
                <w:spacing w:val="3"/>
                <w:kern w:val="0"/>
                <w:sz w:val="19"/>
                <w:szCs w:val="19"/>
                <w:lang w:val="en-US" w:eastAsia="en-US"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shd w:val="clear" w:color="auto" w:fill="auto"/>
            <w:vAlign w:val="top"/>
          </w:tcPr>
          <w:p>
            <w:pPr>
              <w:pStyle w:val="12"/>
              <w:spacing w:before="243" w:line="172" w:lineRule="auto"/>
              <w:ind w:left="94" w:leftChars="0"/>
              <w:jc w:val="left"/>
              <w:rPr>
                <w:rFonts w:hint="eastAsia" w:ascii="微软雅黑" w:hAnsi="微软雅黑" w:eastAsia="微软雅黑" w:cs="微软雅黑"/>
                <w:b/>
                <w:bCs/>
                <w:snapToGrid w:val="0"/>
                <w:color w:val="000000"/>
                <w:spacing w:val="3"/>
                <w:kern w:val="0"/>
                <w:sz w:val="19"/>
                <w:szCs w:val="19"/>
                <w:lang w:val="en-US" w:eastAsia="zh-CN" w:bidi="ar-SA"/>
              </w:rPr>
            </w:pPr>
            <w:r>
              <w:rPr>
                <w:rFonts w:hint="eastAsia"/>
              </w:rPr>
              <w:t xml:space="preserve">20:30 </w:t>
            </w:r>
          </w:p>
        </w:tc>
        <w:tc>
          <w:tcPr>
            <w:tcW w:w="6679" w:type="dxa"/>
            <w:shd w:val="clear" w:color="auto" w:fill="auto"/>
            <w:vAlign w:val="top"/>
          </w:tcPr>
          <w:p>
            <w:pPr>
              <w:pStyle w:val="12"/>
              <w:spacing w:before="224" w:line="179" w:lineRule="auto"/>
              <w:jc w:val="center"/>
              <w:rPr>
                <w:rFonts w:hint="default" w:eastAsia="微软雅黑"/>
                <w:sz w:val="19"/>
                <w:szCs w:val="19"/>
                <w:lang w:val="en-US" w:eastAsia="zh-CN"/>
              </w:rPr>
            </w:pPr>
            <w:r>
              <w:rPr>
                <w:rFonts w:hint="eastAsia"/>
              </w:rPr>
              <w:t>美国4月核心PCE物价指数年率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shd w:val="clear" w:color="auto" w:fill="FFFFFF"/>
            <w:vAlign w:val="top"/>
          </w:tcPr>
          <w:p>
            <w:pPr>
              <w:pStyle w:val="12"/>
              <w:spacing w:before="228" w:line="191" w:lineRule="auto"/>
              <w:ind w:left="449" w:leftChars="0"/>
              <w:rPr>
                <w:rFonts w:hint="eastAsia" w:ascii="微软雅黑" w:hAnsi="微软雅黑" w:eastAsia="微软雅黑" w:cs="微软雅黑"/>
                <w:b/>
                <w:bCs/>
                <w:snapToGrid w:val="0"/>
                <w:color w:val="000000"/>
                <w:spacing w:val="3"/>
                <w:kern w:val="0"/>
                <w:sz w:val="19"/>
                <w:szCs w:val="19"/>
                <w:lang w:val="en-US" w:eastAsia="en-US" w:bidi="ar-SA"/>
              </w:rPr>
            </w:pPr>
            <w:r>
              <w:rPr>
                <w:rFonts w:hint="eastAsia" w:ascii="微软雅黑" w:hAnsi="微软雅黑" w:eastAsia="微软雅黑" w:cs="微软雅黑"/>
                <w:b/>
                <w:bCs/>
                <w:spacing w:val="3"/>
                <w:sz w:val="19"/>
                <w:szCs w:val="19"/>
              </w:rPr>
              <w:t>2024/</w:t>
            </w:r>
            <w:r>
              <w:rPr>
                <w:rFonts w:hint="eastAsia" w:ascii="微软雅黑" w:hAnsi="微软雅黑" w:eastAsia="微软雅黑" w:cs="微软雅黑"/>
                <w:b/>
                <w:bCs/>
                <w:spacing w:val="3"/>
                <w:sz w:val="19"/>
                <w:szCs w:val="19"/>
                <w:lang w:val="en-US" w:eastAsia="zh-CN"/>
              </w:rPr>
              <w:t>5</w:t>
            </w:r>
            <w:r>
              <w:rPr>
                <w:rFonts w:hint="eastAsia" w:ascii="微软雅黑" w:hAnsi="微软雅黑" w:eastAsia="微软雅黑" w:cs="微软雅黑"/>
                <w:b/>
                <w:bCs/>
                <w:spacing w:val="3"/>
                <w:sz w:val="19"/>
                <w:szCs w:val="19"/>
              </w:rPr>
              <w:t>/</w:t>
            </w:r>
            <w:r>
              <w:rPr>
                <w:rFonts w:hint="eastAsia" w:ascii="微软雅黑" w:hAnsi="微软雅黑" w:eastAsia="微软雅黑" w:cs="微软雅黑"/>
                <w:b/>
                <w:bCs/>
                <w:spacing w:val="3"/>
                <w:sz w:val="19"/>
                <w:szCs w:val="19"/>
                <w:lang w:val="en-US" w:eastAsia="zh-CN"/>
              </w:rPr>
              <w:t>3</w:t>
            </w:r>
            <w:r>
              <w:rPr>
                <w:rFonts w:hint="eastAsia" w:cs="微软雅黑"/>
                <w:b/>
                <w:bCs/>
                <w:spacing w:val="3"/>
                <w:sz w:val="19"/>
                <w:szCs w:val="19"/>
                <w:lang w:val="en-US" w:eastAsia="zh-CN"/>
              </w:rPr>
              <w:t>1</w:t>
            </w:r>
          </w:p>
        </w:tc>
        <w:tc>
          <w:tcPr>
            <w:tcW w:w="1143" w:type="dxa"/>
            <w:shd w:val="clear" w:color="auto" w:fill="FFFFFF"/>
            <w:vAlign w:val="top"/>
          </w:tcPr>
          <w:p>
            <w:pPr>
              <w:pStyle w:val="12"/>
              <w:spacing w:before="243" w:line="172" w:lineRule="auto"/>
              <w:ind w:left="94" w:leftChars="0"/>
              <w:jc w:val="left"/>
              <w:rPr>
                <w:rFonts w:hint="eastAsia" w:ascii="微软雅黑" w:hAnsi="微软雅黑" w:eastAsia="微软雅黑" w:cs="微软雅黑"/>
                <w:b/>
                <w:bCs/>
                <w:spacing w:val="5"/>
                <w:sz w:val="19"/>
                <w:szCs w:val="19"/>
                <w:lang w:val="en-US" w:eastAsia="zh-CN"/>
              </w:rPr>
            </w:pPr>
            <w:r>
              <w:rPr>
                <w:rFonts w:hint="eastAsia"/>
              </w:rPr>
              <w:t>20:30</w:t>
            </w:r>
          </w:p>
        </w:tc>
        <w:tc>
          <w:tcPr>
            <w:tcW w:w="6679" w:type="dxa"/>
            <w:shd w:val="clear" w:color="auto" w:fill="FFFFFF"/>
            <w:vAlign w:val="top"/>
          </w:tcPr>
          <w:p>
            <w:pPr>
              <w:pStyle w:val="12"/>
              <w:spacing w:before="224" w:line="179" w:lineRule="auto"/>
              <w:jc w:val="center"/>
              <w:rPr>
                <w:rFonts w:hint="default" w:eastAsia="微软雅黑"/>
                <w:sz w:val="19"/>
                <w:szCs w:val="19"/>
                <w:lang w:val="en-US" w:eastAsia="zh-CN"/>
              </w:rPr>
            </w:pPr>
            <w:r>
              <w:rPr>
                <w:rFonts w:hint="eastAsia"/>
              </w:rPr>
              <w:t>美国4月核心PCE物价指数月率</w:t>
            </w:r>
          </w:p>
        </w:tc>
      </w:tr>
    </w:tbl>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ascii="微软雅黑" w:hAnsi="微软雅黑" w:eastAsia="微软雅黑" w:cs="微软雅黑"/>
          <w:color w:val="036EB8"/>
          <w:position w:val="-4"/>
          <w:sz w:val="28"/>
          <w:szCs w:val="28"/>
        </w:rPr>
      </w:pPr>
    </w:p>
    <w:p>
      <w:pPr>
        <w:spacing w:before="120" w:line="190" w:lineRule="auto"/>
        <w:rPr>
          <w:rFonts w:hint="eastAsia" w:ascii="微软雅黑" w:hAnsi="微软雅黑" w:eastAsia="微软雅黑" w:cs="微软雅黑"/>
          <w:b/>
          <w:bCs/>
          <w:color w:val="036EB8"/>
          <w:spacing w:val="15"/>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8" name="IM 14"/>
            <wp:cNvGraphicFramePr/>
            <a:graphic xmlns:a="http://schemas.openxmlformats.org/drawingml/2006/main">
              <a:graphicData uri="http://schemas.openxmlformats.org/drawingml/2006/picture">
                <pic:pic xmlns:pic="http://schemas.openxmlformats.org/drawingml/2006/picture">
                  <pic:nvPicPr>
                    <pic:cNvPr id="8"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hint="eastAsia" w:ascii="微软雅黑" w:hAnsi="微软雅黑" w:eastAsia="微软雅黑" w:cs="微软雅黑"/>
          <w:b/>
          <w:bCs/>
          <w:color w:val="036EB8"/>
          <w:spacing w:val="15"/>
          <w:sz w:val="28"/>
          <w:szCs w:val="28"/>
          <w:lang w:val="en-US" w:eastAsia="zh-CN"/>
        </w:rPr>
        <w:t>观点汇总</w:t>
      </w: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美元指数</w:t>
      </w:r>
    </w:p>
    <w:p>
      <w:pPr>
        <w:spacing w:before="235" w:line="360" w:lineRule="auto"/>
        <w:jc w:val="both"/>
        <w:rPr>
          <w:rFonts w:hint="eastAsia" w:ascii="微软雅黑" w:hAnsi="微软雅黑" w:eastAsia="微软雅黑" w:cs="微软雅黑"/>
          <w:i w:val="0"/>
          <w:iCs w:val="0"/>
          <w:caps w:val="0"/>
          <w:color w:val="2C3E50"/>
          <w:spacing w:val="0"/>
          <w:sz w:val="24"/>
          <w:szCs w:val="24"/>
          <w:shd w:val="clear" w:fill="FFFFFF"/>
        </w:rPr>
      </w:pPr>
      <w:r>
        <w:rPr>
          <w:rFonts w:hint="eastAsia" w:ascii="微软雅黑" w:hAnsi="微软雅黑" w:eastAsia="微软雅黑" w:cs="微软雅黑"/>
          <w:i w:val="0"/>
          <w:iCs w:val="0"/>
          <w:caps w:val="0"/>
          <w:color w:val="2C3E50"/>
          <w:spacing w:val="0"/>
          <w:sz w:val="24"/>
          <w:szCs w:val="24"/>
          <w:shd w:val="clear" w:fill="FFFFFF"/>
        </w:rPr>
        <w:t>截至周五美元指数跌0.36%报104.75，非美货币普遍上涨，欧元兑美元涨0.37%报1.0842，英镑兑美元涨0.33%报1.2742，澳元兑美元涨0.52%报0.6644，美元兑日元跌0.62%报156.69。昨日公布的美国第一季度实际GDP年化季率下修0.3个百分点至1.3%，明显低于2023年第四季度3.4%的增速，主要受个人消费增速放缓拖累。除此之外，一季度核心PCE物价指数小幅下修至3.6%，整体通胀水平仍较美联储目标保有一定距离。昨日数位美联储官员于公开演讲中表示货币政策处于限制性水平区间，对未来通胀回落前景表达相对乐观的态度，整体基调偏鸽。往后看，短期内美国经济放缓或缓解市场对通胀滞留的担忧，利率预期回落或使美元指数相对承压。</w:t>
      </w:r>
    </w:p>
    <w:p>
      <w:pPr>
        <w:spacing w:before="235" w:line="360" w:lineRule="auto"/>
        <w:jc w:val="both"/>
        <w:rPr>
          <w:rFonts w:hint="default" w:ascii="微软雅黑" w:hAnsi="微软雅黑" w:eastAsia="微软雅黑" w:cs="微软雅黑"/>
          <w:spacing w:val="12"/>
          <w:sz w:val="24"/>
          <w:szCs w:val="24"/>
          <w:lang w:val="en-US" w:eastAsia="zh-CN"/>
        </w:rPr>
      </w:pPr>
      <w:r>
        <w:rPr>
          <w:rFonts w:ascii="微软雅黑" w:hAnsi="微软雅黑" w:eastAsia="微软雅黑" w:cs="微软雅黑"/>
          <w:spacing w:val="7"/>
          <w:sz w:val="21"/>
          <w:szCs w:val="21"/>
        </w:rPr>
        <w:t>图表</w:t>
      </w:r>
      <w:r>
        <w:rPr>
          <w:rFonts w:hint="eastAsia" w:ascii="微软雅黑" w:hAnsi="微软雅黑" w:eastAsia="微软雅黑" w:cs="微软雅黑"/>
          <w:spacing w:val="7"/>
          <w:sz w:val="21"/>
          <w:szCs w:val="21"/>
          <w:lang w:val="en-US" w:eastAsia="zh-CN"/>
        </w:rPr>
        <w:t>2</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美元指数走势图</w:t>
      </w:r>
    </w:p>
    <w:p>
      <w:pPr>
        <w:spacing w:before="103" w:line="256" w:lineRule="auto"/>
        <w:ind w:right="743"/>
        <w:jc w:val="center"/>
      </w:pPr>
      <w:r>
        <w:drawing>
          <wp:inline distT="0" distB="0" distL="114300" distR="114300">
            <wp:extent cx="6581775" cy="4114800"/>
            <wp:effectExtent l="0" t="0" r="9525"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6581775" cy="4114800"/>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资料来源</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S&amp;P500</w:t>
      </w:r>
    </w:p>
    <w:p>
      <w:pPr>
        <w:spacing w:line="360" w:lineRule="auto"/>
        <w:rPr>
          <w:rFonts w:ascii="新宋体" w:hAnsi="新宋体" w:eastAsia="新宋体"/>
          <w:sz w:val="24"/>
          <w:szCs w:val="24"/>
        </w:rPr>
      </w:pPr>
      <w:r>
        <w:rPr>
          <w:rFonts w:hint="eastAsia" w:ascii="新宋体" w:hAnsi="新宋体" w:eastAsia="新宋体"/>
          <w:sz w:val="24"/>
          <w:szCs w:val="24"/>
        </w:rPr>
        <w:t>截至</w:t>
      </w:r>
      <w:r>
        <w:rPr>
          <w:rFonts w:ascii="新宋体" w:hAnsi="新宋体" w:eastAsia="新宋体"/>
          <w:sz w:val="24"/>
          <w:szCs w:val="24"/>
        </w:rPr>
        <w:t>5</w:t>
      </w:r>
      <w:r>
        <w:rPr>
          <w:rFonts w:hint="eastAsia" w:ascii="新宋体" w:hAnsi="新宋体" w:eastAsia="新宋体"/>
          <w:sz w:val="24"/>
          <w:szCs w:val="24"/>
        </w:rPr>
        <w:t>月</w:t>
      </w:r>
      <w:r>
        <w:rPr>
          <w:rFonts w:ascii="新宋体" w:hAnsi="新宋体" w:eastAsia="新宋体"/>
          <w:sz w:val="24"/>
          <w:szCs w:val="24"/>
        </w:rPr>
        <w:t>31</w:t>
      </w:r>
      <w:r>
        <w:rPr>
          <w:rFonts w:hint="eastAsia" w:ascii="新宋体" w:hAnsi="新宋体" w:eastAsia="新宋体"/>
          <w:sz w:val="24"/>
          <w:szCs w:val="24"/>
        </w:rPr>
        <w:t>日，标普5</w:t>
      </w:r>
      <w:r>
        <w:rPr>
          <w:rFonts w:ascii="新宋体" w:hAnsi="新宋体" w:eastAsia="新宋体"/>
          <w:sz w:val="24"/>
          <w:szCs w:val="24"/>
        </w:rPr>
        <w:t>00</w:t>
      </w:r>
      <w:r>
        <w:rPr>
          <w:rFonts w:hint="eastAsia" w:ascii="新宋体" w:hAnsi="新宋体" w:eastAsia="新宋体"/>
          <w:sz w:val="24"/>
          <w:szCs w:val="24"/>
        </w:rPr>
        <w:t>指数收跌</w:t>
      </w:r>
      <w:r>
        <w:rPr>
          <w:rFonts w:ascii="新宋体" w:hAnsi="新宋体" w:eastAsia="新宋体"/>
          <w:sz w:val="24"/>
          <w:szCs w:val="24"/>
        </w:rPr>
        <w:t>0.60%</w:t>
      </w:r>
      <w:r>
        <w:rPr>
          <w:rFonts w:hint="eastAsia" w:ascii="新宋体" w:hAnsi="新宋体" w:eastAsia="新宋体"/>
          <w:sz w:val="24"/>
          <w:szCs w:val="24"/>
        </w:rPr>
        <w:t>至</w:t>
      </w:r>
      <w:r>
        <w:rPr>
          <w:rFonts w:ascii="新宋体" w:hAnsi="新宋体" w:eastAsia="新宋体"/>
          <w:sz w:val="24"/>
          <w:szCs w:val="24"/>
        </w:rPr>
        <w:t>5235.48</w:t>
      </w:r>
      <w:r>
        <w:rPr>
          <w:rFonts w:hint="eastAsia" w:ascii="新宋体" w:hAnsi="新宋体" w:eastAsia="新宋体"/>
          <w:sz w:val="24"/>
          <w:szCs w:val="24"/>
        </w:rPr>
        <w:t>点；迷你标普5</w:t>
      </w:r>
      <w:r>
        <w:rPr>
          <w:rFonts w:ascii="新宋体" w:hAnsi="新宋体" w:eastAsia="新宋体"/>
          <w:sz w:val="24"/>
          <w:szCs w:val="24"/>
        </w:rPr>
        <w:t>00</w:t>
      </w:r>
      <w:r>
        <w:rPr>
          <w:rFonts w:hint="eastAsia" w:ascii="新宋体" w:hAnsi="新宋体" w:eastAsia="新宋体"/>
          <w:sz w:val="24"/>
          <w:szCs w:val="24"/>
        </w:rPr>
        <w:t>主力合约收跌</w:t>
      </w:r>
      <w:r>
        <w:rPr>
          <w:rFonts w:ascii="新宋体" w:hAnsi="新宋体" w:eastAsia="新宋体"/>
          <w:sz w:val="24"/>
          <w:szCs w:val="24"/>
        </w:rPr>
        <w:t>0.37%</w:t>
      </w:r>
      <w:r>
        <w:rPr>
          <w:rFonts w:hint="eastAsia" w:ascii="新宋体" w:hAnsi="新宋体" w:eastAsia="新宋体"/>
          <w:sz w:val="24"/>
          <w:szCs w:val="24"/>
        </w:rPr>
        <w:t>至</w:t>
      </w:r>
      <w:r>
        <w:rPr>
          <w:rFonts w:ascii="新宋体" w:hAnsi="新宋体" w:eastAsia="新宋体"/>
          <w:sz w:val="24"/>
          <w:szCs w:val="24"/>
        </w:rPr>
        <w:t>5250.50</w:t>
      </w:r>
      <w:r>
        <w:rPr>
          <w:rFonts w:hint="eastAsia" w:ascii="新宋体" w:hAnsi="新宋体" w:eastAsia="新宋体"/>
          <w:sz w:val="24"/>
          <w:szCs w:val="24"/>
        </w:rPr>
        <w:t>点。美股周四收跌。道指下跌逾330点，录得连续第三个交易日下跌。云计算服务巨头赛富时业绩欠佳指引悲观导致股价重挫约20%，创20年来最大单日跌幅。美国第一季度GDP低于预期，令市场担忧经济增长放缓。本周市场聚焦周五的4月PCE通胀数据。策略上，短线逢低做多为主。</w:t>
      </w:r>
    </w:p>
    <w:p>
      <w:pPr>
        <w:jc w:val="center"/>
        <w:rPr>
          <w:rFonts w:ascii="新宋体" w:hAnsi="新宋体" w:eastAsia="新宋体"/>
          <w:b/>
        </w:rPr>
      </w:pPr>
    </w:p>
    <w:p>
      <w:pPr>
        <w:spacing w:before="103" w:line="256" w:lineRule="auto"/>
        <w:ind w:right="743"/>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3</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S&amp;P500走势图</w:t>
      </w:r>
    </w:p>
    <w:p>
      <w:pPr>
        <w:spacing w:before="120" w:line="190" w:lineRule="auto"/>
        <w:jc w:val="center"/>
        <w:rPr>
          <w:rFonts w:ascii="新宋体" w:hAnsi="新宋体" w:eastAsia="新宋体"/>
          <w:b/>
        </w:rPr>
      </w:pPr>
      <w:r>
        <w:rPr>
          <w:rFonts w:ascii="新宋体" w:hAnsi="新宋体" w:eastAsia="新宋体"/>
          <w:b/>
        </w:rPr>
        <w:drawing>
          <wp:inline distT="0" distB="0" distL="0" distR="0">
            <wp:extent cx="5274310" cy="16764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5274310" cy="167640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富时中国A50</w:t>
      </w:r>
    </w:p>
    <w:p>
      <w:pPr>
        <w:spacing w:line="360" w:lineRule="auto"/>
        <w:ind w:firstLine="420" w:firstLineChars="0"/>
        <w:rPr>
          <w:rFonts w:hint="eastAsia" w:ascii="微软雅黑" w:hAnsi="微软雅黑" w:eastAsia="微软雅黑" w:cs="微软雅黑"/>
          <w:sz w:val="24"/>
          <w:szCs w:val="24"/>
        </w:rPr>
      </w:pPr>
      <w:r>
        <w:rPr>
          <w:rFonts w:hint="eastAsia" w:ascii="微软雅黑" w:hAnsi="微软雅黑" w:eastAsia="微软雅黑" w:cs="微软雅黑"/>
          <w:sz w:val="24"/>
          <w:szCs w:val="24"/>
        </w:rPr>
        <w:t>截至5月30日，富时中国A50指数收跌0.88%至12514.94点；新交所富时A50期指主力合约收跌1.46%至12437点</w:t>
      </w:r>
      <w:r>
        <w:rPr>
          <w:rFonts w:hint="eastAsia" w:ascii="微软雅黑" w:hAnsi="微软雅黑" w:eastAsia="微软雅黑" w:cs="微软雅黑"/>
          <w:bCs/>
          <w:sz w:val="24"/>
          <w:szCs w:val="24"/>
        </w:rPr>
        <w:t>。近期，A股市场未发生重大政策面影响，整体消息面较为平静，市场面临上行驱动力不足的问题。后续需要关注的重点有，地产政策转向的效果及后续进一步的政策应对有待验证，关注三中全会各项改革方针的推出，以及海内外地缘政治环境对市场风险偏好的影响。</w:t>
      </w:r>
      <w:r>
        <w:rPr>
          <w:rFonts w:hint="eastAsia" w:ascii="微软雅黑" w:hAnsi="微软雅黑" w:eastAsia="微软雅黑" w:cs="微软雅黑"/>
          <w:sz w:val="24"/>
          <w:szCs w:val="24"/>
        </w:rPr>
        <w:t>策略上，短线观望为主。</w:t>
      </w:r>
    </w:p>
    <w:p>
      <w:pPr>
        <w:spacing w:before="103" w:line="256" w:lineRule="auto"/>
        <w:ind w:right="743"/>
        <w:jc w:val="both"/>
        <w:rPr>
          <w:rFonts w:hint="eastAsia" w:ascii="微软雅黑" w:hAnsi="微软雅黑" w:eastAsia="微软雅黑" w:cs="微软雅黑"/>
          <w:spacing w:val="12"/>
          <w:sz w:val="24"/>
          <w:szCs w:val="24"/>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4</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lang w:val="en-US" w:eastAsia="zh-CN"/>
        </w:rPr>
        <w:t>富时中国A50走势图</w:t>
      </w:r>
    </w:p>
    <w:p>
      <w:pPr>
        <w:spacing w:before="103" w:line="256" w:lineRule="auto"/>
        <w:ind w:right="743"/>
        <w:jc w:val="center"/>
        <w:rPr>
          <w:rFonts w:ascii="新宋体" w:hAnsi="新宋体" w:eastAsia="新宋体"/>
        </w:rPr>
      </w:pPr>
      <w:r>
        <w:rPr>
          <w:rFonts w:ascii="新宋体" w:hAnsi="新宋体" w:eastAsia="新宋体"/>
        </w:rPr>
        <w:drawing>
          <wp:inline distT="0" distB="0" distL="0" distR="0">
            <wp:extent cx="5274310" cy="1683385"/>
            <wp:effectExtent l="0" t="0" r="2540" b="1206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274310" cy="1683385"/>
                    </a:xfrm>
                    <a:prstGeom prst="rect">
                      <a:avLst/>
                    </a:prstGeom>
                  </pic:spPr>
                </pic:pic>
              </a:graphicData>
            </a:graphic>
          </wp:inline>
        </w:drawing>
      </w: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spacing w:val="7"/>
          <w:sz w:val="21"/>
          <w:szCs w:val="21"/>
          <w:lang w:val="en-US" w:eastAsia="zh-CN"/>
        </w:rPr>
        <w:t xml:space="preserve"> 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新宋体" w:hAnsi="新宋体" w:eastAsia="新宋体"/>
        </w:rPr>
      </w:pPr>
      <w:r>
        <w:rPr>
          <w:rFonts w:hint="eastAsia" w:ascii="微软雅黑" w:hAnsi="微软雅黑" w:eastAsia="微软雅黑" w:cs="微软雅黑"/>
          <w:b/>
          <w:bCs/>
          <w:spacing w:val="12"/>
          <w:sz w:val="24"/>
          <w:szCs w:val="24"/>
          <w:lang w:val="en-US" w:eastAsia="zh-CN"/>
        </w:rPr>
        <w:t>铜</w:t>
      </w: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隔夜COMEX铜震荡走弱，报收4.657美元/磅，涨跌幅-2.8%。国际方面，美国第一季度实际GDP年化季率修正值下调至1.3%，为2023年第一季度以来新低，消费者支出和通胀均有所下滑。国内方面，央行副行长陶玲：大力支持中小科技企业首贷和重点领域大规模设备更新。库存方面，截至5月30日，LME铜库存为118125吨，环比+825吨；COMEX铜库存17476短吨，环比-411短吨；SHFE每日仓单235655吨，环比+4140吨。随着GDP数据重新提振了市场对降息的信心，美元指数回落，最终收跌0.433%，报104.68。美债收益率集体回调，10年期美债收益率最终收报4.556%。对美联储政策利率最敏感的2年期美债收益率最终收报4.933%。操作上，建议COMEX铜2407合约轻仓震荡交易，注意交易节奏及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w:t>
      </w:r>
      <w:r>
        <w:rPr>
          <w:rFonts w:hint="eastAsia" w:ascii="微软雅黑" w:hAnsi="微软雅黑" w:eastAsia="微软雅黑" w:cs="微软雅黑"/>
          <w:spacing w:val="7"/>
          <w:sz w:val="21"/>
          <w:szCs w:val="21"/>
          <w:lang w:val="en-US" w:eastAsia="zh-CN"/>
        </w:rPr>
        <w:t>5：</w:t>
      </w:r>
      <w:r>
        <w:rPr>
          <w:rFonts w:hint="eastAsia" w:ascii="微软雅黑" w:hAnsi="微软雅黑" w:eastAsia="微软雅黑" w:cs="微软雅黑"/>
          <w:spacing w:val="7"/>
          <w:sz w:val="21"/>
          <w:szCs w:val="21"/>
        </w:rPr>
        <w:t>铜日线走势图</w:t>
      </w:r>
    </w:p>
    <w:p>
      <w:pPr>
        <w:spacing w:before="103" w:line="256" w:lineRule="auto"/>
        <w:ind w:right="743"/>
        <w:jc w:val="center"/>
      </w:pPr>
      <w:r>
        <w:drawing>
          <wp:inline distT="0" distB="0" distL="0" distR="0">
            <wp:extent cx="5274310" cy="24726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274310" cy="2472690"/>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 xml:space="preserve"> 资料来源：同花顺、瑞达国际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b/>
          <w:bCs/>
          <w:spacing w:val="12"/>
          <w:sz w:val="24"/>
          <w:szCs w:val="24"/>
          <w:lang w:val="en-US" w:eastAsia="zh-CN"/>
        </w:rPr>
        <w:t>黄金</w:t>
      </w:r>
    </w:p>
    <w:p>
      <w:pPr>
        <w:spacing w:line="360" w:lineRule="auto"/>
        <w:ind w:firstLine="420" w:firstLineChars="0"/>
        <w:rPr>
          <w:rFonts w:hint="eastAsia" w:ascii="微软雅黑" w:hAnsi="微软雅黑" w:eastAsia="微软雅黑" w:cs="微软雅黑"/>
          <w:b w:val="0"/>
          <w:bCs w:val="0"/>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24"/>
          <w:szCs w:val="24"/>
          <w14:textFill>
            <w14:solidFill>
              <w14:schemeClr w14:val="tx1"/>
            </w14:solidFill>
          </w14:textFill>
        </w:rPr>
        <w:t>消息面：</w:t>
      </w:r>
      <w:r>
        <w:rPr>
          <w:rFonts w:hint="eastAsia" w:ascii="微软雅黑" w:hAnsi="微软雅黑" w:eastAsia="微软雅黑" w:cs="微软雅黑"/>
          <w:i w:val="0"/>
          <w:iCs w:val="0"/>
          <w:caps w:val="0"/>
          <w:color w:val="2C3E50"/>
          <w:spacing w:val="0"/>
          <w:sz w:val="24"/>
          <w:szCs w:val="24"/>
          <w:shd w:val="clear" w:fill="FFFFFF"/>
        </w:rPr>
        <w:t>昨日公布的美国第一季度实际GDP年化季率下修0.3个百分点至1.3%，明显低于2023年第四季度3.4%的增速，主要受个人消费增速放缓拖累。除此之外，一季度核心PCE物价指数小幅下修至3.6%，整体通胀水平仍较美联储目标保有一定距离。昨日数位美联储官员于公开演讲中表示货币政策处于限制性水平区间，对未来通胀回落前景表达相对乐观的态度，整体基调偏鸽。</w:t>
      </w:r>
    </w:p>
    <w:p>
      <w:pPr>
        <w:spacing w:line="360" w:lineRule="auto"/>
        <w:jc w:val="both"/>
        <w:rPr>
          <w:rFonts w:hint="eastAsia" w:ascii="微软雅黑" w:hAnsi="微软雅黑" w:eastAsia="微软雅黑" w:cs="微软雅黑"/>
          <w:b w:val="0"/>
          <w:bCs w:val="0"/>
          <w:color w:val="000000" w:themeColor="text1"/>
          <w:sz w:val="24"/>
          <w:szCs w:val="24"/>
          <w14:textFill>
            <w14:solidFill>
              <w14:schemeClr w14:val="tx1"/>
            </w14:solidFill>
          </w14:textFill>
        </w:rPr>
      </w:pPr>
      <w:r>
        <w:rPr>
          <w:rFonts w:hint="eastAsia" w:ascii="微软雅黑" w:hAnsi="微软雅黑" w:eastAsia="微软雅黑" w:cs="微软雅黑"/>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微软雅黑" w:hAnsi="微软雅黑" w:eastAsia="微软雅黑" w:cs="微软雅黑"/>
          <w:b w:val="0"/>
          <w:bCs w:val="0"/>
          <w:color w:val="000000" w:themeColor="text1"/>
          <w:sz w:val="24"/>
          <w:szCs w:val="24"/>
          <w14:textFill>
            <w14:solidFill>
              <w14:schemeClr w14:val="tx1"/>
            </w14:solidFill>
          </w14:textFill>
        </w:rPr>
        <w:t>外盘持仓方面：截至</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5</w:t>
      </w:r>
      <w:r>
        <w:rPr>
          <w:rFonts w:hint="eastAsia" w:ascii="微软雅黑" w:hAnsi="微软雅黑" w:eastAsia="微软雅黑" w:cs="微软雅黑"/>
          <w:b w:val="0"/>
          <w:bCs w:val="0"/>
          <w:color w:val="000000" w:themeColor="text1"/>
          <w:sz w:val="24"/>
          <w:szCs w:val="24"/>
          <w14:textFill>
            <w14:solidFill>
              <w14:schemeClr w14:val="tx1"/>
            </w14:solidFill>
          </w14:textFill>
        </w:rPr>
        <w:t>月</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30</w:t>
      </w:r>
      <w:r>
        <w:rPr>
          <w:rFonts w:hint="eastAsia" w:ascii="微软雅黑" w:hAnsi="微软雅黑" w:eastAsia="微软雅黑" w:cs="微软雅黑"/>
          <w:b w:val="0"/>
          <w:bCs w:val="0"/>
          <w:color w:val="000000" w:themeColor="text1"/>
          <w:sz w:val="24"/>
          <w:szCs w:val="24"/>
          <w14:textFill>
            <w14:solidFill>
              <w14:schemeClr w14:val="tx1"/>
            </w14:solidFill>
          </w14:textFill>
        </w:rPr>
        <w:t>日，SPDR Gold Trust黄金ETF持仓量为</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832.21</w:t>
      </w:r>
      <w:r>
        <w:rPr>
          <w:rFonts w:hint="eastAsia" w:ascii="微软雅黑" w:hAnsi="微软雅黑" w:eastAsia="微软雅黑" w:cs="微软雅黑"/>
          <w:b w:val="0"/>
          <w:bCs w:val="0"/>
          <w:color w:val="000000" w:themeColor="text1"/>
          <w:sz w:val="24"/>
          <w:szCs w:val="24"/>
          <w14:textFill>
            <w14:solidFill>
              <w14:schemeClr w14:val="tx1"/>
            </w14:solidFill>
          </w14:textFill>
        </w:rPr>
        <w:t>吨</w:t>
      </w:r>
      <w:r>
        <w:rPr>
          <w:rFonts w:hint="eastAsia" w:ascii="微软雅黑" w:hAnsi="微软雅黑" w:eastAsia="微软雅黑" w:cs="微软雅黑"/>
          <w:b w:val="0"/>
          <w:bCs w:val="0"/>
          <w:color w:val="000000" w:themeColor="text1"/>
          <w:sz w:val="24"/>
          <w:szCs w:val="24"/>
          <w:lang w:eastAsia="zh-CN"/>
          <w14:textFill>
            <w14:solidFill>
              <w14:schemeClr w14:val="tx1"/>
            </w14:solidFill>
          </w14:textFill>
        </w:rPr>
        <w:t>，</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较</w:t>
      </w:r>
      <w:r>
        <w:rPr>
          <w:rFonts w:hint="eastAsia" w:ascii="微软雅黑" w:hAnsi="微软雅黑" w:eastAsia="微软雅黑" w:cs="微软雅黑"/>
          <w:b w:val="0"/>
          <w:bCs w:val="0"/>
          <w:color w:val="000000" w:themeColor="text1"/>
          <w:sz w:val="24"/>
          <w:szCs w:val="24"/>
          <w14:textFill>
            <w14:solidFill>
              <w14:schemeClr w14:val="tx1"/>
            </w14:solidFill>
          </w14:textFill>
        </w:rPr>
        <w:t>上一交易</w:t>
      </w:r>
      <w:r>
        <w:rPr>
          <w:rFonts w:hint="eastAsia" w:ascii="微软雅黑" w:hAnsi="微软雅黑" w:eastAsia="微软雅黑" w:cs="微软雅黑"/>
          <w:b w:val="0"/>
          <w:bCs w:val="0"/>
          <w:color w:val="000000" w:themeColor="text1"/>
          <w:sz w:val="24"/>
          <w:szCs w:val="24"/>
          <w:lang w:val="en-US" w:eastAsia="zh-CN"/>
          <w14:textFill>
            <w14:solidFill>
              <w14:schemeClr w14:val="tx1"/>
            </w14:solidFill>
          </w14:textFill>
        </w:rPr>
        <w:t>日持平</w:t>
      </w:r>
      <w:r>
        <w:rPr>
          <w:rFonts w:hint="eastAsia" w:ascii="微软雅黑" w:hAnsi="微软雅黑" w:eastAsia="微软雅黑" w:cs="微软雅黑"/>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Helvetica" w:hAnsi="Helvetica" w:eastAsia="Helvetica" w:cs="Helvetica"/>
          <w:i w:val="0"/>
          <w:iCs w:val="0"/>
          <w:caps w:val="0"/>
          <w:color w:val="2C3E50"/>
          <w:spacing w:val="0"/>
          <w:sz w:val="24"/>
          <w:szCs w:val="24"/>
          <w:shd w:val="clear" w:fill="FFFFFF"/>
        </w:rPr>
      </w:pPr>
      <w:r>
        <w:rPr>
          <w:rFonts w:hint="eastAsia" w:ascii="微软雅黑" w:hAnsi="微软雅黑" w:eastAsia="微软雅黑" w:cs="微软雅黑"/>
          <w:i w:val="0"/>
          <w:iCs w:val="0"/>
          <w:caps w:val="0"/>
          <w:color w:val="2C3E50"/>
          <w:spacing w:val="0"/>
          <w:sz w:val="24"/>
          <w:szCs w:val="24"/>
          <w:shd w:val="clear" w:fill="FFFFFF"/>
        </w:rPr>
        <w:t>往后看，短期内美国经济放缓或缓解市场对通胀滞留的担忧，利率预期回落或使美元指数及美债收益率相对承压，贵金属价格跌幅或有所缩小。操作上建议，日内轻仓做空，请投资者注意风险控制。</w:t>
      </w:r>
    </w:p>
    <w:p>
      <w:pPr>
        <w:spacing w:before="103" w:line="256" w:lineRule="auto"/>
        <w:ind w:right="743"/>
        <w:jc w:val="both"/>
        <w:rPr>
          <w:rFonts w:hint="eastAsia" w:ascii="微软雅黑" w:hAnsi="微软雅黑" w:eastAsia="微软雅黑" w:cs="微软雅黑"/>
          <w:spacing w:val="12"/>
          <w:sz w:val="24"/>
          <w:szCs w:val="24"/>
          <w:lang w:val="en-US" w:eastAsia="zh-CN"/>
        </w:rPr>
      </w:pPr>
      <w:r>
        <w:rPr>
          <w:rFonts w:hint="eastAsia" w:ascii="微软雅黑" w:hAnsi="微软雅黑" w:eastAsia="微软雅黑" w:cs="微软雅黑"/>
          <w:spacing w:val="7"/>
          <w:sz w:val="21"/>
          <w:szCs w:val="21"/>
        </w:rPr>
        <w:t>图6</w:t>
      </w:r>
      <w:r>
        <w:rPr>
          <w:rFonts w:hint="eastAsia" w:ascii="微软雅黑" w:hAnsi="微软雅黑" w:eastAsia="微软雅黑" w:cs="微软雅黑"/>
          <w:spacing w:val="7"/>
          <w:sz w:val="21"/>
          <w:szCs w:val="21"/>
          <w:lang w:eastAsia="zh-CN"/>
        </w:rPr>
        <w:t>：</w:t>
      </w:r>
      <w:r>
        <w:rPr>
          <w:rFonts w:hint="eastAsia" w:ascii="微软雅黑" w:hAnsi="微软雅黑" w:eastAsia="微软雅黑" w:cs="微软雅黑"/>
          <w:spacing w:val="7"/>
          <w:sz w:val="21"/>
          <w:szCs w:val="21"/>
        </w:rPr>
        <w:t>COMEX黄金日线走势图</w:t>
      </w:r>
      <w:r>
        <w:rPr>
          <w:rFonts w:hint="eastAsia" w:ascii="微软雅黑" w:hAnsi="微软雅黑" w:eastAsia="微软雅黑" w:cs="微软雅黑"/>
          <w:spacing w:val="7"/>
          <w:sz w:val="21"/>
          <w:szCs w:val="21"/>
          <w:lang w:val="en-US" w:eastAsia="zh-CN"/>
        </w:rPr>
        <w:t xml:space="preserve">  </w:t>
      </w:r>
    </w:p>
    <w:p>
      <w:pPr>
        <w:spacing w:before="103" w:line="256" w:lineRule="auto"/>
        <w:ind w:right="743"/>
        <w:jc w:val="both"/>
      </w:pPr>
      <w:r>
        <w:drawing>
          <wp:inline distT="0" distB="0" distL="114300" distR="114300">
            <wp:extent cx="6583680" cy="2130425"/>
            <wp:effectExtent l="0" t="0" r="7620" b="317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6583680" cy="213042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03" w:line="256" w:lineRule="auto"/>
        <w:ind w:right="743"/>
        <w:jc w:val="both"/>
        <w:rPr>
          <w:rFonts w:hint="eastAsia" w:ascii="微软雅黑" w:hAnsi="微软雅黑" w:eastAsia="微软雅黑" w:cs="微软雅黑"/>
          <w:b/>
          <w:bCs/>
          <w:spacing w:val="12"/>
          <w:sz w:val="24"/>
          <w:szCs w:val="24"/>
          <w:lang w:val="en-US" w:eastAsia="zh-CN"/>
        </w:rPr>
      </w:pPr>
    </w:p>
    <w:p>
      <w:pPr>
        <w:spacing w:before="103" w:line="256" w:lineRule="auto"/>
        <w:ind w:right="743"/>
        <w:jc w:val="both"/>
        <w:rPr>
          <w:rFonts w:hint="default" w:ascii="微软雅黑" w:hAnsi="微软雅黑" w:eastAsia="微软雅黑" w:cs="微软雅黑"/>
          <w:spacing w:val="12"/>
          <w:sz w:val="24"/>
          <w:szCs w:val="24"/>
          <w:lang w:val="en-US" w:eastAsia="zh-CN"/>
        </w:rPr>
      </w:pPr>
      <w:r>
        <w:rPr>
          <w:rFonts w:hint="eastAsia" w:ascii="微软雅黑" w:hAnsi="微软雅黑" w:eastAsia="微软雅黑" w:cs="微软雅黑"/>
          <w:b/>
          <w:bCs/>
          <w:spacing w:val="12"/>
          <w:sz w:val="24"/>
          <w:szCs w:val="24"/>
          <w:lang w:val="en-US" w:eastAsia="zh-CN"/>
        </w:rPr>
        <w:t>原油</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截至收盘，纽约商品期货交易所（NYMEX）成交最活跃的西得克萨斯中质原油（WTI）7月合约报77.91美元/桶，较上一交易日下跌1.32美元或1.67%。全球基准的7月布伦特原油期货收报81.86元/桶，下跌1.74美元或2.08%，创下5月23日以来的最低点。　　</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美国能源信息署（EIA）的数据显示，上周美国原油库存降幅超过预期，因为炼油厂的产能利用率升至9个月来最高水平。</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上周美国汽油和馏分油库存意外增加，因为产量增加而需求减弱。经纪公司斯通艾克斯公司的分析师阿历克斯?霍德斯周四表示，汽油市场疲软继续拖累其他石油产品。</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分析师曾预计，在5月27日美国阵亡将士纪念日长周末期间，美国燃料需求将会增长，因为这标志着美国夏季驾车季节的开始。但是美国能源信息署的数据显示，作为汽油需求指标的供应量为915万桶/日，较前一周下降约2%。</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美国纽约再资本公司合伙人约翰?基多夫表示，他原本预计汽油库存将会下降，因为长周末期间需求增长，但是当炼油厂大量生产时，需求不足以导致库存下降。虽然汽油需求数据还是不错的，但是低于他预期的950万桶/日。</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周四美国汽油期货为2.40美元/加仑，比上个交易日下跌2.6%，创下3个月低点；超低硫柴油期货触及11个月以来的低点。</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从宏观面来看，美国和欧洲央行可能推迟转向货币宽松政策，抑制了投资者的风险偏好，进一步打压油价。在周五美国发布消费者价格指数数据前，金融市场普遍走低。</w:t>
      </w:r>
    </w:p>
    <w:p>
      <w:pPr>
        <w:spacing w:line="360" w:lineRule="auto"/>
        <w:rPr>
          <w:rFonts w:hint="eastAsia" w:ascii="微软雅黑" w:hAnsi="微软雅黑" w:eastAsia="微软雅黑" w:cs="微软雅黑"/>
          <w:color w:val="000000"/>
          <w:sz w:val="24"/>
          <w:szCs w:val="24"/>
        </w:rPr>
      </w:pPr>
      <w:r>
        <w:rPr>
          <w:rFonts w:hint="eastAsia" w:ascii="微软雅黑" w:hAnsi="微软雅黑" w:eastAsia="微软雅黑" w:cs="微软雅黑"/>
          <w:color w:val="000000"/>
          <w:sz w:val="24"/>
          <w:szCs w:val="24"/>
        </w:rPr>
        <w:t>　　投资者还在期待6月2日欧佩克联盟的部长级会议，届时将决定接下来几个月的原油产量政策。由于近期油价疲软，市场人士普遍预期欧佩克联盟将会延续当前的自愿减产，以支持原油市场。</w:t>
      </w:r>
    </w:p>
    <w:p>
      <w:pPr>
        <w:spacing w:line="360" w:lineRule="auto"/>
        <w:ind w:firstLine="420"/>
        <w:rPr>
          <w:rFonts w:hint="eastAsia" w:ascii="宋体" w:hAnsi="宋体" w:eastAsia="宋体"/>
          <w:color w:val="000000"/>
          <w:szCs w:val="21"/>
        </w:rPr>
      </w:pPr>
      <w:r>
        <w:rPr>
          <w:rFonts w:hint="eastAsia" w:ascii="微软雅黑" w:hAnsi="微软雅黑" w:eastAsia="微软雅黑" w:cs="微软雅黑"/>
          <w:color w:val="000000"/>
          <w:sz w:val="24"/>
          <w:szCs w:val="24"/>
        </w:rPr>
        <w:t>本月迄今布伦特原油（近期合约）下跌6.83%，今年迄今上涨6.26%，周三收盘价比去年同期上涨10.20%，但是比2008年7月3日的历史最高点146.08美元下跌43.96%。WTI原油下跌4.91%，今年迄今上涨8.74%，周三收盘价比去年同期上涨11.14%，但是比2008年7月3日的历史高点145.29美元下跌46.38%。</w:t>
      </w:r>
    </w:p>
    <w:p>
      <w:pPr>
        <w:spacing w:before="103" w:line="256" w:lineRule="auto"/>
        <w:ind w:right="743"/>
        <w:jc w:val="both"/>
      </w:pPr>
      <w:r>
        <w:rPr>
          <w:rFonts w:hint="eastAsia" w:ascii="微软雅黑" w:hAnsi="微软雅黑" w:eastAsia="微软雅黑" w:cs="微软雅黑"/>
          <w:spacing w:val="7"/>
          <w:sz w:val="21"/>
          <w:szCs w:val="21"/>
          <w:lang w:val="en-US" w:eastAsia="zh-CN"/>
        </w:rPr>
        <w:t>图7：原油（WTI）走势图</w:t>
      </w:r>
    </w:p>
    <w:p>
      <w:pPr>
        <w:spacing w:before="103" w:line="256" w:lineRule="auto"/>
        <w:ind w:right="743"/>
        <w:jc w:val="center"/>
        <w:rPr>
          <w:rFonts w:hint="eastAsia"/>
        </w:rPr>
      </w:pPr>
      <w:r>
        <w:drawing>
          <wp:inline distT="0" distB="0" distL="0" distR="0">
            <wp:extent cx="5274310" cy="2820035"/>
            <wp:effectExtent l="0" t="0" r="254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2820035"/>
                    </a:xfrm>
                    <a:prstGeom prst="rect">
                      <a:avLst/>
                    </a:prstGeom>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b/>
          <w:bCs/>
          <w:spacing w:val="7"/>
          <w:sz w:val="24"/>
          <w:szCs w:val="24"/>
          <w:lang w:val="en-US" w:eastAsia="zh-CN"/>
        </w:rPr>
      </w:pPr>
    </w:p>
    <w:p>
      <w:pPr>
        <w:spacing w:before="120" w:line="190" w:lineRule="auto"/>
        <w:jc w:val="both"/>
        <w:rPr>
          <w:rFonts w:hint="eastAsia" w:ascii="微软雅黑" w:hAnsi="微软雅黑" w:eastAsia="微软雅黑" w:cs="微软雅黑"/>
          <w:b/>
          <w:bCs/>
          <w:spacing w:val="7"/>
          <w:sz w:val="24"/>
          <w:szCs w:val="24"/>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r>
        <w:rPr>
          <w:rFonts w:hint="eastAsia" w:ascii="微软雅黑" w:hAnsi="微软雅黑" w:eastAsia="微软雅黑" w:cs="微软雅黑"/>
          <w:b/>
          <w:bCs/>
          <w:spacing w:val="7"/>
          <w:sz w:val="24"/>
          <w:szCs w:val="24"/>
          <w:lang w:val="en-US" w:eastAsia="zh-CN"/>
        </w:rPr>
        <w:t>原糖</w:t>
      </w:r>
    </w:p>
    <w:p>
      <w:pPr>
        <w:spacing w:line="360" w:lineRule="auto"/>
        <w:rPr>
          <w:rFonts w:hint="eastAsia"/>
          <w:lang w:val="en-US" w:eastAsia="zh-CN"/>
        </w:rPr>
      </w:pPr>
      <w:r>
        <w:rPr>
          <w:rFonts w:hint="eastAsia" w:ascii="微软雅黑" w:hAnsi="微软雅黑" w:eastAsia="微软雅黑" w:cs="微软雅黑"/>
          <w:sz w:val="24"/>
          <w:szCs w:val="24"/>
          <w:lang w:val="en-US" w:eastAsia="zh-CN"/>
        </w:rPr>
        <w:t>洲际期货交易所（ICE）原糖期货周四收跌，巴西糖产量仍高于去年同期。交投最活跃的ICE 7月原糖期货合约收盘收跌0.16美分或0.90%，结算价每磅18.19美分。新榨季巴西糖供应逐渐提升，强劲的生产力预计带来利空。不过当前主产国天气将影响短期价格波动，且对产量预期不一致。美糖主力价格关注上方阻力20.5美分/磅，下方支撑17.5美分/磅。操作上，建议7月 ICE 原糖短期暂且观望。</w:t>
      </w:r>
    </w:p>
    <w:p>
      <w:pPr>
        <w:spacing w:before="103" w:line="256" w:lineRule="auto"/>
        <w:ind w:right="743"/>
        <w:jc w:val="both"/>
        <w:rPr>
          <w:rFonts w:hint="eastAsia" w:ascii="微软雅黑" w:hAnsi="微软雅黑" w:eastAsia="微软雅黑" w:cs="微软雅黑"/>
          <w:sz w:val="24"/>
          <w:szCs w:val="24"/>
          <w:lang w:val="en-US" w:eastAsia="zh-CN"/>
        </w:rPr>
      </w:pPr>
      <w:r>
        <w:rPr>
          <w:rFonts w:hint="eastAsia" w:ascii="微软雅黑" w:hAnsi="微软雅黑" w:eastAsia="微软雅黑" w:cs="微软雅黑"/>
          <w:spacing w:val="7"/>
          <w:sz w:val="21"/>
          <w:szCs w:val="21"/>
          <w:lang w:val="en-US" w:eastAsia="zh-CN"/>
        </w:rPr>
        <w:t>图8：ICE糖走势图</w:t>
      </w:r>
    </w:p>
    <w:p>
      <w:pPr>
        <w:rPr>
          <w:rFonts w:hint="eastAsia"/>
          <w:lang w:val="en-US" w:eastAsia="zh-CN"/>
        </w:rPr>
      </w:pPr>
      <w:r>
        <w:rPr>
          <w:rFonts w:hint="eastAsia"/>
          <w:lang w:val="en-US" w:eastAsia="zh-CN"/>
        </w:rPr>
        <w:drawing>
          <wp:inline distT="0" distB="0" distL="114300" distR="114300">
            <wp:extent cx="5273040" cy="1864995"/>
            <wp:effectExtent l="0" t="0" r="3810" b="1905"/>
            <wp:docPr id="20" name="图片 5" descr="QQ截图2024053108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QQ截图20240531080703"/>
                    <pic:cNvPicPr>
                      <a:picLocks noChangeAspect="1"/>
                    </pic:cNvPicPr>
                  </pic:nvPicPr>
                  <pic:blipFill>
                    <a:blip r:embed="rId19"/>
                    <a:stretch>
                      <a:fillRect/>
                    </a:stretch>
                  </pic:blipFill>
                  <pic:spPr>
                    <a:xfrm>
                      <a:off x="0" y="0"/>
                      <a:ext cx="5273040" cy="1864995"/>
                    </a:xfrm>
                    <a:prstGeom prst="rect">
                      <a:avLst/>
                    </a:prstGeom>
                    <a:noFill/>
                    <a:ln>
                      <a:noFill/>
                    </a:ln>
                  </pic:spPr>
                </pic:pic>
              </a:graphicData>
            </a:graphic>
          </wp:inline>
        </w:drawing>
      </w:r>
    </w:p>
    <w:p>
      <w:pPr>
        <w:spacing w:before="120" w:line="190" w:lineRule="auto"/>
        <w:jc w:val="both"/>
        <w:rPr>
          <w:rFonts w:hint="eastAsia" w:ascii="微软雅黑" w:hAnsi="微软雅黑" w:eastAsia="微软雅黑" w:cs="微软雅黑"/>
          <w:b/>
          <w:bCs/>
          <w:spacing w:val="12"/>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b/>
          <w:bCs/>
          <w:spacing w:val="7"/>
          <w:sz w:val="24"/>
          <w:szCs w:val="24"/>
          <w:lang w:val="en-US" w:eastAsia="zh-CN"/>
        </w:rPr>
      </w:pPr>
      <w:r>
        <w:rPr>
          <w:rFonts w:hint="eastAsia" w:ascii="微软雅黑" w:hAnsi="微软雅黑" w:eastAsia="微软雅黑" w:cs="微软雅黑"/>
          <w:b/>
          <w:bCs/>
          <w:spacing w:val="7"/>
          <w:sz w:val="24"/>
          <w:szCs w:val="24"/>
          <w:lang w:val="en-US" w:eastAsia="zh-CN"/>
        </w:rPr>
        <w:t>棉花</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洲际交易所(ICE)棉花期货周四连续第二个交易日下挫，因主要产区迎来降雨，同时广泛市场上弥漫消极情绪。交投最活跃的ICE 7月期棉收跌3.34美分或4.10%，结算价报77.76美分/磅。</w:t>
      </w:r>
    </w:p>
    <w:p>
      <w:pPr>
        <w:spacing w:line="360" w:lineRule="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据美国农业部(USDA)报告显示，2024年5月10-16日，2023/24年度美国陆地棉出口签约量46058吨，较前周增长30%，较前4周平均水平增长19%；2023/24年度美国陆地棉出口装运量46331吨，较前周下降15%，较前4周平均水平下降12%。当周美国棉花出口装运速度放缓，签约量环比增加明显。美棉主力价格关注上方压力86.0美分/磅，下方支撑70.0美分/磅。建议7月 ICE 期棉短期观望。</w:t>
      </w:r>
    </w:p>
    <w:p>
      <w:pPr>
        <w:spacing w:before="103" w:line="256" w:lineRule="auto"/>
        <w:ind w:right="743"/>
        <w:jc w:val="both"/>
        <w:rPr>
          <w:rFonts w:hint="eastAsia"/>
          <w:lang w:val="en-US" w:eastAsia="zh-CN"/>
        </w:rPr>
      </w:pPr>
      <w:r>
        <w:rPr>
          <w:rFonts w:hint="eastAsia" w:ascii="微软雅黑" w:hAnsi="微软雅黑" w:eastAsia="微软雅黑" w:cs="微软雅黑"/>
          <w:spacing w:val="7"/>
          <w:sz w:val="21"/>
          <w:szCs w:val="21"/>
          <w:lang w:val="en-US" w:eastAsia="zh-CN"/>
        </w:rPr>
        <w:t>图9：ICE棉走势图</w:t>
      </w:r>
    </w:p>
    <w:p>
      <w:pPr>
        <w:rPr>
          <w:rFonts w:hint="eastAsia"/>
          <w:lang w:val="en-US" w:eastAsia="zh-CN"/>
        </w:rPr>
      </w:pPr>
      <w:r>
        <w:rPr>
          <w:rFonts w:hint="eastAsia"/>
          <w:lang w:val="en-US" w:eastAsia="zh-CN"/>
        </w:rPr>
        <w:drawing>
          <wp:inline distT="0" distB="0" distL="114300" distR="114300">
            <wp:extent cx="5263515" cy="2159635"/>
            <wp:effectExtent l="0" t="0" r="13335" b="12065"/>
            <wp:docPr id="22" name="图片 6" descr="QQ截图2024053108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QQ截图20240531080711"/>
                    <pic:cNvPicPr>
                      <a:picLocks noChangeAspect="1"/>
                    </pic:cNvPicPr>
                  </pic:nvPicPr>
                  <pic:blipFill>
                    <a:blip r:embed="rId20"/>
                    <a:stretch>
                      <a:fillRect/>
                    </a:stretch>
                  </pic:blipFill>
                  <pic:spPr>
                    <a:xfrm>
                      <a:off x="0" y="0"/>
                      <a:ext cx="5263515" cy="2159635"/>
                    </a:xfrm>
                    <a:prstGeom prst="rect">
                      <a:avLst/>
                    </a:prstGeom>
                    <a:noFill/>
                    <a:ln>
                      <a:noFill/>
                    </a:ln>
                  </pic:spPr>
                </pic:pic>
              </a:graphicData>
            </a:graphic>
          </wp:inline>
        </w:drawing>
      </w:r>
    </w:p>
    <w:p>
      <w:pPr>
        <w:spacing w:before="120" w:line="190" w:lineRule="auto"/>
        <w:jc w:val="both"/>
        <w:rPr>
          <w:rFonts w:hint="default" w:ascii="微软雅黑" w:hAnsi="微软雅黑" w:eastAsia="微软雅黑" w:cs="微软雅黑"/>
          <w:b/>
          <w:bCs/>
          <w:spacing w:val="7"/>
          <w:sz w:val="24"/>
          <w:szCs w:val="24"/>
          <w:lang w:val="en-US" w:eastAsia="zh-CN"/>
        </w:rPr>
      </w:pPr>
      <w:r>
        <w:rPr>
          <w:rFonts w:hint="eastAsia" w:ascii="微软雅黑" w:hAnsi="微软雅黑" w:eastAsia="微软雅黑" w:cs="微软雅黑"/>
          <w:spacing w:val="7"/>
          <w:sz w:val="21"/>
          <w:szCs w:val="21"/>
          <w:lang w:val="en-US" w:eastAsia="zh-CN"/>
        </w:rPr>
        <w:t>资料来源：wind、瑞达国际</w:t>
      </w: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20" w:line="190" w:lineRule="auto"/>
        <w:jc w:val="both"/>
        <w:rPr>
          <w:rFonts w:hint="eastAsia" w:ascii="微软雅黑" w:hAnsi="微软雅黑" w:eastAsia="微软雅黑" w:cs="微软雅黑"/>
          <w:spacing w:val="7"/>
          <w:sz w:val="21"/>
          <w:szCs w:val="21"/>
          <w:lang w:val="en-US" w:eastAsia="zh-CN"/>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color w:val="898989"/>
          <w:spacing w:val="-8"/>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pacing w:val="-8"/>
          <w:sz w:val="18"/>
          <w:szCs w:val="18"/>
        </w:rPr>
        <w:t>则。</w:t>
      </w:r>
    </w:p>
    <w:p>
      <w:pPr>
        <w:spacing w:before="63" w:line="193" w:lineRule="auto"/>
        <w:ind w:left="340" w:right="706" w:firstLine="379"/>
        <w:jc w:val="both"/>
        <w:rPr>
          <w:rFonts w:ascii="微软雅黑" w:hAnsi="微软雅黑" w:eastAsia="微软雅黑" w:cs="微软雅黑"/>
          <w:sz w:val="18"/>
          <w:szCs w:val="18"/>
        </w:rPr>
        <w:sectPr>
          <w:headerReference r:id="rId6" w:type="default"/>
          <w:footerReference r:id="rId7" w:type="default"/>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before="34" w:line="569" w:lineRule="exact"/>
      </w:pPr>
    </w:p>
    <w:p>
      <w:pPr>
        <w:spacing w:before="34" w:line="569" w:lineRule="exact"/>
        <w:ind w:firstLine="6421"/>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Yu Gothic UI">
    <w:panose1 w:val="020B0500000000000000"/>
    <w:charset w:val="80"/>
    <w:family w:val="auto"/>
    <w:pitch w:val="default"/>
    <w:sig w:usb0="E00002FF" w:usb1="2AC7FDFF" w:usb2="00000016" w:usb3="00000000" w:csb0="2002009F" w:csb1="00000000"/>
  </w:font>
  <w:font w:name="Algerian">
    <w:panose1 w:val="04020705040A020607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1</w:t>
                    </w:r>
                    <w:r>
                      <w:rPr>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both"/>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59DE62A0"/>
    <w:rsid w:val="000A785F"/>
    <w:rsid w:val="000C024B"/>
    <w:rsid w:val="001431C1"/>
    <w:rsid w:val="0018099E"/>
    <w:rsid w:val="00181D4B"/>
    <w:rsid w:val="004E0863"/>
    <w:rsid w:val="004E69F8"/>
    <w:rsid w:val="00593490"/>
    <w:rsid w:val="005F4A09"/>
    <w:rsid w:val="007013BB"/>
    <w:rsid w:val="00727595"/>
    <w:rsid w:val="00816288"/>
    <w:rsid w:val="008813CF"/>
    <w:rsid w:val="008D4A14"/>
    <w:rsid w:val="00920750"/>
    <w:rsid w:val="00984CAE"/>
    <w:rsid w:val="009D033E"/>
    <w:rsid w:val="00A42231"/>
    <w:rsid w:val="00A437D3"/>
    <w:rsid w:val="00BC57CD"/>
    <w:rsid w:val="00BF6C5D"/>
    <w:rsid w:val="00C177F8"/>
    <w:rsid w:val="00CA7EEA"/>
    <w:rsid w:val="00CE6532"/>
    <w:rsid w:val="00CE72AE"/>
    <w:rsid w:val="00D14CB7"/>
    <w:rsid w:val="00D348C5"/>
    <w:rsid w:val="00DC19CB"/>
    <w:rsid w:val="00E16FE2"/>
    <w:rsid w:val="00E442E6"/>
    <w:rsid w:val="00E64644"/>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E7687A"/>
    <w:rsid w:val="01F1594A"/>
    <w:rsid w:val="01FA65AD"/>
    <w:rsid w:val="02055605"/>
    <w:rsid w:val="02077690"/>
    <w:rsid w:val="021052EA"/>
    <w:rsid w:val="02151639"/>
    <w:rsid w:val="021D04ED"/>
    <w:rsid w:val="021D5BFB"/>
    <w:rsid w:val="02296E92"/>
    <w:rsid w:val="022B4BE4"/>
    <w:rsid w:val="02313F99"/>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60857"/>
    <w:rsid w:val="03891409"/>
    <w:rsid w:val="038E44A6"/>
    <w:rsid w:val="03AA4003"/>
    <w:rsid w:val="03B31109"/>
    <w:rsid w:val="03C54999"/>
    <w:rsid w:val="03CF5817"/>
    <w:rsid w:val="03D44348"/>
    <w:rsid w:val="03D5622A"/>
    <w:rsid w:val="03D64DF8"/>
    <w:rsid w:val="03D65769"/>
    <w:rsid w:val="03E00AD0"/>
    <w:rsid w:val="03E33071"/>
    <w:rsid w:val="03F31506"/>
    <w:rsid w:val="03F76482"/>
    <w:rsid w:val="03FE7EAB"/>
    <w:rsid w:val="04013CA9"/>
    <w:rsid w:val="0402799B"/>
    <w:rsid w:val="04040FB1"/>
    <w:rsid w:val="0405375F"/>
    <w:rsid w:val="04145465"/>
    <w:rsid w:val="0420191B"/>
    <w:rsid w:val="04253689"/>
    <w:rsid w:val="042751F8"/>
    <w:rsid w:val="043B3CCE"/>
    <w:rsid w:val="04405814"/>
    <w:rsid w:val="044B2E3C"/>
    <w:rsid w:val="044C27A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5E80E1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50C0F"/>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042C8"/>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27FC6"/>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33D9B"/>
    <w:rsid w:val="0EC40C69"/>
    <w:rsid w:val="0EC63E70"/>
    <w:rsid w:val="0ECA5559"/>
    <w:rsid w:val="0ED004CD"/>
    <w:rsid w:val="0ED4462A"/>
    <w:rsid w:val="0ED65BE6"/>
    <w:rsid w:val="0ED85EC8"/>
    <w:rsid w:val="0EDB7766"/>
    <w:rsid w:val="0EE26D46"/>
    <w:rsid w:val="0EF357FE"/>
    <w:rsid w:val="0F0E09E8"/>
    <w:rsid w:val="0F1B4006"/>
    <w:rsid w:val="0F386966"/>
    <w:rsid w:val="0F3B0205"/>
    <w:rsid w:val="0F425337"/>
    <w:rsid w:val="0F465226"/>
    <w:rsid w:val="0F53554E"/>
    <w:rsid w:val="0F5D63CD"/>
    <w:rsid w:val="0F7756E1"/>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E47E92"/>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170FF0"/>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A74C5B"/>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BF7BBB"/>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D939D5"/>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E6182"/>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E744D4"/>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900E53"/>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543EA"/>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62092"/>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4334B"/>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82FB5"/>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0949F8"/>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00345"/>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5630F"/>
    <w:rsid w:val="369C0E0A"/>
    <w:rsid w:val="36B576F9"/>
    <w:rsid w:val="36C06592"/>
    <w:rsid w:val="36C26992"/>
    <w:rsid w:val="36D36DF1"/>
    <w:rsid w:val="36D52B69"/>
    <w:rsid w:val="36D55C7A"/>
    <w:rsid w:val="36D64D97"/>
    <w:rsid w:val="36E6103A"/>
    <w:rsid w:val="36EA0095"/>
    <w:rsid w:val="36EF34FF"/>
    <w:rsid w:val="36FE65A8"/>
    <w:rsid w:val="3710594F"/>
    <w:rsid w:val="37203462"/>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1E22EE"/>
    <w:rsid w:val="38207E14"/>
    <w:rsid w:val="382471D8"/>
    <w:rsid w:val="382947EF"/>
    <w:rsid w:val="38295077"/>
    <w:rsid w:val="382B6D50"/>
    <w:rsid w:val="382F0057"/>
    <w:rsid w:val="383C5781"/>
    <w:rsid w:val="384D08D4"/>
    <w:rsid w:val="384D1B31"/>
    <w:rsid w:val="3851701B"/>
    <w:rsid w:val="38591578"/>
    <w:rsid w:val="38613F89"/>
    <w:rsid w:val="386F5126"/>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24305"/>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865B6"/>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CF727D5"/>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219E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63E0E"/>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0687C"/>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36870"/>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5D68EE"/>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B964A1"/>
    <w:rsid w:val="4DC16ABA"/>
    <w:rsid w:val="4DC5444C"/>
    <w:rsid w:val="4DD23507"/>
    <w:rsid w:val="4DD454D1"/>
    <w:rsid w:val="4DD73A22"/>
    <w:rsid w:val="4DD76D6F"/>
    <w:rsid w:val="4DDD3C5A"/>
    <w:rsid w:val="4DDE1EAC"/>
    <w:rsid w:val="4DDF7A30"/>
    <w:rsid w:val="4DE1199C"/>
    <w:rsid w:val="4DF0398D"/>
    <w:rsid w:val="4DF60C80"/>
    <w:rsid w:val="4DFE3442"/>
    <w:rsid w:val="4E002804"/>
    <w:rsid w:val="4E037B64"/>
    <w:rsid w:val="4E125FF9"/>
    <w:rsid w:val="4E185B3D"/>
    <w:rsid w:val="4E1D04AD"/>
    <w:rsid w:val="4E255ED1"/>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7F724A"/>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D1444D"/>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6538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11144"/>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663955"/>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885990"/>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B427B5"/>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CA5C5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951B5"/>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861B48"/>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4310ED"/>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81494"/>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54739"/>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1A12"/>
    <w:rsid w:val="6FE86762"/>
    <w:rsid w:val="6FE949B4"/>
    <w:rsid w:val="6FEC0000"/>
    <w:rsid w:val="6FEE70E9"/>
    <w:rsid w:val="6FF54D17"/>
    <w:rsid w:val="70096E04"/>
    <w:rsid w:val="700C2451"/>
    <w:rsid w:val="70281CF1"/>
    <w:rsid w:val="70310109"/>
    <w:rsid w:val="703235D5"/>
    <w:rsid w:val="70380103"/>
    <w:rsid w:val="703A3D0A"/>
    <w:rsid w:val="703D6AAE"/>
    <w:rsid w:val="70433998"/>
    <w:rsid w:val="704B5D52"/>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81098"/>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1414D"/>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44231"/>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26400"/>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65EC0"/>
    <w:rsid w:val="7EC81C39"/>
    <w:rsid w:val="7ECD54A1"/>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autoRedefine/>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3">
    <w:name w:val="Body Text"/>
    <w:basedOn w:val="1"/>
    <w:autoRedefine/>
    <w:semiHidden/>
    <w:qFormat/>
    <w:uiPriority w:val="0"/>
    <w:rPr>
      <w:rFonts w:ascii="Arial" w:hAnsi="Arial" w:eastAsia="Arial" w:cs="Arial"/>
      <w:sz w:val="21"/>
      <w:szCs w:val="21"/>
      <w:lang w:val="en-US" w:eastAsia="en-US" w:bidi="ar-SA"/>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8">
    <w:name w:val="Table Grid"/>
    <w:basedOn w:val="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Table Text"/>
    <w:basedOn w:val="1"/>
    <w:autoRedefine/>
    <w:semiHidden/>
    <w:qFormat/>
    <w:uiPriority w:val="0"/>
    <w:rPr>
      <w:rFonts w:ascii="微软雅黑" w:hAnsi="微软雅黑" w:eastAsia="微软雅黑" w:cs="微软雅黑"/>
      <w:sz w:val="17"/>
      <w:szCs w:val="17"/>
      <w:lang w:val="en-US" w:eastAsia="en-US" w:bidi="ar-SA"/>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3915</Words>
  <Characters>4758</Characters>
  <Lines>0</Lines>
  <Paragraphs>0</Paragraphs>
  <TotalTime>0</TotalTime>
  <ScaleCrop>false</ScaleCrop>
  <LinksUpToDate>false</LinksUpToDate>
  <CharactersWithSpaces>4810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2024-03-19T23:57:00Z</dcterms:created>
  <dc:creator>WPS_1180513195</dc:creator>
  <cp:lastModifiedBy>TimmyW</cp:lastModifiedBy>
  <dcterms:modified xsi:type="dcterms:W3CDTF">2024-05-31T01:21:56Z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90EB594A503942B6B499DBD27781491A_13</vt:lpwstr>
  </property>
</Properties>
</file>