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bookmarkStart w:id="0" w:name="_GoBack"/>
      <w:r>
        <w:rPr>
          <w:rStyle w:val="4"/>
          <w:rFonts w:ascii="helvetica" w:hAnsi="helvetica" w:eastAsia="helvetica" w:cs="helvetica"/>
          <w:b/>
          <w:bCs/>
          <w:i w:val="0"/>
          <w:iCs w:val="0"/>
          <w:caps w:val="0"/>
          <w:color w:val="060607"/>
          <w:spacing w:val="4"/>
          <w:sz w:val="21"/>
          <w:szCs w:val="21"/>
          <w:shd w:val="clear" w:fill="FFFFFF"/>
        </w:rPr>
        <w:t>卷土重来</w:t>
      </w:r>
      <w:r>
        <w:rPr>
          <w:rStyle w:val="4"/>
          <w:rFonts w:hint="eastAsia" w:ascii="helvetica" w:hAnsi="helvetica" w:eastAsia="宋体" w:cs="helvetica"/>
          <w:b/>
          <w:bCs/>
          <w:i w:val="0"/>
          <w:iCs w:val="0"/>
          <w:caps w:val="0"/>
          <w:color w:val="060607"/>
          <w:spacing w:val="4"/>
          <w:sz w:val="21"/>
          <w:szCs w:val="21"/>
          <w:shd w:val="clear" w:fill="FFFFFF"/>
          <w:lang w:eastAsia="zh-CN"/>
        </w:rPr>
        <w:t>，</w:t>
      </w:r>
      <w:r>
        <w:rPr>
          <w:rStyle w:val="4"/>
          <w:rFonts w:ascii="helvetica" w:hAnsi="helvetica" w:eastAsia="helvetica" w:cs="helvetica"/>
          <w:b/>
          <w:bCs/>
          <w:i w:val="0"/>
          <w:iCs w:val="0"/>
          <w:caps w:val="0"/>
          <w:color w:val="060607"/>
          <w:spacing w:val="4"/>
          <w:sz w:val="21"/>
          <w:szCs w:val="21"/>
          <w:shd w:val="clear" w:fill="FFFFFF"/>
        </w:rPr>
        <w:t>似是而非</w:t>
      </w:r>
      <w:r>
        <w:rPr>
          <w:rStyle w:val="4"/>
          <w:rFonts w:hint="eastAsia" w:ascii="helvetica" w:hAnsi="helvetica" w:eastAsia="宋体" w:cs="helvetica"/>
          <w:b/>
          <w:bCs/>
          <w:i w:val="0"/>
          <w:iCs w:val="0"/>
          <w:caps w:val="0"/>
          <w:color w:val="060607"/>
          <w:spacing w:val="4"/>
          <w:sz w:val="21"/>
          <w:szCs w:val="21"/>
          <w:shd w:val="clear" w:fill="FFFFFF"/>
          <w:lang w:eastAsia="zh-CN"/>
        </w:rPr>
        <w:t>：</w:t>
      </w:r>
      <w:r>
        <w:rPr>
          <w:rFonts w:hint="eastAsia"/>
          <w:b/>
          <w:bCs/>
        </w:rPr>
        <w:t>“特朗普交易”回顾与展望</w:t>
      </w:r>
      <w:bookmarkEnd w:id="0"/>
    </w:p>
    <w:p>
      <w:pPr>
        <w:rPr>
          <w:rFonts w:hint="eastAsia"/>
        </w:rPr>
      </w:pPr>
    </w:p>
    <w:p>
      <w:pPr>
        <w:numPr>
          <w:ilvl w:val="0"/>
          <w:numId w:val="1"/>
        </w:numPr>
        <w:rPr>
          <w:rFonts w:hint="eastAsia"/>
          <w:b/>
          <w:bCs/>
        </w:rPr>
      </w:pPr>
      <w:r>
        <w:rPr>
          <w:rFonts w:hint="eastAsia"/>
          <w:b/>
          <w:bCs/>
          <w:lang w:val="en-US" w:eastAsia="zh-CN"/>
        </w:rPr>
        <w:t>事件回顾及当前竞选民调</w:t>
      </w:r>
    </w:p>
    <w:p>
      <w:pPr>
        <w:numPr>
          <w:ilvl w:val="0"/>
          <w:numId w:val="0"/>
        </w:numPr>
        <w:spacing w:line="360" w:lineRule="auto"/>
        <w:ind w:firstLine="420" w:firstLineChars="0"/>
        <w:rPr>
          <w:rFonts w:hint="eastAsia"/>
          <w:b w:val="0"/>
          <w:bCs w:val="0"/>
        </w:rPr>
      </w:pPr>
      <w:r>
        <w:rPr>
          <w:rFonts w:hint="eastAsia"/>
        </w:rPr>
        <w:t>美东时间2024年7月13日，美国前总统特朗普在宾夕法尼亚州巴特勒的巴特勒农场展览场地参加总统大选造势活动时遭遇枪击</w:t>
      </w:r>
      <w:r>
        <w:rPr>
          <w:rFonts w:hint="eastAsia"/>
          <w:lang w:eastAsia="zh-CN"/>
        </w:rPr>
        <w:t>，</w:t>
      </w:r>
      <w:r>
        <w:rPr>
          <w:rFonts w:hint="eastAsia"/>
        </w:rPr>
        <w:t>特朗普右耳被划伤，但无大碍。在特朗普遇刺未遂事件后，</w:t>
      </w:r>
      <w:r>
        <w:rPr>
          <w:rFonts w:hint="eastAsia"/>
          <w:lang w:val="en-US" w:eastAsia="zh-CN"/>
        </w:rPr>
        <w:t>其在</w:t>
      </w:r>
      <w:r>
        <w:rPr>
          <w:rFonts w:hint="eastAsia"/>
        </w:rPr>
        <w:t>亚利桑那、佐治亚、密歇根、宾夕法尼亚和威斯康星</w:t>
      </w:r>
      <w:r>
        <w:rPr>
          <w:rFonts w:hint="eastAsia"/>
          <w:lang w:val="en-US" w:eastAsia="zh-CN"/>
        </w:rPr>
        <w:t>这</w:t>
      </w:r>
      <w:r>
        <w:rPr>
          <w:rFonts w:hint="eastAsia"/>
          <w:b w:val="0"/>
          <w:bCs w:val="0"/>
          <w:lang w:val="en-US" w:eastAsia="zh-CN"/>
        </w:rPr>
        <w:t>五个关键“摇摆州”的民调支持率均领先于拜登，而根据</w:t>
      </w:r>
      <w:r>
        <w:rPr>
          <w:rFonts w:hint="default"/>
          <w:b w:val="0"/>
          <w:bCs w:val="0"/>
          <w:lang w:val="en-US" w:eastAsia="zh-CN"/>
        </w:rPr>
        <w:t>Real Clear Politics</w:t>
      </w:r>
      <w:r>
        <w:rPr>
          <w:rFonts w:hint="eastAsia"/>
          <w:b w:val="0"/>
          <w:bCs w:val="0"/>
          <w:lang w:val="en-US" w:eastAsia="zh-CN"/>
        </w:rPr>
        <w:t>统计，在</w:t>
      </w:r>
      <w:r>
        <w:rPr>
          <w:rFonts w:hint="eastAsia"/>
          <w:b w:val="0"/>
          <w:bCs w:val="0"/>
        </w:rPr>
        <w:t>全国范围内特朗普</w:t>
      </w:r>
      <w:r>
        <w:rPr>
          <w:rFonts w:hint="eastAsia"/>
          <w:b w:val="0"/>
          <w:bCs w:val="0"/>
          <w:lang w:val="en-US" w:eastAsia="zh-CN"/>
        </w:rPr>
        <w:t>则</w:t>
      </w:r>
      <w:r>
        <w:rPr>
          <w:rFonts w:hint="eastAsia"/>
          <w:b w:val="0"/>
          <w:bCs w:val="0"/>
        </w:rPr>
        <w:t>以47%对45%的支持率</w:t>
      </w:r>
      <w:r>
        <w:rPr>
          <w:rFonts w:hint="eastAsia"/>
          <w:b w:val="0"/>
          <w:bCs w:val="0"/>
          <w:lang w:val="en-US" w:eastAsia="zh-CN"/>
        </w:rPr>
        <w:t>领先</w:t>
      </w:r>
      <w:r>
        <w:rPr>
          <w:rFonts w:hint="eastAsia"/>
          <w:b w:val="0"/>
          <w:bCs w:val="0"/>
        </w:rPr>
        <w:t>。</w:t>
      </w:r>
    </w:p>
    <w:p>
      <w:pPr>
        <w:numPr>
          <w:ilvl w:val="0"/>
          <w:numId w:val="0"/>
        </w:numPr>
        <w:spacing w:line="360" w:lineRule="auto"/>
        <w:jc w:val="center"/>
        <w:rPr>
          <w:rFonts w:hint="default"/>
          <w:b/>
          <w:bCs/>
          <w:lang w:val="en-US" w:eastAsia="zh-CN"/>
        </w:rPr>
      </w:pPr>
      <w:r>
        <w:rPr>
          <w:rFonts w:hint="eastAsia"/>
          <w:b/>
          <w:bCs/>
          <w:lang w:val="en-US" w:eastAsia="zh-CN"/>
        </w:rPr>
        <w:t>图1: 当前特朗普支持率高于拜登</w:t>
      </w:r>
    </w:p>
    <w:p>
      <w:pPr>
        <w:numPr>
          <w:ilvl w:val="0"/>
          <w:numId w:val="0"/>
        </w:numPr>
        <w:spacing w:line="360" w:lineRule="auto"/>
        <w:rPr>
          <w:rFonts w:hint="default"/>
          <w:b w:val="0"/>
          <w:bCs w:val="0"/>
          <w:lang w:val="en-US" w:eastAsia="zh-CN"/>
        </w:rPr>
      </w:pPr>
      <w:r>
        <w:rPr>
          <w:rFonts w:hint="default"/>
          <w:b w:val="0"/>
          <w:bCs w:val="0"/>
          <w:lang w:val="en-US" w:eastAsia="zh-CN"/>
        </w:rPr>
        <w:drawing>
          <wp:inline distT="0" distB="0" distL="114300" distR="114300">
            <wp:extent cx="5266690" cy="3166110"/>
            <wp:effectExtent l="0" t="0" r="16510" b="8890"/>
            <wp:docPr id="5" name="Picture 5" descr="45c49524b37329bcd6e73b1d7d690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45c49524b37329bcd6e73b1d7d6909cc"/>
                    <pic:cNvPicPr>
                      <a:picLocks noChangeAspect="1"/>
                    </pic:cNvPicPr>
                  </pic:nvPicPr>
                  <pic:blipFill>
                    <a:blip r:embed="rId4"/>
                    <a:stretch>
                      <a:fillRect/>
                    </a:stretch>
                  </pic:blipFill>
                  <pic:spPr>
                    <a:xfrm>
                      <a:off x="0" y="0"/>
                      <a:ext cx="5266690" cy="3166110"/>
                    </a:xfrm>
                    <a:prstGeom prst="rect">
                      <a:avLst/>
                    </a:prstGeom>
                  </pic:spPr>
                </pic:pic>
              </a:graphicData>
            </a:graphic>
          </wp:inline>
        </w:drawing>
      </w:r>
    </w:p>
    <w:p>
      <w:pPr>
        <w:numPr>
          <w:ilvl w:val="0"/>
          <w:numId w:val="0"/>
        </w:numPr>
        <w:spacing w:line="360" w:lineRule="auto"/>
        <w:rPr>
          <w:rFonts w:hint="default"/>
          <w:b w:val="0"/>
          <w:bCs w:val="0"/>
          <w:i/>
          <w:iCs/>
          <w:lang w:val="en-US" w:eastAsia="zh-CN"/>
        </w:rPr>
      </w:pPr>
      <w:r>
        <w:rPr>
          <w:rFonts w:hint="eastAsia"/>
          <w:b w:val="0"/>
          <w:bCs w:val="0"/>
          <w:i/>
          <w:iCs/>
          <w:lang w:val="en-US" w:eastAsia="zh-CN"/>
        </w:rPr>
        <w:t>数据来源：</w:t>
      </w:r>
      <w:r>
        <w:rPr>
          <w:rFonts w:hint="default"/>
          <w:b w:val="0"/>
          <w:bCs w:val="0"/>
          <w:i/>
          <w:iCs/>
          <w:lang w:val="en-US" w:eastAsia="zh-CN"/>
        </w:rPr>
        <w:t xml:space="preserve">Real Clear Politics, </w:t>
      </w:r>
      <w:r>
        <w:rPr>
          <w:rFonts w:hint="eastAsia"/>
          <w:b w:val="0"/>
          <w:bCs w:val="0"/>
          <w:i/>
          <w:iCs/>
          <w:lang w:val="en-US" w:eastAsia="zh-CN"/>
        </w:rPr>
        <w:t>瑞达期货研究院</w:t>
      </w:r>
    </w:p>
    <w:p>
      <w:pPr>
        <w:numPr>
          <w:ilvl w:val="0"/>
          <w:numId w:val="1"/>
        </w:numPr>
        <w:ind w:left="0" w:leftChars="0" w:firstLine="0" w:firstLineChars="0"/>
        <w:rPr>
          <w:rFonts w:hint="eastAsia"/>
          <w:b/>
          <w:bCs/>
        </w:rPr>
      </w:pPr>
      <w:r>
        <w:rPr>
          <w:rFonts w:hint="eastAsia"/>
          <w:b/>
          <w:bCs/>
        </w:rPr>
        <w:t>特朗普任期期间政策主张</w:t>
      </w:r>
    </w:p>
    <w:p>
      <w:pPr>
        <w:spacing w:line="360" w:lineRule="auto"/>
        <w:ind w:firstLine="420" w:firstLineChars="0"/>
      </w:pPr>
      <w:r>
        <w:rPr>
          <w:rFonts w:hint="eastAsia"/>
          <w:b w:val="0"/>
          <w:bCs/>
        </w:rPr>
        <w:t>政策方面，特朗普在任期间偏好财政</w:t>
      </w:r>
      <w:r>
        <w:rPr>
          <w:rFonts w:hint="eastAsia"/>
          <w:b w:val="0"/>
          <w:bCs/>
          <w:lang w:val="en-US" w:eastAsia="zh-CN"/>
        </w:rPr>
        <w:t>及</w:t>
      </w:r>
      <w:r>
        <w:rPr>
          <w:rFonts w:hint="eastAsia"/>
          <w:b w:val="0"/>
          <w:bCs/>
        </w:rPr>
        <w:t>货币</w:t>
      </w:r>
      <w:r>
        <w:rPr>
          <w:rFonts w:hint="eastAsia"/>
          <w:b w:val="0"/>
          <w:bCs/>
          <w:lang w:val="en-US" w:eastAsia="zh-CN"/>
        </w:rPr>
        <w:t>政策保持</w:t>
      </w:r>
      <w:r>
        <w:rPr>
          <w:rFonts w:hint="eastAsia"/>
          <w:b w:val="0"/>
          <w:bCs/>
        </w:rPr>
        <w:t>宽松。与共和党主张限制政策大幅支出不同，特朗普任内减税及大规模财政刺激的实施，</w:t>
      </w:r>
      <w:r>
        <w:rPr>
          <w:rFonts w:hint="eastAsia"/>
        </w:rPr>
        <w:t>美国赤字率仍创下新高。</w:t>
      </w:r>
      <w:r>
        <w:t>2020年之前，赤字率就已呈现抬升趋势，2017至2019年，美国赤字率由3.5%升至4.6%，2020年进一步扩大至15%。</w:t>
      </w:r>
      <w:r>
        <w:rPr>
          <w:rFonts w:hint="eastAsia"/>
          <w:b w:val="0"/>
          <w:bCs/>
        </w:rPr>
        <w:t>推动大规模减税是特朗普执政期间宽财政的重要特征，</w:t>
      </w:r>
      <w:r>
        <w:t xml:space="preserve"> 2017年年底，特朗普大力主张的《2017年减税与就业法》获得通过，该法案的主要内容包括以下几个方面：一是降低公司税率，提升美国企业竞争力。法案规定美国公司所得税税率从原先最高约35%降至21％，该税率低于经合组织国家的平均税率（25%）。二是允许抵扣投资成本，促进社会投资。</w:t>
      </w:r>
    </w:p>
    <w:p>
      <w:pPr>
        <w:spacing w:line="360" w:lineRule="auto"/>
        <w:ind w:firstLine="420" w:firstLineChars="0"/>
      </w:pPr>
      <w:r>
        <w:rPr>
          <w:rFonts w:hint="eastAsia"/>
        </w:rPr>
        <w:t>在财政对就业的支持上，特朗普政府开始于美国就业增长强劲的环境，平均每月新增</w:t>
      </w:r>
      <w:r>
        <w:t>18万个就业岗位，处于一个较为健康的水平</w:t>
      </w:r>
      <w:r>
        <w:rPr>
          <w:rFonts w:hint="eastAsia"/>
        </w:rPr>
        <w:t>，直接表现为</w:t>
      </w:r>
      <w:r>
        <w:t>2019年失业率降至3.5%的50年低点，触及1969年5月以来的最低水平。</w:t>
      </w:r>
      <w:r>
        <w:rPr>
          <w:rFonts w:hint="eastAsia"/>
        </w:rPr>
        <w:t>除开在任期间经济正向周期的影响，也与特朗普任内税改有关，主张对富人和企业的大规模减税，主要目的是促进增长和就业。</w:t>
      </w:r>
    </w:p>
    <w:p>
      <w:pPr>
        <w:spacing w:line="360" w:lineRule="auto"/>
        <w:jc w:val="center"/>
        <w:rPr>
          <w:rFonts w:hint="default" w:eastAsiaTheme="minorEastAsia"/>
          <w:b/>
          <w:bCs/>
          <w:lang w:val="en-US" w:eastAsia="zh-CN"/>
        </w:rPr>
      </w:pPr>
      <w:r>
        <w:rPr>
          <w:rFonts w:hint="eastAsia"/>
          <w:b/>
          <w:bCs/>
        </w:rPr>
        <w:t>图</w:t>
      </w:r>
      <w:r>
        <w:rPr>
          <w:rFonts w:hint="eastAsia"/>
          <w:b/>
          <w:bCs/>
          <w:lang w:val="en-US" w:eastAsia="zh-CN"/>
        </w:rPr>
        <w:t>2</w:t>
      </w:r>
      <w:r>
        <w:rPr>
          <w:rFonts w:hint="eastAsia"/>
          <w:b/>
          <w:bCs/>
        </w:rPr>
        <w:t>：美国财政赤字</w:t>
      </w:r>
    </w:p>
    <w:p>
      <w:pPr>
        <w:spacing w:line="360" w:lineRule="auto"/>
        <w:jc w:val="center"/>
      </w:pPr>
      <w:r>
        <w:drawing>
          <wp:inline distT="0" distB="0" distL="0" distR="0">
            <wp:extent cx="4210685" cy="2048510"/>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10685" cy="2048510"/>
                    </a:xfrm>
                    <a:prstGeom prst="rect">
                      <a:avLst/>
                    </a:prstGeom>
                  </pic:spPr>
                </pic:pic>
              </a:graphicData>
            </a:graphic>
          </wp:inline>
        </w:drawing>
      </w:r>
    </w:p>
    <w:p>
      <w:pPr>
        <w:numPr>
          <w:ilvl w:val="0"/>
          <w:numId w:val="0"/>
        </w:numPr>
        <w:spacing w:line="360" w:lineRule="auto"/>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spacing w:line="360" w:lineRule="auto"/>
        <w:jc w:val="center"/>
        <w:rPr>
          <w:rFonts w:hint="eastAsia"/>
          <w:b/>
          <w:bCs/>
        </w:rPr>
      </w:pPr>
      <w:r>
        <w:rPr>
          <w:rFonts w:hint="eastAsia"/>
          <w:b/>
          <w:bCs/>
        </w:rPr>
        <w:t>图</w:t>
      </w:r>
      <w:r>
        <w:rPr>
          <w:rFonts w:hint="default"/>
          <w:b/>
          <w:bCs/>
          <w:lang w:val="en-US"/>
        </w:rPr>
        <w:t>3</w:t>
      </w:r>
      <w:r>
        <w:rPr>
          <w:rFonts w:hint="eastAsia"/>
          <w:b/>
          <w:bCs/>
        </w:rPr>
        <w:t>：美国就业人数</w:t>
      </w:r>
    </w:p>
    <w:p>
      <w:pPr>
        <w:spacing w:line="360" w:lineRule="auto"/>
        <w:jc w:val="center"/>
      </w:pPr>
      <w:r>
        <w:drawing>
          <wp:inline distT="0" distB="0" distL="0" distR="0">
            <wp:extent cx="4117975" cy="2028190"/>
            <wp:effectExtent l="0" t="0" r="2222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117975" cy="2028190"/>
                    </a:xfrm>
                    <a:prstGeom prst="rect">
                      <a:avLst/>
                    </a:prstGeom>
                  </pic:spPr>
                </pic:pic>
              </a:graphicData>
            </a:graphic>
          </wp:inline>
        </w:drawing>
      </w:r>
    </w:p>
    <w:p>
      <w:pPr>
        <w:spacing w:line="360" w:lineRule="auto"/>
        <w:jc w:val="both"/>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spacing w:line="360" w:lineRule="auto"/>
        <w:jc w:val="center"/>
        <w:rPr>
          <w:rFonts w:hint="eastAsia"/>
          <w:b/>
          <w:bCs/>
        </w:rPr>
      </w:pPr>
      <w:r>
        <w:rPr>
          <w:rFonts w:hint="eastAsia"/>
          <w:b/>
          <w:bCs/>
        </w:rPr>
        <w:t>图</w:t>
      </w:r>
      <w:r>
        <w:rPr>
          <w:rFonts w:hint="default"/>
          <w:b/>
          <w:bCs/>
          <w:lang w:val="en-US"/>
        </w:rPr>
        <w:t>4</w:t>
      </w:r>
      <w:r>
        <w:rPr>
          <w:rFonts w:hint="eastAsia"/>
          <w:b/>
          <w:bCs/>
        </w:rPr>
        <w:t>：美国失业率</w:t>
      </w:r>
    </w:p>
    <w:p>
      <w:pPr>
        <w:spacing w:line="360" w:lineRule="auto"/>
        <w:jc w:val="center"/>
      </w:pPr>
      <w:r>
        <w:drawing>
          <wp:inline distT="0" distB="0" distL="0" distR="0">
            <wp:extent cx="3893185" cy="1892300"/>
            <wp:effectExtent l="0" t="0" r="1841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3893185" cy="1892300"/>
                    </a:xfrm>
                    <a:prstGeom prst="rect">
                      <a:avLst/>
                    </a:prstGeom>
                  </pic:spPr>
                </pic:pic>
              </a:graphicData>
            </a:graphic>
          </wp:inline>
        </w:drawing>
      </w:r>
    </w:p>
    <w:p>
      <w:pPr>
        <w:spacing w:line="360" w:lineRule="auto"/>
        <w:jc w:val="both"/>
        <w:rPr>
          <w:rFonts w:hint="eastAsia"/>
        </w:rPr>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spacing w:line="360" w:lineRule="auto"/>
        <w:ind w:firstLine="420" w:firstLineChars="200"/>
      </w:pPr>
      <w:r>
        <w:rPr>
          <w:rFonts w:hint="eastAsia"/>
        </w:rPr>
        <w:t>货币</w:t>
      </w:r>
      <w:r>
        <w:rPr>
          <w:rFonts w:hint="eastAsia"/>
          <w:lang w:val="en-US" w:eastAsia="zh-CN"/>
        </w:rPr>
        <w:t>政策</w:t>
      </w:r>
      <w:r>
        <w:rPr>
          <w:rFonts w:hint="eastAsia"/>
        </w:rPr>
        <w:t>方面，</w:t>
      </w:r>
      <w:r>
        <w:t>2017年3月至2018年底，美联储7次加息，2019年全年降息三次。</w:t>
      </w:r>
      <w:r>
        <w:rPr>
          <w:rFonts w:hint="eastAsia"/>
          <w:b w:val="0"/>
          <w:bCs/>
        </w:rPr>
        <w:t>与拜登不干预货币政策的基调不同，</w:t>
      </w:r>
      <w:r>
        <w:rPr>
          <w:b w:val="0"/>
          <w:bCs/>
        </w:rPr>
        <w:t>特朗普任内多次公开施压要求美联储尽快降息。</w:t>
      </w:r>
      <w:r>
        <w:rPr>
          <w:rFonts w:hint="eastAsia"/>
          <w:b w:val="0"/>
          <w:bCs/>
        </w:rPr>
        <w:t>特朗</w:t>
      </w:r>
      <w:r>
        <w:rPr>
          <w:rFonts w:hint="eastAsia"/>
        </w:rPr>
        <w:t>普影响货币政策的具体路径包括两个方面：一是通过对美联储货币政策的预期影响间接影响货币政策。特朗普多次通过推特公开喊话要求美联储降低利率便产生了较为明显市场预期，进而影响美联储的政策决议。二是通过其他宏观经济政策影响货币政策。</w:t>
      </w:r>
    </w:p>
    <w:p>
      <w:pPr>
        <w:spacing w:line="360" w:lineRule="auto"/>
        <w:jc w:val="center"/>
        <w:rPr>
          <w:rFonts w:hint="eastAsia"/>
          <w:b/>
          <w:bCs/>
        </w:rPr>
      </w:pPr>
      <w:r>
        <w:rPr>
          <w:rFonts w:hint="eastAsia"/>
          <w:b/>
          <w:bCs/>
        </w:rPr>
        <w:t>图</w:t>
      </w:r>
      <w:r>
        <w:rPr>
          <w:rFonts w:hint="default"/>
          <w:b/>
          <w:bCs/>
          <w:lang w:val="en-US"/>
        </w:rPr>
        <w:t>5</w:t>
      </w:r>
      <w:r>
        <w:rPr>
          <w:rFonts w:hint="eastAsia"/>
          <w:b/>
          <w:bCs/>
        </w:rPr>
        <w:t>：联邦基金利率</w:t>
      </w:r>
    </w:p>
    <w:p>
      <w:pPr>
        <w:spacing w:line="360" w:lineRule="auto"/>
        <w:ind w:firstLine="420" w:firstLineChars="200"/>
        <w:jc w:val="center"/>
      </w:pPr>
      <w:r>
        <w:drawing>
          <wp:inline distT="0" distB="0" distL="0" distR="0">
            <wp:extent cx="4400550" cy="21551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410367" cy="2160050"/>
                    </a:xfrm>
                    <a:prstGeom prst="rect">
                      <a:avLst/>
                    </a:prstGeom>
                  </pic:spPr>
                </pic:pic>
              </a:graphicData>
            </a:graphic>
          </wp:inline>
        </w:drawing>
      </w:r>
    </w:p>
    <w:p>
      <w:pPr>
        <w:spacing w:line="360" w:lineRule="auto"/>
        <w:jc w:val="both"/>
        <w:rPr>
          <w:rFonts w:hint="eastAsia"/>
        </w:rPr>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spacing w:line="360" w:lineRule="auto"/>
        <w:ind w:firstLine="420" w:firstLineChars="200"/>
      </w:pPr>
      <w:r>
        <w:rPr>
          <w:rFonts w:hint="eastAsia"/>
          <w:b w:val="0"/>
          <w:bCs/>
        </w:rPr>
        <w:t>外交政策方面，特朗普政府的贸易政策具有鲜明的保护主义倾向。一方面，特朗普政府不承认前任历届政府签订的自贸协定，通过单边退群的方式大力推进双边和多边自贸协定的再谈判，希望借助自贸协定的再谈判来维护美国经济利益。另一方面，特朗普政府通过单方面加征关税或威胁加征关税等方式，迫使其他经济体进行相应政策调整，以实现降低其他国家输入美国产品价格优势、限制其他国家产品进入美国市场、扩大美国商品对外出口市场等目的。这与特朗普政府高度重视制造业在美国经济体系中的地位有着重要关系。</w:t>
      </w:r>
      <w:r>
        <w:rPr>
          <w:rFonts w:hint="eastAsia"/>
        </w:rPr>
        <w:t>此外，特朗普政府修改多边规则，试图加强美国推动世界经济机制的位置，其中包括在</w:t>
      </w:r>
      <w:r>
        <w:t>2019年3月1日发布的《2019贸易政策议程及2018年度报告》</w:t>
      </w:r>
      <w:r>
        <w:rPr>
          <w:rFonts w:hint="eastAsia"/>
        </w:rPr>
        <w:t>中提及的多项对WTO的改革建议。在对地缘政治的影响上，导致国家间经济竞争陷入安全化陷阱，甚至导致主要经济体面临经济安全的制度性困境，更阻碍了全球化进程，动摇了冷战后形成的全球经济多边治理机制，全球经济机制正常运作面临制度性困难。</w:t>
      </w:r>
    </w:p>
    <w:p>
      <w:pPr>
        <w:spacing w:line="360" w:lineRule="auto"/>
        <w:ind w:firstLine="420" w:firstLineChars="200"/>
      </w:pPr>
      <w:r>
        <w:rPr>
          <w:rFonts w:hint="eastAsia"/>
        </w:rPr>
        <w:t>移民政策方面，特朗普任内对移民限制性措施力度强于拜登。其中包括，</w:t>
      </w:r>
      <w:r>
        <w:t>2017年1月27日，签署第13769号总统行政命令，要求在120天內暂停所有难民入境2017年9月5日宣布移民特别保护项目一一“童年入境者暂缓遣返行动”计划(DACA)</w:t>
      </w:r>
      <w:r>
        <w:rPr>
          <w:rFonts w:hint="eastAsia"/>
        </w:rPr>
        <w:t>；</w:t>
      </w:r>
      <w:r>
        <w:t>2018年4月6日，美国司法部长塞申斯宣布实行“零容忍”移民政策</w:t>
      </w:r>
      <w:r>
        <w:rPr>
          <w:rFonts w:hint="eastAsia"/>
        </w:rPr>
        <w:t>；以及</w:t>
      </w:r>
      <w:r>
        <w:t>2020年4月宣布实行移民禁令60天</w:t>
      </w:r>
      <w:r>
        <w:rPr>
          <w:rFonts w:hint="eastAsia"/>
        </w:rPr>
        <w:t>。根据国土安全部</w:t>
      </w:r>
      <w:r>
        <w:t>(DHS)的数据显示，2016财年至2018年之间，合法移民每年减少了近87000例(约7%</w:t>
      </w:r>
      <w:r>
        <w:rPr>
          <w:rFonts w:hint="eastAsia"/>
        </w:rPr>
        <w:t>)。</w:t>
      </w:r>
    </w:p>
    <w:p>
      <w:pPr>
        <w:spacing w:line="360" w:lineRule="auto"/>
        <w:jc w:val="center"/>
        <w:rPr>
          <w:rFonts w:hint="eastAsia"/>
        </w:rPr>
      </w:pPr>
      <w:r>
        <w:rPr>
          <w:rFonts w:hint="eastAsia"/>
          <w:b/>
          <w:bCs/>
          <w:lang w:val="en-US" w:eastAsia="zh-CN"/>
        </w:rPr>
        <w:t>图</w:t>
      </w:r>
      <w:r>
        <w:rPr>
          <w:rFonts w:hint="default"/>
          <w:b/>
          <w:bCs/>
          <w:lang w:val="en-US" w:eastAsia="zh-CN"/>
        </w:rPr>
        <w:t>6</w:t>
      </w:r>
      <w:r>
        <w:rPr>
          <w:rFonts w:hint="eastAsia"/>
          <w:b/>
          <w:bCs/>
        </w:rPr>
        <w:t>：特朗普任期内政策兑现</w:t>
      </w:r>
    </w:p>
    <w:p>
      <w:r>
        <w:drawing>
          <wp:inline distT="0" distB="0" distL="0" distR="0">
            <wp:extent cx="5274310" cy="252349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74310" cy="2523490"/>
                    </a:xfrm>
                    <a:prstGeom prst="rect">
                      <a:avLst/>
                    </a:prstGeom>
                  </pic:spPr>
                </pic:pic>
              </a:graphicData>
            </a:graphic>
          </wp:inline>
        </w:drawing>
      </w:r>
    </w:p>
    <w:p>
      <w:pPr>
        <w:rPr>
          <w:rFonts w:hint="eastAsia"/>
          <w:b w:val="0"/>
          <w:bCs w:val="0"/>
          <w:i/>
          <w:iCs/>
          <w:lang w:val="en-US" w:eastAsia="zh-CN"/>
        </w:rPr>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rPr>
          <w:rFonts w:hint="eastAsia"/>
          <w:b w:val="0"/>
          <w:bCs w:val="0"/>
          <w:i/>
          <w:iCs/>
          <w:lang w:val="en-US" w:eastAsia="zh-CN"/>
        </w:rPr>
      </w:pPr>
    </w:p>
    <w:p>
      <w:pPr>
        <w:numPr>
          <w:ilvl w:val="0"/>
          <w:numId w:val="1"/>
        </w:numPr>
        <w:ind w:left="0" w:leftChars="0" w:firstLine="0" w:firstLineChars="0"/>
        <w:rPr>
          <w:b/>
          <w:bCs/>
        </w:rPr>
      </w:pPr>
      <w:r>
        <w:rPr>
          <w:rFonts w:hint="eastAsia"/>
          <w:b/>
          <w:bCs/>
          <w:lang w:val="en-US" w:eastAsia="zh-CN"/>
        </w:rPr>
        <w:t>2016年美国大选期间前后</w:t>
      </w:r>
      <w:r>
        <w:rPr>
          <w:rFonts w:hint="eastAsia"/>
          <w:b/>
          <w:bCs/>
        </w:rPr>
        <w:t>资产价格走势</w:t>
      </w:r>
    </w:p>
    <w:p>
      <w:pPr>
        <w:numPr>
          <w:ilvl w:val="0"/>
          <w:numId w:val="0"/>
        </w:numPr>
        <w:spacing w:line="360" w:lineRule="auto"/>
        <w:ind w:leftChars="0" w:firstLine="420" w:firstLineChars="0"/>
        <w:rPr>
          <w:rFonts w:hint="eastAsia"/>
          <w:lang w:val="en-US" w:eastAsia="zh-CN"/>
        </w:rPr>
      </w:pPr>
      <w:r>
        <w:rPr>
          <w:rFonts w:hint="eastAsia"/>
          <w:lang w:val="en-US" w:eastAsia="zh-CN"/>
        </w:rPr>
        <w:t>在2016年大选博弈期间，特朗普当选前市场同样围绕其相关政策开启了新一轮博弈，随着特朗普的支持率在大选投票日前逐步增加，市场担忧美国赤字及通胀水平将受其所承诺的大规模基建设施支出、减税以及放松监管等政策影响而升高，进而推升了市场对美联储后继加息的押注，长端美债收益率受利率影响随之飙升，同时美元受美国与非美国家利差走阔影响走强，与此同时，贵金属价格受美元及美债收益率上涨的影响随之承压。铜价及原油价格在此期间受大选相关交易影响较小，铜价在中国经济表现不俗带动需求预期回升的影响下得到提振，而原油价格则在OPEC国家于11月达成减产计划的影响下走高。美豆方面，受特朗普上台后极力推崇增加关税的影响，非美国家降低相应美国农产品进口量同样导致美豆出口量承压，在需求预期持续下滑的情况下，美豆价格表现在特朗普上台后相对低迷。权益资产方面，美国主要股指前期受长端美债收益率迅速上涨的影响虽有所承压，但在后期市场上调美国经济增速预期的情况下同样得到了提振，而如恒生指数的非美国家股指在前期同样受国债收益率上升影响表现不佳，但在后继竞选结束国债波动下降后同样得到了一定修复。</w:t>
      </w:r>
    </w:p>
    <w:p>
      <w:pPr>
        <w:numPr>
          <w:ilvl w:val="0"/>
          <w:numId w:val="0"/>
        </w:numPr>
        <w:spacing w:line="360" w:lineRule="auto"/>
        <w:ind w:leftChars="0" w:firstLine="420" w:firstLineChars="0"/>
        <w:rPr>
          <w:rFonts w:hint="eastAsia"/>
          <w:lang w:val="en-US" w:eastAsia="zh-CN"/>
        </w:rPr>
      </w:pPr>
    </w:p>
    <w:p>
      <w:pPr>
        <w:numPr>
          <w:ilvl w:val="0"/>
          <w:numId w:val="0"/>
        </w:numPr>
        <w:spacing w:line="360" w:lineRule="auto"/>
        <w:ind w:leftChars="0" w:firstLine="420" w:firstLineChars="0"/>
        <w:rPr>
          <w:rFonts w:hint="eastAsia"/>
          <w:lang w:val="en-US" w:eastAsia="zh-CN"/>
        </w:rPr>
      </w:pPr>
    </w:p>
    <w:p>
      <w:pPr>
        <w:numPr>
          <w:ilvl w:val="0"/>
          <w:numId w:val="0"/>
        </w:numPr>
        <w:spacing w:line="360" w:lineRule="auto"/>
        <w:ind w:leftChars="0" w:firstLine="420" w:firstLineChars="0"/>
        <w:rPr>
          <w:rFonts w:hint="eastAsia"/>
          <w:lang w:val="en-US" w:eastAsia="zh-CN"/>
        </w:rPr>
      </w:pPr>
    </w:p>
    <w:p>
      <w:pPr>
        <w:numPr>
          <w:ilvl w:val="0"/>
          <w:numId w:val="0"/>
        </w:numPr>
        <w:spacing w:line="360" w:lineRule="auto"/>
        <w:jc w:val="center"/>
        <w:rPr>
          <w:rFonts w:hint="default" w:eastAsiaTheme="minorEastAsia"/>
          <w:b/>
          <w:bCs/>
          <w:lang w:val="en-US" w:eastAsia="zh-CN"/>
        </w:rPr>
      </w:pPr>
      <w:r>
        <w:rPr>
          <w:rFonts w:hint="eastAsia"/>
          <w:b/>
          <w:bCs/>
          <w:lang w:val="en-US" w:eastAsia="zh-CN"/>
        </w:rPr>
        <w:t>图</w:t>
      </w:r>
      <w:r>
        <w:rPr>
          <w:rFonts w:hint="default"/>
          <w:b/>
          <w:bCs/>
          <w:lang w:val="en-US" w:eastAsia="zh-CN"/>
        </w:rPr>
        <w:t>7</w:t>
      </w:r>
      <w:r>
        <w:rPr>
          <w:rFonts w:hint="eastAsia"/>
          <w:b/>
          <w:bCs/>
        </w:rPr>
        <w:t>：</w:t>
      </w:r>
      <w:r>
        <w:rPr>
          <w:rFonts w:hint="eastAsia"/>
          <w:b/>
          <w:bCs/>
          <w:lang w:val="en-US" w:eastAsia="zh-CN"/>
        </w:rPr>
        <w:t>大选期间前后资产走势</w:t>
      </w:r>
    </w:p>
    <w:p>
      <w:pPr>
        <w:numPr>
          <w:ilvl w:val="0"/>
          <w:numId w:val="0"/>
        </w:numPr>
        <w:jc w:val="center"/>
      </w:pPr>
      <w:r>
        <w:drawing>
          <wp:inline distT="0" distB="0" distL="114300" distR="114300">
            <wp:extent cx="5185410" cy="1630045"/>
            <wp:effectExtent l="0" t="0" r="21590" b="2095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10"/>
                    <a:stretch>
                      <a:fillRect/>
                    </a:stretch>
                  </pic:blipFill>
                  <pic:spPr>
                    <a:xfrm>
                      <a:off x="0" y="0"/>
                      <a:ext cx="5185410" cy="1630045"/>
                    </a:xfrm>
                    <a:prstGeom prst="rect">
                      <a:avLst/>
                    </a:prstGeom>
                    <a:noFill/>
                    <a:ln>
                      <a:noFill/>
                    </a:ln>
                  </pic:spPr>
                </pic:pic>
              </a:graphicData>
            </a:graphic>
          </wp:inline>
        </w:drawing>
      </w:r>
    </w:p>
    <w:p>
      <w:pPr>
        <w:numPr>
          <w:ilvl w:val="0"/>
          <w:numId w:val="0"/>
        </w:numPr>
        <w:rPr>
          <w:rFonts w:hint="default"/>
          <w:lang w:val="en-US" w:eastAsia="zh-CN"/>
        </w:rPr>
      </w:pPr>
      <w:r>
        <w:rPr>
          <w:rFonts w:hint="eastAsia"/>
          <w:b w:val="0"/>
          <w:bCs w:val="0"/>
          <w:i/>
          <w:iCs/>
          <w:lang w:val="en-US" w:eastAsia="zh-CN"/>
        </w:rPr>
        <w:t>数据来源：</w:t>
      </w:r>
      <w:r>
        <w:rPr>
          <w:rFonts w:hint="default"/>
          <w:b w:val="0"/>
          <w:bCs w:val="0"/>
          <w:i/>
          <w:iCs/>
          <w:lang w:val="en-US" w:eastAsia="zh-CN"/>
        </w:rPr>
        <w:t xml:space="preserve">Wind, </w:t>
      </w:r>
      <w:r>
        <w:rPr>
          <w:rFonts w:hint="eastAsia"/>
          <w:b w:val="0"/>
          <w:bCs w:val="0"/>
          <w:i/>
          <w:iCs/>
          <w:lang w:val="en-US" w:eastAsia="zh-CN"/>
        </w:rPr>
        <w:t>瑞达期货研究院</w:t>
      </w:r>
    </w:p>
    <w:p>
      <w:pPr>
        <w:numPr>
          <w:ilvl w:val="0"/>
          <w:numId w:val="1"/>
        </w:numPr>
        <w:spacing w:line="360" w:lineRule="auto"/>
        <w:ind w:left="0" w:leftChars="0" w:firstLine="0" w:firstLineChars="0"/>
        <w:rPr>
          <w:rFonts w:hint="eastAsia"/>
          <w:b/>
          <w:bCs/>
        </w:rPr>
      </w:pPr>
      <w:r>
        <w:rPr>
          <w:rFonts w:hint="eastAsia"/>
          <w:b/>
          <w:bCs/>
          <w:lang w:val="en-US" w:eastAsia="zh-CN"/>
        </w:rPr>
        <w:t>本轮竞选博弈</w:t>
      </w:r>
      <w:r>
        <w:rPr>
          <w:rFonts w:hint="eastAsia"/>
          <w:b/>
          <w:bCs/>
        </w:rPr>
        <w:t>对应资产价格展望</w:t>
      </w:r>
    </w:p>
    <w:p>
      <w:pPr>
        <w:spacing w:line="360" w:lineRule="auto"/>
        <w:ind w:firstLine="420" w:firstLineChars="0"/>
        <w:rPr>
          <w:rFonts w:hint="default" w:eastAsiaTheme="minorEastAsia"/>
          <w:lang w:val="en-US" w:eastAsia="zh-CN"/>
        </w:rPr>
      </w:pPr>
      <w:r>
        <w:rPr>
          <w:rFonts w:hint="eastAsia"/>
          <w:lang w:val="en-US" w:eastAsia="zh-CN"/>
        </w:rPr>
        <w:t>结合特朗普过去所实施的政策以及本轮竞选中其所提及的信息来看，</w:t>
      </w:r>
      <w:r>
        <w:rPr>
          <w:rFonts w:hint="eastAsia" w:ascii="宋体" w:hAnsi="宋体" w:eastAsia="宋体" w:cs="宋体"/>
          <w:bCs/>
          <w:sz w:val="21"/>
          <w:szCs w:val="21"/>
        </w:rPr>
        <w:t>财政政策方面，特朗普</w:t>
      </w:r>
      <w:r>
        <w:rPr>
          <w:rFonts w:hint="eastAsia" w:ascii="宋体" w:hAnsi="宋体" w:eastAsia="宋体" w:cs="宋体"/>
          <w:bCs/>
          <w:sz w:val="21"/>
          <w:szCs w:val="21"/>
          <w:lang w:val="en-US" w:eastAsia="zh-CN"/>
        </w:rPr>
        <w:t>若于2024年当选后或继续推崇</w:t>
      </w:r>
      <w:r>
        <w:rPr>
          <w:rFonts w:hint="eastAsia" w:ascii="宋体" w:hAnsi="宋体" w:eastAsia="宋体" w:cs="宋体"/>
          <w:bCs/>
          <w:sz w:val="21"/>
          <w:szCs w:val="21"/>
        </w:rPr>
        <w:t>全面减税，</w:t>
      </w:r>
      <w:r>
        <w:rPr>
          <w:rFonts w:hint="eastAsia" w:ascii="宋体" w:hAnsi="宋体" w:eastAsia="宋体" w:cs="宋体"/>
          <w:bCs/>
          <w:sz w:val="21"/>
          <w:szCs w:val="21"/>
          <w:lang w:val="en-US" w:eastAsia="zh-CN"/>
        </w:rPr>
        <w:t>并</w:t>
      </w:r>
      <w:r>
        <w:rPr>
          <w:rFonts w:hint="eastAsia" w:ascii="宋体" w:hAnsi="宋体" w:eastAsia="宋体" w:cs="宋体"/>
          <w:sz w:val="21"/>
          <w:szCs w:val="21"/>
        </w:rPr>
        <w:t>延长他在2017年签署的即将到期的所得税减免、以及遗产税和财富税减免，</w:t>
      </w:r>
      <w:r>
        <w:rPr>
          <w:rFonts w:hint="eastAsia" w:ascii="宋体" w:hAnsi="宋体" w:eastAsia="宋体" w:cs="宋体"/>
          <w:bCs/>
          <w:sz w:val="21"/>
          <w:szCs w:val="21"/>
        </w:rPr>
        <w:t>并将公司税率从21%降至15%。在移民政策方面，特朗普表示将对移民入境的控制更加严格，包括终止</w:t>
      </w:r>
      <w:r>
        <w:rPr>
          <w:rFonts w:hint="eastAsia" w:ascii="宋体" w:hAnsi="宋体" w:eastAsia="宋体" w:cs="宋体"/>
          <w:bCs/>
          <w:sz w:val="21"/>
          <w:szCs w:val="21"/>
          <w:lang w:val="en-US" w:eastAsia="zh-CN"/>
        </w:rPr>
        <w:t>当前所实施的</w:t>
      </w:r>
      <w:r>
        <w:rPr>
          <w:rFonts w:hint="eastAsia" w:ascii="宋体" w:hAnsi="宋体" w:eastAsia="宋体" w:cs="宋体"/>
          <w:bCs/>
          <w:sz w:val="21"/>
          <w:szCs w:val="21"/>
        </w:rPr>
        <w:t>“抓了就放”政策，并增加</w:t>
      </w:r>
      <w:r>
        <w:rPr>
          <w:rFonts w:hint="eastAsia" w:ascii="宋体" w:hAnsi="宋体" w:eastAsia="宋体" w:cs="宋体"/>
          <w:bCs/>
          <w:sz w:val="21"/>
          <w:szCs w:val="21"/>
          <w:lang w:val="en-US" w:eastAsia="zh-CN"/>
        </w:rPr>
        <w:t>有关修建及维护</w:t>
      </w:r>
      <w:r>
        <w:rPr>
          <w:rFonts w:hint="eastAsia" w:ascii="宋体" w:hAnsi="宋体" w:eastAsia="宋体" w:cs="宋体"/>
          <w:bCs/>
          <w:sz w:val="21"/>
          <w:szCs w:val="21"/>
        </w:rPr>
        <w:t>边境墙</w:t>
      </w:r>
      <w:r>
        <w:rPr>
          <w:rFonts w:hint="eastAsia" w:ascii="宋体" w:hAnsi="宋体" w:eastAsia="宋体" w:cs="宋体"/>
          <w:bCs/>
          <w:sz w:val="21"/>
          <w:szCs w:val="21"/>
          <w:lang w:val="en-US" w:eastAsia="zh-CN"/>
        </w:rPr>
        <w:t>的相关支出</w:t>
      </w:r>
      <w:r>
        <w:rPr>
          <w:rFonts w:hint="eastAsia" w:ascii="宋体" w:hAnsi="宋体" w:eastAsia="宋体" w:cs="宋体"/>
          <w:bCs/>
          <w:sz w:val="21"/>
          <w:szCs w:val="21"/>
        </w:rPr>
        <w:t>；</w:t>
      </w:r>
      <w:r>
        <w:rPr>
          <w:rFonts w:hint="eastAsia" w:ascii="宋体" w:hAnsi="宋体" w:eastAsia="宋体" w:cs="宋体"/>
          <w:sz w:val="21"/>
          <w:szCs w:val="21"/>
        </w:rPr>
        <w:t>以及更加关注</w:t>
      </w:r>
      <w:r>
        <w:rPr>
          <w:rFonts w:hint="eastAsia" w:ascii="宋体" w:hAnsi="宋体" w:eastAsia="宋体" w:cs="宋体"/>
          <w:sz w:val="21"/>
          <w:szCs w:val="21"/>
          <w:lang w:val="en-US" w:eastAsia="zh-CN"/>
        </w:rPr>
        <w:t>非法</w:t>
      </w:r>
      <w:r>
        <w:rPr>
          <w:rFonts w:hint="eastAsia" w:ascii="宋体" w:hAnsi="宋体" w:eastAsia="宋体" w:cs="宋体"/>
          <w:sz w:val="21"/>
          <w:szCs w:val="21"/>
        </w:rPr>
        <w:t>移民</w:t>
      </w:r>
      <w:r>
        <w:rPr>
          <w:rFonts w:hint="eastAsia" w:ascii="宋体" w:hAnsi="宋体" w:eastAsia="宋体" w:cs="宋体"/>
          <w:sz w:val="21"/>
          <w:szCs w:val="21"/>
          <w:lang w:val="en-US" w:eastAsia="zh-CN"/>
        </w:rPr>
        <w:t>的</w:t>
      </w:r>
      <w:r>
        <w:rPr>
          <w:rFonts w:hint="eastAsia" w:ascii="宋体" w:hAnsi="宋体" w:eastAsia="宋体" w:cs="宋体"/>
          <w:sz w:val="21"/>
          <w:szCs w:val="21"/>
        </w:rPr>
        <w:t>驱逐，</w:t>
      </w:r>
      <w:r>
        <w:rPr>
          <w:rFonts w:hint="eastAsia" w:ascii="宋体" w:hAnsi="宋体" w:eastAsia="宋体" w:cs="宋体"/>
          <w:sz w:val="21"/>
          <w:szCs w:val="21"/>
          <w:lang w:val="en-US" w:eastAsia="zh-CN"/>
        </w:rPr>
        <w:t>并相对</w:t>
      </w:r>
      <w:r>
        <w:rPr>
          <w:rFonts w:hint="eastAsia" w:ascii="宋体" w:hAnsi="宋体" w:eastAsia="宋体" w:cs="宋体"/>
          <w:sz w:val="21"/>
          <w:szCs w:val="21"/>
        </w:rPr>
        <w:t>限制</w:t>
      </w:r>
      <w:r>
        <w:rPr>
          <w:rFonts w:hint="eastAsia" w:ascii="宋体" w:hAnsi="宋体" w:eastAsia="宋体" w:cs="宋体"/>
          <w:sz w:val="21"/>
          <w:szCs w:val="21"/>
          <w:lang w:val="en-US" w:eastAsia="zh-CN"/>
        </w:rPr>
        <w:t>获取</w:t>
      </w:r>
      <w:r>
        <w:rPr>
          <w:rFonts w:hint="eastAsia" w:ascii="宋体" w:hAnsi="宋体" w:eastAsia="宋体" w:cs="宋体"/>
          <w:sz w:val="21"/>
          <w:szCs w:val="21"/>
        </w:rPr>
        <w:t>劳动力移民</w:t>
      </w:r>
      <w:r>
        <w:rPr>
          <w:rFonts w:hint="eastAsia" w:ascii="宋体" w:hAnsi="宋体" w:eastAsia="宋体" w:cs="宋体"/>
          <w:sz w:val="21"/>
          <w:szCs w:val="21"/>
          <w:lang w:val="en-US" w:eastAsia="zh-CN"/>
        </w:rPr>
        <w:t>的</w:t>
      </w:r>
      <w:r>
        <w:rPr>
          <w:rFonts w:hint="eastAsia" w:ascii="宋体" w:hAnsi="宋体" w:eastAsia="宋体" w:cs="宋体"/>
          <w:sz w:val="21"/>
          <w:szCs w:val="21"/>
        </w:rPr>
        <w:t>途径</w:t>
      </w:r>
      <w:r>
        <w:rPr>
          <w:rFonts w:hint="eastAsia" w:ascii="宋体" w:hAnsi="宋体" w:eastAsia="宋体" w:cs="宋体"/>
          <w:bCs/>
          <w:sz w:val="21"/>
          <w:szCs w:val="21"/>
        </w:rPr>
        <w:t>。在贸易方面，特朗普提议对所有进口商品征收10%的关税，并表示对中国商品的关税可能达到60%甚至更多，</w:t>
      </w:r>
      <w:r>
        <w:rPr>
          <w:rFonts w:hint="eastAsia" w:ascii="宋体" w:hAnsi="宋体" w:eastAsia="宋体" w:cs="宋体"/>
          <w:bCs/>
          <w:sz w:val="21"/>
          <w:szCs w:val="21"/>
          <w:lang w:val="en-US" w:eastAsia="zh-CN"/>
        </w:rPr>
        <w:t>其主张的政策在未来或</w:t>
      </w:r>
      <w:r>
        <w:rPr>
          <w:rFonts w:hint="eastAsia" w:ascii="宋体" w:hAnsi="宋体" w:eastAsia="宋体" w:cs="宋体"/>
          <w:bCs/>
          <w:sz w:val="21"/>
          <w:szCs w:val="21"/>
        </w:rPr>
        <w:t>加剧</w:t>
      </w:r>
      <w:r>
        <w:rPr>
          <w:rFonts w:hint="eastAsia" w:ascii="宋体" w:hAnsi="宋体" w:eastAsia="宋体" w:cs="宋体"/>
          <w:bCs/>
          <w:sz w:val="21"/>
          <w:szCs w:val="21"/>
          <w:lang w:val="en-US" w:eastAsia="zh-CN"/>
        </w:rPr>
        <w:t>美国</w:t>
      </w:r>
      <w:r>
        <w:rPr>
          <w:rFonts w:hint="eastAsia" w:ascii="宋体" w:hAnsi="宋体" w:eastAsia="宋体" w:cs="宋体"/>
          <w:bCs/>
          <w:sz w:val="21"/>
          <w:szCs w:val="21"/>
        </w:rPr>
        <w:t>与主要贸易伙伴的紧张关系</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同时</w:t>
      </w:r>
      <w:r>
        <w:rPr>
          <w:rFonts w:hint="eastAsia" w:ascii="宋体" w:hAnsi="宋体" w:eastAsia="宋体" w:cs="宋体"/>
          <w:bCs/>
          <w:sz w:val="21"/>
          <w:szCs w:val="21"/>
        </w:rPr>
        <w:t>他主张奖励国内生产，并对外包美国就业的公司征税。</w:t>
      </w:r>
    </w:p>
    <w:p>
      <w:pPr>
        <w:spacing w:line="360" w:lineRule="auto"/>
        <w:ind w:firstLine="420" w:firstLineChars="0"/>
        <w:rPr>
          <w:rFonts w:hint="eastAsia"/>
          <w:lang w:val="en-US" w:eastAsia="zh-CN"/>
        </w:rPr>
      </w:pPr>
      <w:r>
        <w:rPr>
          <w:rFonts w:hint="eastAsia"/>
          <w:lang w:val="en-US" w:eastAsia="zh-CN"/>
        </w:rPr>
        <w:t>对于本轮“特朗普交易”交易而言，其当选后或多维持宽财政及宽货币政策的基调，结合近期公布的美国就业及通胀数据来看，长端美债收益率在通胀压力减小的情况下或大概率维持下行趋势。对于美元而言，特朗普所推崇的宽财政政策无疑将增加美国的赤字压力，美元信用受到质疑叠加与各国利差水平缩小或进一步削弱美元的强势地位，贵金属及铜价表现或在降息预期及弱美元的影响下得到一定保障。原油价格方面，特朗普同样主张加大美国境内开采力度，这或在其当选后进一步增加整体原油供给预期。最后，对于权益市场而言，长端美债收益率下降有助于释放美国与非美国家股指分母端估值压力，后继全球降息潮来临带动经济复苏或有助于给予权益市场一定提振。</w:t>
      </w:r>
    </w:p>
    <w:p>
      <w:pPr>
        <w:spacing w:line="360" w:lineRule="auto"/>
        <w:ind w:firstLine="420" w:firstLineChars="0"/>
        <w:rPr>
          <w:rFonts w:hint="eastAsia"/>
          <w:lang w:val="en-US" w:eastAsia="zh-CN"/>
        </w:rPr>
      </w:pPr>
    </w:p>
    <w:p>
      <w:pPr>
        <w:spacing w:line="360" w:lineRule="auto"/>
        <w:ind w:firstLine="420" w:firstLineChars="0"/>
        <w:rPr>
          <w:rFonts w:hint="eastAsia"/>
          <w:lang w:val="en-US" w:eastAsia="zh-CN"/>
        </w:rPr>
      </w:pPr>
    </w:p>
    <w:p>
      <w:pPr>
        <w:spacing w:line="360" w:lineRule="auto"/>
        <w:ind w:firstLine="420" w:firstLineChars="0"/>
        <w:rPr>
          <w:rFonts w:hint="eastAsia"/>
          <w:lang w:val="en-US" w:eastAsia="zh-CN"/>
        </w:rPr>
      </w:pPr>
    </w:p>
    <w:p>
      <w:pPr>
        <w:spacing w:line="360" w:lineRule="auto"/>
        <w:ind w:firstLine="420" w:firstLineChars="0"/>
        <w:rPr>
          <w:rFonts w:hint="eastAsia"/>
          <w:lang w:val="en-US" w:eastAsia="zh-CN"/>
        </w:rPr>
      </w:pPr>
    </w:p>
    <w:p>
      <w:pPr>
        <w:spacing w:line="360" w:lineRule="auto"/>
        <w:ind w:firstLine="420" w:firstLineChars="0"/>
        <w:rPr>
          <w:rFonts w:hint="eastAsia"/>
          <w:lang w:val="en-US" w:eastAsia="zh-CN"/>
        </w:rPr>
      </w:pPr>
    </w:p>
    <w:p>
      <w:pPr>
        <w:spacing w:line="360" w:lineRule="auto"/>
        <w:jc w:val="both"/>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作者：</w:t>
      </w:r>
    </w:p>
    <w:p>
      <w:pPr>
        <w:spacing w:line="360" w:lineRule="auto"/>
        <w:jc w:val="both"/>
        <w:rPr>
          <w:rFonts w:hint="eastAsia" w:ascii="宋体" w:hAnsi="宋体" w:eastAsia="宋体" w:cs="宋体"/>
          <w:b w:val="0"/>
          <w:bCs w:val="0"/>
          <w:i w:val="0"/>
          <w:iCs w:val="0"/>
          <w:sz w:val="21"/>
          <w:szCs w:val="21"/>
          <w:lang w:val="en-US" w:eastAsia="zh-CN"/>
        </w:rPr>
      </w:pPr>
      <w:r>
        <w:rPr>
          <w:rFonts w:hint="eastAsia" w:ascii="宋体" w:hAnsi="宋体" w:eastAsia="宋体" w:cs="宋体"/>
          <w:b w:val="0"/>
          <w:bCs w:val="0"/>
          <w:i w:val="0"/>
          <w:iCs w:val="0"/>
          <w:sz w:val="21"/>
          <w:szCs w:val="21"/>
          <w:lang w:val="en-US" w:eastAsia="zh-CN"/>
        </w:rPr>
        <w:t>研究员：</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许方莉  期货从业资格号F3073708  期货投资咨询从业证书号Z0017638</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助理研究员：</w:t>
      </w:r>
    </w:p>
    <w:p>
      <w:pPr>
        <w:spacing w:line="360" w:lineRule="auto"/>
        <w:jc w:val="both"/>
        <w:rPr>
          <w:rFonts w:hint="eastAsia" w:ascii="宋体" w:hAnsi="宋体" w:eastAsia="宋体" w:cs="宋体"/>
          <w:i w:val="0"/>
          <w:iCs w:val="0"/>
          <w:sz w:val="21"/>
          <w:szCs w:val="21"/>
          <w:lang w:val="en-US" w:eastAsia="zh-CN"/>
        </w:rPr>
      </w:pPr>
      <w:r>
        <w:rPr>
          <w:rFonts w:hint="eastAsia" w:ascii="宋体" w:hAnsi="宋体" w:eastAsia="宋体" w:cs="宋体"/>
          <w:i w:val="0"/>
          <w:iCs w:val="0"/>
          <w:sz w:val="21"/>
          <w:szCs w:val="21"/>
          <w:lang w:val="en-US" w:eastAsia="zh-CN"/>
        </w:rPr>
        <w:t>王世霖  期货从业资格号F03118150</w:t>
      </w:r>
    </w:p>
    <w:p>
      <w:pPr>
        <w:spacing w:line="360" w:lineRule="auto"/>
        <w:jc w:val="both"/>
        <w:rPr>
          <w:rFonts w:hint="eastAsia" w:ascii="宋体" w:hAnsi="宋体" w:eastAsia="宋体" w:cs="宋体"/>
          <w:i w:val="0"/>
          <w:iCs w:val="0"/>
          <w:sz w:val="21"/>
          <w:szCs w:val="21"/>
          <w:lang w:val="en-US" w:eastAsia="zh-CN"/>
        </w:rPr>
      </w:pPr>
    </w:p>
    <w:p>
      <w:pPr>
        <w:spacing w:line="360" w:lineRule="auto"/>
        <w:jc w:val="both"/>
        <w:rPr>
          <w:rFonts w:hint="eastAsia" w:ascii="宋体" w:hAnsi="宋体" w:eastAsia="宋体" w:cs="宋体"/>
          <w:b/>
          <w:bCs/>
          <w:i w:val="0"/>
          <w:iCs w:val="0"/>
          <w:sz w:val="21"/>
          <w:szCs w:val="21"/>
          <w:lang w:val="en-US" w:eastAsia="zh-CN"/>
        </w:rPr>
      </w:pPr>
      <w:r>
        <w:rPr>
          <w:rFonts w:hint="eastAsia" w:ascii="宋体" w:hAnsi="宋体" w:eastAsia="宋体" w:cs="宋体"/>
          <w:b/>
          <w:bCs/>
          <w:i w:val="0"/>
          <w:iCs w:val="0"/>
          <w:sz w:val="21"/>
          <w:szCs w:val="21"/>
          <w:lang w:val="en-US" w:eastAsia="zh-CN"/>
        </w:rPr>
        <w:t>免责声明：</w:t>
      </w:r>
    </w:p>
    <w:p>
      <w:pPr>
        <w:spacing w:line="360" w:lineRule="auto"/>
        <w:jc w:val="both"/>
        <w:rPr>
          <w:rFonts w:hint="default"/>
          <w:i w:val="0"/>
          <w:iCs w:val="0"/>
          <w:sz w:val="21"/>
          <w:szCs w:val="21"/>
          <w:lang w:val="en-US" w:eastAsia="zh-CN"/>
        </w:rPr>
      </w:pPr>
      <w:r>
        <w:rPr>
          <w:rFonts w:hint="eastAsia" w:ascii="宋体" w:hAnsi="宋体" w:eastAsia="宋体" w:cs="宋体"/>
          <w:i w:val="0"/>
          <w:iCs w:val="0"/>
          <w:sz w:val="21"/>
          <w:szCs w:val="21"/>
          <w:lang w:val="en-US" w:eastAsia="zh-CN"/>
        </w:rPr>
        <w:t>本报告中的信息均来源于公开可获得资料，瑞达期货股份有限公司力求准确可靠，但对这些信息的准确性及完整性不做任何保证，据此投资，责任自负。本报告不构成个人投资建议，客户应考虑本报告中的任何意见或建议是否符合其特定状况。本报告版权仅为我公司所有，未经书面许可，任何机构和个人不得以任何形式翻版、复制和发布。如引用、刊发，需注明出处为瑞达期货股份有限公司研究院，且不得对本报告进行有悖原意的引用、删节</w:t>
      </w:r>
      <w:r>
        <w:rPr>
          <w:rFonts w:hint="default"/>
          <w:i w:val="0"/>
          <w:iCs w:val="0"/>
          <w:sz w:val="21"/>
          <w:szCs w:val="21"/>
          <w:lang w:val="en-US" w:eastAsia="zh-CN"/>
        </w:rPr>
        <w:t>和修改。</w:t>
      </w:r>
    </w:p>
    <w:p>
      <w:p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DAC07"/>
    <w:multiLevelType w:val="singleLevel"/>
    <w:tmpl w:val="223DAC0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ZTQ2YTkyMzU3YjI3Y2QwOGNkYzVjNGE5OTQxYWMifQ=="/>
  </w:docVars>
  <w:rsids>
    <w:rsidRoot w:val="64903F22"/>
    <w:rsid w:val="2943780F"/>
    <w:rsid w:val="64903F22"/>
    <w:rsid w:val="F7DD0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2648</Words>
  <Characters>2837</Characters>
  <Lines>0</Lines>
  <Paragraphs>0</Paragraphs>
  <TotalTime>0</TotalTime>
  <ScaleCrop>false</ScaleCrop>
  <LinksUpToDate>false</LinksUpToDate>
  <CharactersWithSpaces>2850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2024-07-18T10:59:00Z</dcterms:created>
  <dc:creator>TimmyW</dc:creator>
  <cp:lastModifiedBy>TimmyW</cp:lastModifiedBy>
  <dcterms:modified xsi:type="dcterms:W3CDTF">2024-07-19T00:22:41Z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1E2BCC0E513946168C46DD8EA04A0D46_13</vt:lpwstr>
  </property>
</Properties>
</file>