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2C5" w:rsidRDefault="00115A1A">
      <w:pPr>
        <w:pStyle w:val="a3"/>
        <w:spacing w:line="256" w:lineRule="auto"/>
        <w:ind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:rsidR="009372C5" w:rsidRDefault="009372C5">
      <w:pPr>
        <w:pStyle w:val="a3"/>
        <w:spacing w:line="256" w:lineRule="auto"/>
      </w:pPr>
    </w:p>
    <w:p w:rsidR="009372C5" w:rsidRDefault="009372C5">
      <w:pPr>
        <w:pStyle w:val="a3"/>
        <w:spacing w:line="256" w:lineRule="auto"/>
      </w:pPr>
    </w:p>
    <w:p w:rsidR="009372C5" w:rsidRDefault="009372C5">
      <w:pPr>
        <w:pStyle w:val="a3"/>
        <w:spacing w:line="256" w:lineRule="auto"/>
      </w:pPr>
    </w:p>
    <w:p w:rsidR="009372C5" w:rsidRDefault="009372C5">
      <w:pPr>
        <w:pStyle w:val="a3"/>
        <w:spacing w:line="256" w:lineRule="auto"/>
      </w:pPr>
    </w:p>
    <w:p w:rsidR="009372C5" w:rsidRDefault="009372C5">
      <w:pPr>
        <w:pStyle w:val="a3"/>
        <w:spacing w:line="256" w:lineRule="auto"/>
      </w:pPr>
    </w:p>
    <w:p w:rsidR="009372C5" w:rsidRDefault="00115A1A">
      <w:pPr>
        <w:ind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115A1A">
      <w:pPr>
        <w:ind w:firstLine="1944"/>
        <w:rPr>
          <w:rFonts w:ascii="微软雅黑" w:eastAsia="微软雅黑" w:hAnsi="微软雅黑" w:cs="微软雅黑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115A1A">
      <w:pPr>
        <w:spacing w:before="206" w:line="204" w:lineRule="auto"/>
        <w:ind w:left="7323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2024年</w:t>
      </w:r>
      <w:r w:rsidR="002F5E03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9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D8106E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13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9372C5">
      <w:pPr>
        <w:spacing w:line="204" w:lineRule="auto"/>
        <w:ind w:firstLine="1008"/>
        <w:rPr>
          <w:sz w:val="48"/>
          <w:szCs w:val="48"/>
          <w:lang w:eastAsia="zh-CN"/>
        </w:rPr>
        <w:sectPr w:rsidR="009372C5">
          <w:headerReference w:type="default" r:id="rId10"/>
          <w:pgSz w:w="11906" w:h="16838"/>
          <w:pgMar w:top="400" w:right="0" w:bottom="0" w:left="0" w:header="0" w:footer="340" w:gutter="0"/>
          <w:cols w:space="720"/>
        </w:sectPr>
      </w:pPr>
    </w:p>
    <w:p w:rsidR="009372C5" w:rsidRDefault="00115A1A">
      <w:pPr>
        <w:spacing w:before="120" w:line="190" w:lineRule="auto"/>
        <w:ind w:firstLine="56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:rsidR="009372C5" w:rsidRDefault="00D8106E">
      <w:pPr>
        <w:spacing w:before="103" w:line="257" w:lineRule="auto"/>
        <w:ind w:right="584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D8106E">
        <w:rPr>
          <w:rFonts w:ascii="微软雅黑" w:eastAsia="微软雅黑" w:hAnsi="微软雅黑" w:cs="微软雅黑" w:hint="eastAsia"/>
          <w:spacing w:val="12"/>
          <w:lang w:eastAsia="zh-CN"/>
        </w:rPr>
        <w:t>美国三大股指全线收涨，道指涨</w:t>
      </w:r>
      <w:r w:rsidRPr="00D8106E">
        <w:rPr>
          <w:rFonts w:ascii="微软雅黑" w:eastAsia="微软雅黑" w:hAnsi="微软雅黑" w:cs="微软雅黑"/>
          <w:spacing w:val="12"/>
          <w:lang w:eastAsia="zh-CN"/>
        </w:rPr>
        <w:t>0.58%</w:t>
      </w:r>
      <w:r w:rsidRPr="00D8106E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D8106E">
        <w:rPr>
          <w:rFonts w:ascii="微软雅黑" w:eastAsia="微软雅黑" w:hAnsi="微软雅黑" w:cs="微软雅黑"/>
          <w:spacing w:val="12"/>
          <w:lang w:eastAsia="zh-CN"/>
        </w:rPr>
        <w:t>41096.77</w:t>
      </w:r>
      <w:r w:rsidRPr="00D8106E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Pr="00D8106E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D8106E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D8106E">
        <w:rPr>
          <w:rFonts w:ascii="微软雅黑" w:eastAsia="微软雅黑" w:hAnsi="微软雅黑" w:cs="微软雅黑" w:hint="eastAsia"/>
          <w:spacing w:val="12"/>
          <w:lang w:eastAsia="zh-CN"/>
        </w:rPr>
        <w:t>指数涨</w:t>
      </w:r>
      <w:r w:rsidRPr="00D8106E">
        <w:rPr>
          <w:rFonts w:ascii="微软雅黑" w:eastAsia="微软雅黑" w:hAnsi="微软雅黑" w:cs="微软雅黑"/>
          <w:spacing w:val="12"/>
          <w:lang w:eastAsia="zh-CN"/>
        </w:rPr>
        <w:t>0.75%</w:t>
      </w:r>
      <w:r w:rsidRPr="00D8106E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D8106E">
        <w:rPr>
          <w:rFonts w:ascii="微软雅黑" w:eastAsia="微软雅黑" w:hAnsi="微软雅黑" w:cs="微软雅黑"/>
          <w:spacing w:val="12"/>
          <w:lang w:eastAsia="zh-CN"/>
        </w:rPr>
        <w:t>5595.76</w:t>
      </w:r>
      <w:r w:rsidRPr="00D8106E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Pr="00D8106E">
        <w:rPr>
          <w:rFonts w:ascii="微软雅黑" w:eastAsia="微软雅黑" w:hAnsi="微软雅黑" w:cs="微软雅黑" w:hint="eastAsia"/>
          <w:spacing w:val="12"/>
          <w:lang w:eastAsia="zh-CN"/>
        </w:rPr>
        <w:t>纳指涨</w:t>
      </w:r>
      <w:proofErr w:type="gramEnd"/>
      <w:r w:rsidRPr="00D8106E">
        <w:rPr>
          <w:rFonts w:ascii="微软雅黑" w:eastAsia="微软雅黑" w:hAnsi="微软雅黑" w:cs="微软雅黑"/>
          <w:spacing w:val="12"/>
          <w:lang w:eastAsia="zh-CN"/>
        </w:rPr>
        <w:t>1%</w:t>
      </w:r>
      <w:r w:rsidRPr="00D8106E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D8106E">
        <w:rPr>
          <w:rFonts w:ascii="微软雅黑" w:eastAsia="微软雅黑" w:hAnsi="微软雅黑" w:cs="微软雅黑"/>
          <w:spacing w:val="12"/>
          <w:lang w:eastAsia="zh-CN"/>
        </w:rPr>
        <w:t>17569.68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点。</w:t>
      </w:r>
      <w:proofErr w:type="gramStart"/>
      <w:r w:rsidRPr="00D8106E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D8106E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D8106E">
        <w:rPr>
          <w:rFonts w:ascii="微软雅黑" w:eastAsia="微软雅黑" w:hAnsi="微软雅黑" w:cs="微软雅黑" w:hint="eastAsia"/>
          <w:spacing w:val="12"/>
          <w:lang w:eastAsia="zh-CN"/>
        </w:rPr>
        <w:t>指数、</w:t>
      </w:r>
      <w:proofErr w:type="gramStart"/>
      <w:r w:rsidRPr="00D8106E">
        <w:rPr>
          <w:rFonts w:ascii="微软雅黑" w:eastAsia="微软雅黑" w:hAnsi="微软雅黑" w:cs="微软雅黑" w:hint="eastAsia"/>
          <w:spacing w:val="12"/>
          <w:lang w:eastAsia="zh-CN"/>
        </w:rPr>
        <w:t>纳指均</w:t>
      </w:r>
      <w:proofErr w:type="gramEnd"/>
      <w:r w:rsidRPr="00D8106E">
        <w:rPr>
          <w:rFonts w:ascii="微软雅黑" w:eastAsia="微软雅黑" w:hAnsi="微软雅黑" w:cs="微软雅黑" w:hint="eastAsia"/>
          <w:spacing w:val="12"/>
          <w:lang w:eastAsia="zh-CN"/>
        </w:rPr>
        <w:t>录得连续第四日上涨</w:t>
      </w:r>
      <w:r w:rsidR="00946893" w:rsidRPr="00946893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Pr="00D8106E">
        <w:rPr>
          <w:rFonts w:ascii="微软雅黑" w:eastAsia="微软雅黑" w:hAnsi="微软雅黑" w:cs="微软雅黑" w:hint="eastAsia"/>
          <w:spacing w:val="12"/>
          <w:lang w:eastAsia="zh-CN"/>
        </w:rPr>
        <w:t>美元指数跌</w:t>
      </w:r>
      <w:r w:rsidRPr="00D8106E">
        <w:rPr>
          <w:rFonts w:ascii="微软雅黑" w:eastAsia="微软雅黑" w:hAnsi="微软雅黑" w:cs="微软雅黑"/>
          <w:spacing w:val="12"/>
          <w:lang w:eastAsia="zh-CN"/>
        </w:rPr>
        <w:t>0.49%</w:t>
      </w:r>
      <w:r w:rsidRPr="00D8106E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D8106E">
        <w:rPr>
          <w:rFonts w:ascii="微软雅黑" w:eastAsia="微软雅黑" w:hAnsi="微软雅黑" w:cs="微软雅黑"/>
          <w:spacing w:val="12"/>
          <w:lang w:eastAsia="zh-CN"/>
        </w:rPr>
        <w:t>101.24</w:t>
      </w:r>
      <w:r w:rsidRPr="00D8106E">
        <w:rPr>
          <w:rFonts w:ascii="微软雅黑" w:eastAsia="微软雅黑" w:hAnsi="微软雅黑" w:cs="微软雅黑" w:hint="eastAsia"/>
          <w:spacing w:val="12"/>
          <w:lang w:eastAsia="zh-CN"/>
        </w:rPr>
        <w:t>，非美货币普遍上涨</w:t>
      </w:r>
      <w:r w:rsidR="00115A1A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r w:rsidRPr="00D8106E">
        <w:rPr>
          <w:rFonts w:ascii="微软雅黑" w:eastAsia="微软雅黑" w:hAnsi="微软雅黑" w:cs="微软雅黑" w:hint="eastAsia"/>
          <w:spacing w:val="12"/>
          <w:lang w:eastAsia="zh-CN"/>
        </w:rPr>
        <w:t>离岸人民币对美元涨</w:t>
      </w:r>
      <w:r w:rsidRPr="00D8106E">
        <w:rPr>
          <w:rFonts w:ascii="微软雅黑" w:eastAsia="微软雅黑" w:hAnsi="微软雅黑" w:cs="微软雅黑"/>
          <w:spacing w:val="12"/>
          <w:lang w:eastAsia="zh-CN"/>
        </w:rPr>
        <w:t>105</w:t>
      </w:r>
      <w:r w:rsidRPr="00D8106E">
        <w:rPr>
          <w:rFonts w:ascii="微软雅黑" w:eastAsia="微软雅黑" w:hAnsi="微软雅黑" w:cs="微软雅黑" w:hint="eastAsia"/>
          <w:spacing w:val="12"/>
          <w:lang w:eastAsia="zh-CN"/>
        </w:rPr>
        <w:t>个基点报</w:t>
      </w:r>
      <w:r w:rsidRPr="00D8106E">
        <w:rPr>
          <w:rFonts w:ascii="微软雅黑" w:eastAsia="微软雅黑" w:hAnsi="微软雅黑" w:cs="微软雅黑"/>
          <w:spacing w:val="12"/>
          <w:lang w:eastAsia="zh-CN"/>
        </w:rPr>
        <w:t>7.1191</w:t>
      </w:r>
      <w:r w:rsidR="00115A1A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Pr="00D8106E">
        <w:rPr>
          <w:rFonts w:ascii="微软雅黑" w:eastAsia="微软雅黑" w:hAnsi="微软雅黑" w:cs="微软雅黑" w:hint="eastAsia"/>
          <w:spacing w:val="12"/>
          <w:lang w:eastAsia="zh-CN"/>
        </w:rPr>
        <w:t>国际油价全线上涨，</w:t>
      </w:r>
      <w:proofErr w:type="gramStart"/>
      <w:r w:rsidRPr="00D8106E">
        <w:rPr>
          <w:rFonts w:ascii="微软雅黑" w:eastAsia="微软雅黑" w:hAnsi="微软雅黑" w:cs="微软雅黑" w:hint="eastAsia"/>
          <w:spacing w:val="12"/>
          <w:lang w:eastAsia="zh-CN"/>
        </w:rPr>
        <w:t>美油</w:t>
      </w:r>
      <w:r w:rsidRPr="00D8106E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D8106E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End"/>
      <w:r w:rsidRPr="00D8106E">
        <w:rPr>
          <w:rFonts w:ascii="微软雅黑" w:eastAsia="微软雅黑" w:hAnsi="微软雅黑" w:cs="微软雅黑" w:hint="eastAsia"/>
          <w:spacing w:val="12"/>
          <w:lang w:eastAsia="zh-CN"/>
        </w:rPr>
        <w:t>合约涨</w:t>
      </w:r>
      <w:r w:rsidRPr="00D8106E">
        <w:rPr>
          <w:rFonts w:ascii="微软雅黑" w:eastAsia="微软雅黑" w:hAnsi="微软雅黑" w:cs="微软雅黑"/>
          <w:spacing w:val="12"/>
          <w:lang w:eastAsia="zh-CN"/>
        </w:rPr>
        <w:t>2.78%</w:t>
      </w:r>
      <w:r w:rsidRPr="00D8106E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D8106E">
        <w:rPr>
          <w:rFonts w:ascii="微软雅黑" w:eastAsia="微软雅黑" w:hAnsi="微软雅黑" w:cs="微软雅黑"/>
          <w:spacing w:val="12"/>
          <w:lang w:eastAsia="zh-CN"/>
        </w:rPr>
        <w:t>69.18</w:t>
      </w:r>
      <w:r w:rsidRPr="00D8106E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D8106E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D8106E">
        <w:rPr>
          <w:rFonts w:ascii="微软雅黑" w:eastAsia="微软雅黑" w:hAnsi="微软雅黑" w:cs="微软雅黑" w:hint="eastAsia"/>
          <w:spacing w:val="12"/>
          <w:lang w:eastAsia="zh-CN"/>
        </w:rPr>
        <w:t>桶。</w:t>
      </w:r>
      <w:proofErr w:type="gramStart"/>
      <w:r w:rsidRPr="00D8106E">
        <w:rPr>
          <w:rFonts w:ascii="微软雅黑" w:eastAsia="微软雅黑" w:hAnsi="微软雅黑" w:cs="微软雅黑" w:hint="eastAsia"/>
          <w:spacing w:val="12"/>
          <w:lang w:eastAsia="zh-CN"/>
        </w:rPr>
        <w:t>布油</w:t>
      </w:r>
      <w:r w:rsidRPr="00D8106E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D8106E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End"/>
      <w:r w:rsidRPr="00D8106E">
        <w:rPr>
          <w:rFonts w:ascii="微软雅黑" w:eastAsia="微软雅黑" w:hAnsi="微软雅黑" w:cs="微软雅黑" w:hint="eastAsia"/>
          <w:spacing w:val="12"/>
          <w:lang w:eastAsia="zh-CN"/>
        </w:rPr>
        <w:t>合约涨</w:t>
      </w:r>
      <w:r w:rsidRPr="00D8106E">
        <w:rPr>
          <w:rFonts w:ascii="微软雅黑" w:eastAsia="微软雅黑" w:hAnsi="微软雅黑" w:cs="微软雅黑"/>
          <w:spacing w:val="12"/>
          <w:lang w:eastAsia="zh-CN"/>
        </w:rPr>
        <w:t>2.22%</w:t>
      </w:r>
      <w:r w:rsidRPr="00D8106E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D8106E">
        <w:rPr>
          <w:rFonts w:ascii="微软雅黑" w:eastAsia="微软雅黑" w:hAnsi="微软雅黑" w:cs="微软雅黑"/>
          <w:spacing w:val="12"/>
          <w:lang w:eastAsia="zh-CN"/>
        </w:rPr>
        <w:t>72.18</w:t>
      </w:r>
      <w:r w:rsidRPr="00D8106E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D8106E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D8106E">
        <w:rPr>
          <w:rFonts w:ascii="微软雅黑" w:eastAsia="微软雅黑" w:hAnsi="微软雅黑" w:cs="微软雅黑" w:hint="eastAsia"/>
          <w:spacing w:val="12"/>
          <w:lang w:eastAsia="zh-CN"/>
        </w:rPr>
        <w:t>桶</w:t>
      </w:r>
      <w:r w:rsidR="00946893" w:rsidRPr="000667A6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Pr="00D8106E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D8106E">
        <w:rPr>
          <w:rFonts w:ascii="微软雅黑" w:eastAsia="微软雅黑" w:hAnsi="微软雅黑" w:cs="微软雅黑" w:hint="eastAsia"/>
          <w:spacing w:val="12"/>
          <w:lang w:eastAsia="zh-CN"/>
        </w:rPr>
        <w:t>黄金期货收涨</w:t>
      </w:r>
      <w:r w:rsidRPr="00D8106E">
        <w:rPr>
          <w:rFonts w:ascii="微软雅黑" w:eastAsia="微软雅黑" w:hAnsi="微软雅黑" w:cs="微软雅黑"/>
          <w:spacing w:val="12"/>
          <w:lang w:eastAsia="zh-CN"/>
        </w:rPr>
        <w:t>1.76%</w:t>
      </w:r>
      <w:r w:rsidRPr="00D8106E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D8106E">
        <w:rPr>
          <w:rFonts w:ascii="微软雅黑" w:eastAsia="微软雅黑" w:hAnsi="微软雅黑" w:cs="微软雅黑"/>
          <w:spacing w:val="12"/>
          <w:lang w:eastAsia="zh-CN"/>
        </w:rPr>
        <w:t>2587.2</w:t>
      </w:r>
      <w:r w:rsidRPr="00D8106E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D8106E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D8106E">
        <w:rPr>
          <w:rFonts w:ascii="微软雅黑" w:eastAsia="微软雅黑" w:hAnsi="微软雅黑" w:cs="微软雅黑" w:hint="eastAsia"/>
          <w:spacing w:val="12"/>
          <w:lang w:eastAsia="zh-CN"/>
        </w:rPr>
        <w:t>盎司，刷新历史新高，</w:t>
      </w:r>
      <w:r w:rsidRPr="00D8106E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D8106E">
        <w:rPr>
          <w:rFonts w:ascii="微软雅黑" w:eastAsia="微软雅黑" w:hAnsi="微软雅黑" w:cs="微软雅黑" w:hint="eastAsia"/>
          <w:spacing w:val="12"/>
          <w:lang w:eastAsia="zh-CN"/>
        </w:rPr>
        <w:t>白银期货收涨</w:t>
      </w:r>
      <w:r w:rsidRPr="00D8106E">
        <w:rPr>
          <w:rFonts w:ascii="微软雅黑" w:eastAsia="微软雅黑" w:hAnsi="微软雅黑" w:cs="微软雅黑"/>
          <w:spacing w:val="12"/>
          <w:lang w:eastAsia="zh-CN"/>
        </w:rPr>
        <w:t>4.45%</w:t>
      </w:r>
      <w:r w:rsidRPr="00D8106E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D8106E">
        <w:rPr>
          <w:rFonts w:ascii="微软雅黑" w:eastAsia="微软雅黑" w:hAnsi="微软雅黑" w:cs="微软雅黑"/>
          <w:spacing w:val="12"/>
          <w:lang w:eastAsia="zh-CN"/>
        </w:rPr>
        <w:t>30.215</w:t>
      </w:r>
      <w:r w:rsidRPr="00D8106E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D8106E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D8106E">
        <w:rPr>
          <w:rFonts w:ascii="微软雅黑" w:eastAsia="微软雅黑" w:hAnsi="微软雅黑" w:cs="微软雅黑" w:hint="eastAsia"/>
          <w:spacing w:val="12"/>
          <w:lang w:eastAsia="zh-CN"/>
        </w:rPr>
        <w:t>盎司</w:t>
      </w:r>
      <w:r w:rsidR="00115A1A" w:rsidRPr="000667A6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="00115A1A" w:rsidRPr="00244725">
        <w:rPr>
          <w:rFonts w:ascii="微软雅黑" w:eastAsia="微软雅黑" w:hAnsi="微软雅黑" w:cs="微软雅黑"/>
          <w:spacing w:val="12"/>
          <w:lang w:eastAsia="zh-CN"/>
        </w:rPr>
        <w:t>ICE10</w:t>
      </w:r>
      <w:r w:rsidR="0050522A" w:rsidRPr="00244725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="001106DA" w:rsidRPr="00244725">
        <w:rPr>
          <w:rFonts w:ascii="微软雅黑" w:eastAsia="微软雅黑" w:hAnsi="微软雅黑" w:cs="微软雅黑" w:hint="eastAsia"/>
          <w:spacing w:val="12"/>
          <w:lang w:eastAsia="zh-CN"/>
        </w:rPr>
        <w:t>原糖期</w:t>
      </w:r>
      <w:r w:rsidR="003F34C7">
        <w:rPr>
          <w:rFonts w:ascii="微软雅黑" w:eastAsia="微软雅黑" w:hAnsi="微软雅黑" w:cs="微软雅黑" w:hint="eastAsia"/>
          <w:spacing w:val="12"/>
          <w:lang w:eastAsia="zh-CN"/>
        </w:rPr>
        <w:t>货合约收涨</w:t>
      </w:r>
      <w:r w:rsidR="00244725" w:rsidRPr="00244725">
        <w:rPr>
          <w:rFonts w:ascii="微软雅黑" w:eastAsia="微软雅黑" w:hAnsi="微软雅黑" w:cs="微软雅黑"/>
          <w:spacing w:val="12"/>
          <w:lang w:eastAsia="zh-CN"/>
        </w:rPr>
        <w:t>1</w:t>
      </w:r>
      <w:r w:rsidR="00A25AF9" w:rsidRPr="00244725">
        <w:rPr>
          <w:rFonts w:ascii="微软雅黑" w:eastAsia="微软雅黑" w:hAnsi="微软雅黑" w:cs="微软雅黑" w:hint="eastAsia"/>
          <w:spacing w:val="12"/>
          <w:lang w:eastAsia="zh-CN"/>
        </w:rPr>
        <w:t>.</w:t>
      </w:r>
      <w:r>
        <w:rPr>
          <w:rFonts w:ascii="微软雅黑" w:eastAsia="微软雅黑" w:hAnsi="微软雅黑" w:cs="微软雅黑"/>
          <w:spacing w:val="12"/>
          <w:lang w:eastAsia="zh-CN"/>
        </w:rPr>
        <w:t>8</w:t>
      </w:r>
      <w:r w:rsidR="003711C6" w:rsidRPr="00244725">
        <w:rPr>
          <w:rFonts w:ascii="微软雅黑" w:eastAsia="微软雅黑" w:hAnsi="微软雅黑" w:cs="微软雅黑"/>
          <w:spacing w:val="12"/>
          <w:lang w:eastAsia="zh-CN"/>
        </w:rPr>
        <w:t>0</w:t>
      </w:r>
      <w:r w:rsidR="00115A1A" w:rsidRPr="00244725">
        <w:rPr>
          <w:rFonts w:ascii="微软雅黑" w:eastAsia="微软雅黑" w:hAnsi="微软雅黑" w:cs="微软雅黑"/>
          <w:spacing w:val="12"/>
          <w:lang w:eastAsia="zh-CN"/>
        </w:rPr>
        <w:t>%</w:t>
      </w:r>
      <w:r w:rsidR="00115A1A" w:rsidRPr="00244725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>
        <w:rPr>
          <w:rFonts w:ascii="微软雅黑" w:eastAsia="微软雅黑" w:hAnsi="微软雅黑" w:cs="微软雅黑"/>
          <w:spacing w:val="12"/>
          <w:lang w:eastAsia="zh-CN"/>
        </w:rPr>
        <w:t>19.07</w:t>
      </w:r>
      <w:r w:rsidR="00115A1A" w:rsidRPr="00244725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115A1A" w:rsidRPr="00244725">
        <w:rPr>
          <w:rFonts w:ascii="微软雅黑" w:eastAsia="微软雅黑" w:hAnsi="微软雅黑" w:cs="微软雅黑"/>
          <w:spacing w:val="12"/>
          <w:lang w:eastAsia="zh-CN"/>
        </w:rPr>
        <w:t>/</w:t>
      </w:r>
      <w:r w:rsidR="00115A1A" w:rsidRPr="00244725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115A1A" w:rsidRPr="00244725">
        <w:rPr>
          <w:rFonts w:ascii="微软雅黑" w:eastAsia="微软雅黑" w:hAnsi="微软雅黑" w:cs="微软雅黑"/>
          <w:spacing w:val="12"/>
          <w:lang w:eastAsia="zh-CN"/>
        </w:rPr>
        <w:t>ICE</w:t>
      </w:r>
      <w:proofErr w:type="gramStart"/>
      <w:r w:rsidR="00115A1A" w:rsidRPr="00244725">
        <w:rPr>
          <w:rFonts w:ascii="微软雅黑" w:eastAsia="微软雅黑" w:hAnsi="微软雅黑" w:cs="微软雅黑"/>
          <w:spacing w:val="12"/>
          <w:lang w:eastAsia="zh-CN"/>
        </w:rPr>
        <w:t>12</w:t>
      </w:r>
      <w:r w:rsidR="00115A1A" w:rsidRPr="00244725">
        <w:rPr>
          <w:rFonts w:ascii="微软雅黑" w:eastAsia="微软雅黑" w:hAnsi="微软雅黑" w:cs="微软雅黑" w:hint="eastAsia"/>
          <w:spacing w:val="12"/>
          <w:lang w:eastAsia="zh-CN"/>
        </w:rPr>
        <w:t>月期棉期货</w:t>
      </w:r>
      <w:proofErr w:type="gramEnd"/>
      <w:r w:rsidR="00115A1A" w:rsidRPr="00244725">
        <w:rPr>
          <w:rFonts w:ascii="微软雅黑" w:eastAsia="微软雅黑" w:hAnsi="微软雅黑" w:cs="微软雅黑" w:hint="eastAsia"/>
          <w:spacing w:val="12"/>
          <w:lang w:eastAsia="zh-CN"/>
        </w:rPr>
        <w:t>合约收</w:t>
      </w:r>
      <w:r w:rsidR="00244725" w:rsidRPr="00244725">
        <w:rPr>
          <w:rFonts w:ascii="微软雅黑" w:eastAsia="微软雅黑" w:hAnsi="微软雅黑" w:cs="微软雅黑" w:hint="eastAsia"/>
          <w:spacing w:val="12"/>
          <w:lang w:eastAsia="zh-CN"/>
        </w:rPr>
        <w:t>涨</w:t>
      </w:r>
      <w:r>
        <w:rPr>
          <w:rFonts w:ascii="微软雅黑" w:eastAsia="微软雅黑" w:hAnsi="微软雅黑" w:cs="微软雅黑"/>
          <w:spacing w:val="12"/>
          <w:lang w:eastAsia="zh-CN"/>
        </w:rPr>
        <w:t>1</w:t>
      </w:r>
      <w:r w:rsidR="00115A1A" w:rsidRPr="00244725">
        <w:rPr>
          <w:rFonts w:ascii="微软雅黑" w:eastAsia="微软雅黑" w:hAnsi="微软雅黑" w:cs="微软雅黑"/>
          <w:spacing w:val="12"/>
          <w:lang w:eastAsia="zh-CN"/>
        </w:rPr>
        <w:t>.</w:t>
      </w:r>
      <w:r>
        <w:rPr>
          <w:rFonts w:ascii="微软雅黑" w:eastAsia="微软雅黑" w:hAnsi="微软雅黑" w:cs="微软雅黑"/>
          <w:spacing w:val="12"/>
          <w:lang w:eastAsia="zh-CN"/>
        </w:rPr>
        <w:t>10</w:t>
      </w:r>
      <w:r w:rsidR="00115A1A" w:rsidRPr="00244725">
        <w:rPr>
          <w:rFonts w:ascii="微软雅黑" w:eastAsia="微软雅黑" w:hAnsi="微软雅黑" w:cs="微软雅黑"/>
          <w:spacing w:val="12"/>
          <w:lang w:eastAsia="zh-CN"/>
        </w:rPr>
        <w:t>%</w:t>
      </w:r>
      <w:r w:rsidR="00115A1A" w:rsidRPr="00244725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>
        <w:rPr>
          <w:rFonts w:ascii="微软雅黑" w:eastAsia="微软雅黑" w:hAnsi="微软雅黑" w:cs="微软雅黑"/>
          <w:spacing w:val="12"/>
          <w:lang w:eastAsia="zh-CN"/>
        </w:rPr>
        <w:t>70.83</w:t>
      </w:r>
      <w:r w:rsidR="00115A1A" w:rsidRPr="00244725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115A1A" w:rsidRPr="00244725">
        <w:rPr>
          <w:rFonts w:ascii="微软雅黑" w:eastAsia="微软雅黑" w:hAnsi="微软雅黑" w:cs="微软雅黑"/>
          <w:spacing w:val="12"/>
          <w:lang w:eastAsia="zh-CN"/>
        </w:rPr>
        <w:t>/</w:t>
      </w:r>
      <w:r w:rsidR="00115A1A" w:rsidRPr="00244725">
        <w:rPr>
          <w:rFonts w:ascii="微软雅黑" w:eastAsia="微软雅黑" w:hAnsi="微软雅黑" w:cs="微软雅黑" w:hint="eastAsia"/>
          <w:spacing w:val="12"/>
          <w:lang w:eastAsia="zh-CN"/>
        </w:rPr>
        <w:t>磅。</w:t>
      </w:r>
    </w:p>
    <w:p w:rsidR="009372C5" w:rsidRDefault="00115A1A">
      <w:pPr>
        <w:spacing w:before="103" w:line="257" w:lineRule="auto"/>
        <w:ind w:right="584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:rsidR="009372C5" w:rsidRDefault="00E540C4" w:rsidP="0048502E">
      <w:pPr>
        <w:spacing w:before="103" w:line="257" w:lineRule="auto"/>
        <w:ind w:right="584"/>
        <w:jc w:val="both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7BD7FF95">
            <wp:extent cx="6127750" cy="2790825"/>
            <wp:effectExtent l="0" t="0" r="635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700" cy="279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03" w:line="257" w:lineRule="auto"/>
        <w:ind w:right="584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:rsidR="009372C5" w:rsidRDefault="009372C5">
      <w:pPr>
        <w:spacing w:before="103" w:line="257" w:lineRule="auto"/>
        <w:ind w:right="584"/>
        <w:jc w:val="both"/>
        <w:rPr>
          <w:rFonts w:ascii="微软雅黑" w:eastAsia="微软雅黑" w:hAnsi="微软雅黑" w:cs="微软雅黑"/>
          <w:spacing w:val="12"/>
          <w:lang w:eastAsia="zh-CN"/>
        </w:rPr>
      </w:pPr>
    </w:p>
    <w:p w:rsidR="009372C5" w:rsidRDefault="00115A1A">
      <w:pPr>
        <w:spacing w:before="120" w:line="190" w:lineRule="auto"/>
        <w:ind w:firstLine="56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>
            <wp:extent cx="128905" cy="173990"/>
            <wp:effectExtent l="0" t="0" r="4445" b="1651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:rsidR="009372C5" w:rsidRDefault="00115A1A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E540C4" w:rsidRPr="00E540C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欧洲央行非对称降息，下调今后三年</w:t>
      </w:r>
      <w:r w:rsidR="00E540C4" w:rsidRPr="00E540C4">
        <w:rPr>
          <w:rFonts w:ascii="微软雅黑" w:eastAsia="微软雅黑" w:hAnsi="微软雅黑" w:cs="微软雅黑"/>
          <w:color w:val="auto"/>
          <w:spacing w:val="4"/>
          <w:lang w:eastAsia="zh-CN"/>
        </w:rPr>
        <w:t>GDP</w:t>
      </w:r>
      <w:r w:rsidR="00E540C4" w:rsidRPr="00E540C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增长预期。欧洲央行公布最新利率决议，将关键存款利率下调</w:t>
      </w:r>
      <w:r w:rsidR="00E540C4" w:rsidRPr="00E540C4">
        <w:rPr>
          <w:rFonts w:ascii="微软雅黑" w:eastAsia="微软雅黑" w:hAnsi="微软雅黑" w:cs="微软雅黑"/>
          <w:color w:val="auto"/>
          <w:spacing w:val="4"/>
          <w:lang w:eastAsia="zh-CN"/>
        </w:rPr>
        <w:t>25</w:t>
      </w:r>
      <w:r w:rsidR="00E540C4" w:rsidRPr="00E540C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个基点，主要再融资和边际贷款利率均下调</w:t>
      </w:r>
      <w:r w:rsidR="00E540C4" w:rsidRPr="00E540C4">
        <w:rPr>
          <w:rFonts w:ascii="微软雅黑" w:eastAsia="微软雅黑" w:hAnsi="微软雅黑" w:cs="微软雅黑"/>
          <w:color w:val="auto"/>
          <w:spacing w:val="4"/>
          <w:lang w:eastAsia="zh-CN"/>
        </w:rPr>
        <w:t>60</w:t>
      </w:r>
      <w:r w:rsidR="00E540C4" w:rsidRPr="00E540C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个基点，符合市场预期。欧洲央行不承诺未来会继续降息，并警告称下半年通胀可能再次反弹。同时，欧洲央行全面下调今后三年的经济增长预期，整体通胀预期保持不变。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9372C5" w:rsidRDefault="00115A1A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E540C4" w:rsidRPr="00E540C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黄金再次创下历史新高。现货黄金在纽约尾盘将历史新高刷新至</w:t>
      </w:r>
      <w:r w:rsidR="00E540C4" w:rsidRPr="00E540C4">
        <w:rPr>
          <w:rFonts w:ascii="微软雅黑" w:eastAsia="微软雅黑" w:hAnsi="微软雅黑" w:cs="微软雅黑"/>
          <w:color w:val="auto"/>
          <w:spacing w:val="4"/>
          <w:lang w:eastAsia="zh-CN"/>
        </w:rPr>
        <w:t>2560</w:t>
      </w:r>
      <w:r w:rsidR="00E540C4" w:rsidRPr="00E540C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美元</w:t>
      </w:r>
      <w:r w:rsidR="00E540C4" w:rsidRPr="00E540C4">
        <w:rPr>
          <w:rFonts w:ascii="微软雅黑" w:eastAsia="微软雅黑" w:hAnsi="微软雅黑" w:cs="微软雅黑"/>
          <w:color w:val="auto"/>
          <w:spacing w:val="4"/>
          <w:lang w:eastAsia="zh-CN"/>
        </w:rPr>
        <w:t>/</w:t>
      </w:r>
      <w:r w:rsidR="00E540C4" w:rsidRPr="00E540C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盎司，日内上涨近</w:t>
      </w:r>
      <w:r w:rsidR="00E540C4" w:rsidRPr="00E540C4">
        <w:rPr>
          <w:rFonts w:ascii="微软雅黑" w:eastAsia="微软雅黑" w:hAnsi="微软雅黑" w:cs="微软雅黑"/>
          <w:color w:val="auto"/>
          <w:spacing w:val="4"/>
          <w:lang w:eastAsia="zh-CN"/>
        </w:rPr>
        <w:t>50</w:t>
      </w:r>
      <w:r w:rsidR="00E540C4" w:rsidRPr="00E540C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美元。</w:t>
      </w:r>
      <w:r w:rsidR="00E540C4" w:rsidRPr="00E540C4">
        <w:rPr>
          <w:rFonts w:ascii="微软雅黑" w:eastAsia="微软雅黑" w:hAnsi="微软雅黑" w:cs="微软雅黑"/>
          <w:color w:val="auto"/>
          <w:spacing w:val="4"/>
          <w:lang w:eastAsia="zh-CN"/>
        </w:rPr>
        <w:t>COMEX</w:t>
      </w:r>
      <w:r w:rsidR="00E540C4" w:rsidRPr="00E540C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黄金期货收涨</w:t>
      </w:r>
      <w:r w:rsidR="00E540C4" w:rsidRPr="00E540C4">
        <w:rPr>
          <w:rFonts w:ascii="微软雅黑" w:eastAsia="微软雅黑" w:hAnsi="微软雅黑" w:cs="微软雅黑"/>
          <w:color w:val="auto"/>
          <w:spacing w:val="4"/>
          <w:lang w:eastAsia="zh-CN"/>
        </w:rPr>
        <w:t>1.76%</w:t>
      </w:r>
      <w:r w:rsidR="00E540C4" w:rsidRPr="00E540C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报</w:t>
      </w:r>
      <w:r w:rsidR="00E540C4" w:rsidRPr="00E540C4">
        <w:rPr>
          <w:rFonts w:ascii="微软雅黑" w:eastAsia="微软雅黑" w:hAnsi="微软雅黑" w:cs="微软雅黑"/>
          <w:color w:val="auto"/>
          <w:spacing w:val="4"/>
          <w:lang w:eastAsia="zh-CN"/>
        </w:rPr>
        <w:t>2587.2</w:t>
      </w:r>
      <w:r w:rsidR="00E540C4" w:rsidRPr="00E540C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美元</w:t>
      </w:r>
      <w:r w:rsidR="00E540C4" w:rsidRPr="00E540C4">
        <w:rPr>
          <w:rFonts w:ascii="微软雅黑" w:eastAsia="微软雅黑" w:hAnsi="微软雅黑" w:cs="微软雅黑"/>
          <w:color w:val="auto"/>
          <w:spacing w:val="4"/>
          <w:lang w:eastAsia="zh-CN"/>
        </w:rPr>
        <w:t>/</w:t>
      </w:r>
      <w:r w:rsidR="00E540C4" w:rsidRPr="00E540C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盎司，刷新历史新高，</w:t>
      </w:r>
      <w:r w:rsidR="00E540C4" w:rsidRPr="00E540C4">
        <w:rPr>
          <w:rFonts w:ascii="微软雅黑" w:eastAsia="微软雅黑" w:hAnsi="微软雅黑" w:cs="微软雅黑"/>
          <w:color w:val="auto"/>
          <w:spacing w:val="4"/>
          <w:lang w:eastAsia="zh-CN"/>
        </w:rPr>
        <w:t>COMEX</w:t>
      </w:r>
      <w:r w:rsidR="00E540C4" w:rsidRPr="00E540C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白银期货收涨</w:t>
      </w:r>
      <w:r w:rsidR="00E540C4" w:rsidRPr="00E540C4">
        <w:rPr>
          <w:rFonts w:ascii="微软雅黑" w:eastAsia="微软雅黑" w:hAnsi="微软雅黑" w:cs="微软雅黑"/>
          <w:color w:val="auto"/>
          <w:spacing w:val="4"/>
          <w:lang w:eastAsia="zh-CN"/>
        </w:rPr>
        <w:t>4.45%</w:t>
      </w:r>
      <w:r w:rsidR="00E540C4" w:rsidRPr="00E540C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报</w:t>
      </w:r>
      <w:r w:rsidR="00E540C4" w:rsidRPr="00E540C4">
        <w:rPr>
          <w:rFonts w:ascii="微软雅黑" w:eastAsia="微软雅黑" w:hAnsi="微软雅黑" w:cs="微软雅黑"/>
          <w:color w:val="auto"/>
          <w:spacing w:val="4"/>
          <w:lang w:eastAsia="zh-CN"/>
        </w:rPr>
        <w:t>30.215</w:t>
      </w:r>
      <w:r w:rsidR="00E540C4" w:rsidRPr="00E540C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美元</w:t>
      </w:r>
      <w:r w:rsidR="00E540C4" w:rsidRPr="00E540C4">
        <w:rPr>
          <w:rFonts w:ascii="微软雅黑" w:eastAsia="微软雅黑" w:hAnsi="微软雅黑" w:cs="微软雅黑"/>
          <w:color w:val="auto"/>
          <w:spacing w:val="4"/>
          <w:lang w:eastAsia="zh-CN"/>
        </w:rPr>
        <w:t>/</w:t>
      </w:r>
      <w:r w:rsidR="00E540C4" w:rsidRPr="00E540C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盎司。市场分析，黄金大涨的背后，受到了美国降息预期的影响。因美国数据表明经济放缓，市场预期美联储下周将降息。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9372C5" w:rsidRDefault="00115A1A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E540C4"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国际货币基金组织（</w:t>
      </w:r>
      <w:r w:rsidR="00E540C4"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IMF</w:t>
      </w:r>
      <w:r w:rsidR="00E540C4"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）称，从交流信息来看，美联储“即将”启动宽松周期；预计美国经济增长将放缓，通胀的上行风险已减弱。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FF5F44" w:rsidRDefault="00FF5F44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【</w:t>
      </w:r>
      <w:r w:rsidR="00E540C4"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受股市和房价稳步上涨推动，美国家庭净资产第二季度升至纪录高位。美联储公布的报告显示，家庭净资产增加</w:t>
      </w:r>
      <w:r w:rsidR="00E540C4"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2.76</w:t>
      </w:r>
      <w:r w:rsidR="00E540C4"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万亿美元，环比增长</w:t>
      </w:r>
      <w:r w:rsidR="00E540C4"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1.7%</w:t>
      </w:r>
      <w:r w:rsidR="00E540C4"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至</w:t>
      </w:r>
      <w:r w:rsidR="00E540C4"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163.8</w:t>
      </w:r>
      <w:r w:rsidR="00E540C4"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万亿美元。家庭持有的房地产价值增加约</w:t>
      </w:r>
      <w:r w:rsidR="00E540C4"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1.75</w:t>
      </w:r>
      <w:r w:rsidR="00E540C4"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万亿美元，创一年来最大。家庭持有的股票价值增加约</w:t>
      </w:r>
      <w:r w:rsidR="00E540C4"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6620</w:t>
      </w:r>
      <w:r w:rsidR="00E540C4"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亿美元。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FF5F44" w:rsidRDefault="00FF5F44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E540C4"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美国财政部表示，美国</w:t>
      </w:r>
      <w:r w:rsidR="00E540C4"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8</w:t>
      </w:r>
      <w:r w:rsidR="00E540C4"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月预算赤字为</w:t>
      </w:r>
      <w:r w:rsidR="00E540C4"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3800</w:t>
      </w:r>
      <w:r w:rsidR="00E540C4"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亿美元（市场预期为</w:t>
      </w:r>
      <w:r w:rsidR="00E540C4"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3173</w:t>
      </w:r>
      <w:r w:rsidR="00E540C4"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亿美元），而</w:t>
      </w:r>
      <w:r w:rsidR="00E540C4"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2023</w:t>
      </w:r>
      <w:r w:rsidR="00E540C4"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年</w:t>
      </w:r>
      <w:r w:rsidR="00E540C4"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8</w:t>
      </w:r>
      <w:r w:rsidR="00E540C4"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月则为</w:t>
      </w:r>
      <w:r w:rsidR="00E540C4"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890</w:t>
      </w:r>
      <w:r w:rsidR="00E540C4"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亿美元盈余；美国</w:t>
      </w:r>
      <w:r w:rsidR="00E540C4"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8</w:t>
      </w:r>
      <w:r w:rsidR="00E540C4"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月预算支出为</w:t>
      </w:r>
      <w:r w:rsidR="00E540C4"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6870</w:t>
      </w:r>
      <w:r w:rsidR="00E540C4"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亿美元，</w:t>
      </w:r>
      <w:r w:rsidR="00E540C4"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2023</w:t>
      </w:r>
      <w:r w:rsidR="00E540C4"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年</w:t>
      </w:r>
      <w:r w:rsidR="00E540C4"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8</w:t>
      </w:r>
      <w:r w:rsidR="00E540C4"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月为</w:t>
      </w:r>
      <w:r w:rsidR="00E540C4"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1940</w:t>
      </w:r>
      <w:r w:rsidR="00E540C4"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亿美元；预算收入为</w:t>
      </w:r>
      <w:r w:rsidR="00E540C4"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3070</w:t>
      </w:r>
      <w:r w:rsidR="00E540C4"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亿美元，</w:t>
      </w:r>
      <w:r w:rsidR="00E540C4"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2023</w:t>
      </w:r>
      <w:r w:rsidR="00E540C4"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年</w:t>
      </w:r>
      <w:r w:rsidR="00E540C4"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8</w:t>
      </w:r>
      <w:r w:rsidR="00E540C4"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月为</w:t>
      </w:r>
      <w:r w:rsidR="00E540C4"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2830</w:t>
      </w:r>
      <w:r w:rsidR="00E540C4"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亿美元。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984E4F" w:rsidRDefault="00984E4F" w:rsidP="00984E4F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E540C4"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日本央行政策委员会审议委员田村直树表示，日本央行今年内可能会、也可能不会再次加息，任何行动都将取决于物价和经济的发展，没有预设进一步加息的速度。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E540C4" w:rsidRDefault="00E540C4" w:rsidP="00984E4F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美国财政部宣布新的企业替代性最低税率的拟议规则，将对年利润达到</w:t>
      </w:r>
      <w:r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10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亿美元的公司征收</w:t>
      </w:r>
      <w:r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15%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的企业替代最低税。预计未来</w:t>
      </w:r>
      <w:r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10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年将为美国从大约</w:t>
      </w:r>
      <w:r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100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家目前平均税率仅为</w:t>
      </w:r>
      <w:r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2.6%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的大公司中创造</w:t>
      </w:r>
      <w:r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2500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亿美元的收入。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E540C4" w:rsidRDefault="00E540C4" w:rsidP="00984E4F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美国</w:t>
      </w:r>
      <w:r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8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</w:t>
      </w:r>
      <w:r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PPI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同比上涨</w:t>
      </w:r>
      <w:r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1.7%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，创</w:t>
      </w:r>
      <w:r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月以来最低，前值从</w:t>
      </w:r>
      <w:r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2.2%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下修至</w:t>
      </w:r>
      <w:r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2.1%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；环比则上涨</w:t>
      </w:r>
      <w:r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0.2%,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高于预期</w:t>
      </w:r>
      <w:r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0.1%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</w:t>
      </w:r>
      <w:r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8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月核心</w:t>
      </w:r>
      <w:r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PPI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同比增</w:t>
      </w:r>
      <w:r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2.4%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，高于前值</w:t>
      </w:r>
      <w:r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2.3%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；环比增</w:t>
      </w:r>
      <w:r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0.3%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，高于预期</w:t>
      </w:r>
      <w:r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0.2%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E540C4" w:rsidRDefault="00E540C4" w:rsidP="00984E4F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美国上周初请失业金人数</w:t>
      </w:r>
      <w:r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23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万人，三周以来首次回升，预期为持平于</w:t>
      </w:r>
      <w:r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22.7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万人。至</w:t>
      </w:r>
      <w:r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8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</w:t>
      </w:r>
      <w:r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31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日当周续请失业金人数为</w:t>
      </w:r>
      <w:r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185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万人，小幅增加</w:t>
      </w:r>
      <w:r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0.5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万人。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E540C4" w:rsidRDefault="00E540C4" w:rsidP="00984E4F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日本央行发布的数据显示，</w:t>
      </w:r>
      <w:r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8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月，日本国内企业商品物价指数同比上涨</w:t>
      </w:r>
      <w:r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2.5%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，低于预期的</w:t>
      </w:r>
      <w:r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2.8%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，为八个月来首次放缓。环比下跌</w:t>
      </w:r>
      <w:r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0.2%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</w:t>
      </w:r>
      <w:r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10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个月来首次下滑。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E540C4" w:rsidRDefault="00E540C4" w:rsidP="00984E4F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韩国统计厅发布的一份报告显示，韩国单人户家庭所占比重将于</w:t>
      </w:r>
      <w:r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2037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年超过</w:t>
      </w:r>
      <w:r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40%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，达到</w:t>
      </w:r>
      <w:r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40.1%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E540C4" w:rsidRDefault="00E540C4" w:rsidP="00984E4F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印度</w:t>
      </w:r>
      <w:r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8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</w:t>
      </w:r>
      <w:r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CPI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同比升</w:t>
      </w:r>
      <w:r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3.65%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，预期升</w:t>
      </w:r>
      <w:r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3.55%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，前值升</w:t>
      </w:r>
      <w:r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3.54%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。印度</w:t>
      </w:r>
      <w:r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7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月工业产值同比升</w:t>
      </w:r>
      <w:r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4.8%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，预期升</w:t>
      </w:r>
      <w:r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4.7%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，前值升</w:t>
      </w:r>
      <w:r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4.2%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；制造业产值环比升</w:t>
      </w:r>
      <w:r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4.6%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，前值升</w:t>
      </w:r>
      <w:r w:rsidRPr="00E540C4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2.6%</w:t>
      </w:r>
      <w:r w:rsidRPr="00E540C4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984E4F" w:rsidRDefault="00984E4F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</w:p>
    <w:p w:rsidR="009372C5" w:rsidRDefault="00115A1A">
      <w:pPr>
        <w:spacing w:before="120" w:line="190" w:lineRule="auto"/>
        <w:ind w:left="6" w:firstLine="561"/>
        <w:rPr>
          <w:rFonts w:ascii="微软雅黑" w:eastAsia="微软雅黑" w:hAnsi="微软雅黑" w:cs="微软雅黑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1143"/>
        <w:gridCol w:w="6679"/>
      </w:tblGrid>
      <w:tr w:rsidR="009372C5">
        <w:trPr>
          <w:trHeight w:val="620"/>
        </w:trPr>
        <w:tc>
          <w:tcPr>
            <w:tcW w:w="2710" w:type="dxa"/>
            <w:gridSpan w:val="2"/>
            <w:shd w:val="clear" w:color="auto" w:fill="3D85C1"/>
          </w:tcPr>
          <w:p w:rsidR="009372C5" w:rsidRDefault="00115A1A">
            <w:pPr>
              <w:pStyle w:val="TableText"/>
              <w:ind w:firstLine="392"/>
            </w:pPr>
            <w:r>
              <w:t>时间</w:t>
            </w:r>
          </w:p>
        </w:tc>
        <w:tc>
          <w:tcPr>
            <w:tcW w:w="6679" w:type="dxa"/>
            <w:shd w:val="clear" w:color="auto" w:fill="3D85C1"/>
          </w:tcPr>
          <w:p w:rsidR="009372C5" w:rsidRDefault="00115A1A">
            <w:pPr>
              <w:pStyle w:val="TableText"/>
              <w:ind w:firstLine="392"/>
            </w:pPr>
            <w:r>
              <w:t>数据/事件</w:t>
            </w:r>
          </w:p>
        </w:tc>
      </w:tr>
      <w:tr w:rsidR="009372C5">
        <w:trPr>
          <w:trHeight w:val="618"/>
        </w:trPr>
        <w:tc>
          <w:tcPr>
            <w:tcW w:w="1567" w:type="dxa"/>
            <w:shd w:val="clear" w:color="auto" w:fill="D3EAFF"/>
          </w:tcPr>
          <w:p w:rsidR="009372C5" w:rsidRDefault="00E540C4">
            <w:pPr>
              <w:pStyle w:val="TableText"/>
              <w:ind w:firstLine="392"/>
              <w:rPr>
                <w:lang w:eastAsia="zh-CN"/>
              </w:rPr>
            </w:pPr>
            <w:r>
              <w:t>2024/9/13</w:t>
            </w:r>
          </w:p>
        </w:tc>
        <w:tc>
          <w:tcPr>
            <w:tcW w:w="1143" w:type="dxa"/>
            <w:shd w:val="clear" w:color="auto" w:fill="D3EAFF"/>
          </w:tcPr>
          <w:p w:rsidR="009372C5" w:rsidRPr="00853C1D" w:rsidRDefault="00E540C4" w:rsidP="00494509">
            <w:pPr>
              <w:pStyle w:val="TableText"/>
              <w:ind w:firstLine="392"/>
              <w:rPr>
                <w:lang w:eastAsia="zh-CN"/>
              </w:rPr>
            </w:pPr>
            <w:r>
              <w:rPr>
                <w:lang w:eastAsia="zh-CN"/>
              </w:rPr>
              <w:t>14</w:t>
            </w:r>
            <w:r w:rsidR="00494509"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45</w:t>
            </w:r>
          </w:p>
        </w:tc>
        <w:tc>
          <w:tcPr>
            <w:tcW w:w="6679" w:type="dxa"/>
            <w:shd w:val="clear" w:color="auto" w:fill="D3EAFF"/>
          </w:tcPr>
          <w:p w:rsidR="00EB3985" w:rsidRDefault="00E540C4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E540C4">
              <w:rPr>
                <w:rFonts w:hint="eastAsia"/>
                <w:b w:val="0"/>
                <w:lang w:eastAsia="zh-CN"/>
              </w:rPr>
              <w:t>法国</w:t>
            </w:r>
            <w:r w:rsidRPr="00E540C4">
              <w:rPr>
                <w:b w:val="0"/>
                <w:lang w:eastAsia="zh-CN"/>
              </w:rPr>
              <w:t>8</w:t>
            </w:r>
            <w:r w:rsidRPr="00E540C4">
              <w:rPr>
                <w:rFonts w:hint="eastAsia"/>
                <w:b w:val="0"/>
                <w:lang w:eastAsia="zh-CN"/>
              </w:rPr>
              <w:t>月</w:t>
            </w:r>
            <w:r w:rsidRPr="00E540C4">
              <w:rPr>
                <w:b w:val="0"/>
                <w:lang w:eastAsia="zh-CN"/>
              </w:rPr>
              <w:t>CPI</w:t>
            </w:r>
            <w:r w:rsidRPr="00E540C4">
              <w:rPr>
                <w:rFonts w:hint="eastAsia"/>
                <w:b w:val="0"/>
                <w:lang w:eastAsia="zh-CN"/>
              </w:rPr>
              <w:t>月率</w:t>
            </w:r>
          </w:p>
        </w:tc>
      </w:tr>
      <w:tr w:rsidR="00853C1D" w:rsidTr="00853C1D">
        <w:trPr>
          <w:trHeight w:val="618"/>
        </w:trPr>
        <w:tc>
          <w:tcPr>
            <w:tcW w:w="1567" w:type="dxa"/>
            <w:shd w:val="clear" w:color="auto" w:fill="auto"/>
          </w:tcPr>
          <w:p w:rsidR="00853C1D" w:rsidRPr="00853C1D" w:rsidRDefault="00E540C4" w:rsidP="00853C1D">
            <w:pPr>
              <w:pStyle w:val="TableText"/>
              <w:ind w:firstLine="392"/>
              <w:rPr>
                <w:lang w:eastAsia="zh-CN"/>
              </w:rPr>
            </w:pPr>
            <w:r>
              <w:t>2024/9/13</w:t>
            </w:r>
          </w:p>
        </w:tc>
        <w:tc>
          <w:tcPr>
            <w:tcW w:w="1143" w:type="dxa"/>
            <w:shd w:val="clear" w:color="auto" w:fill="auto"/>
          </w:tcPr>
          <w:p w:rsidR="00853C1D" w:rsidRPr="00853C1D" w:rsidRDefault="00E540C4" w:rsidP="00494509">
            <w:pPr>
              <w:pStyle w:val="TableText"/>
              <w:ind w:firstLine="392"/>
              <w:rPr>
                <w:lang w:eastAsia="zh-CN"/>
              </w:rPr>
            </w:pPr>
            <w:r>
              <w:rPr>
                <w:lang w:eastAsia="zh-CN"/>
              </w:rPr>
              <w:t>17</w:t>
            </w:r>
            <w:r w:rsidR="007F17B0"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00</w:t>
            </w:r>
          </w:p>
        </w:tc>
        <w:tc>
          <w:tcPr>
            <w:tcW w:w="6679" w:type="dxa"/>
            <w:shd w:val="clear" w:color="auto" w:fill="auto"/>
          </w:tcPr>
          <w:p w:rsidR="00494509" w:rsidRPr="00853C1D" w:rsidRDefault="00E540C4" w:rsidP="00494509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E540C4">
              <w:rPr>
                <w:rFonts w:hint="eastAsia"/>
                <w:b w:val="0"/>
                <w:lang w:eastAsia="zh-CN"/>
              </w:rPr>
              <w:t>欧元区</w:t>
            </w:r>
            <w:r w:rsidRPr="00E540C4">
              <w:rPr>
                <w:b w:val="0"/>
                <w:lang w:eastAsia="zh-CN"/>
              </w:rPr>
              <w:t>7</w:t>
            </w:r>
            <w:r w:rsidRPr="00E540C4">
              <w:rPr>
                <w:rFonts w:hint="eastAsia"/>
                <w:b w:val="0"/>
                <w:lang w:eastAsia="zh-CN"/>
              </w:rPr>
              <w:t>月工业产出月率</w:t>
            </w:r>
          </w:p>
        </w:tc>
      </w:tr>
      <w:tr w:rsidR="00853C1D" w:rsidTr="00853C1D">
        <w:trPr>
          <w:trHeight w:val="618"/>
        </w:trPr>
        <w:tc>
          <w:tcPr>
            <w:tcW w:w="1567" w:type="dxa"/>
            <w:shd w:val="clear" w:color="auto" w:fill="D3EAFF"/>
          </w:tcPr>
          <w:p w:rsidR="00853C1D" w:rsidRDefault="00E540C4" w:rsidP="00853C1D">
            <w:pPr>
              <w:pStyle w:val="TableText"/>
              <w:ind w:firstLine="392"/>
              <w:rPr>
                <w:lang w:eastAsia="zh-CN"/>
              </w:rPr>
            </w:pPr>
            <w:r>
              <w:t>2024/9/13</w:t>
            </w:r>
          </w:p>
        </w:tc>
        <w:tc>
          <w:tcPr>
            <w:tcW w:w="1143" w:type="dxa"/>
            <w:shd w:val="clear" w:color="auto" w:fill="D3EAFF"/>
          </w:tcPr>
          <w:p w:rsidR="00853C1D" w:rsidRDefault="00494509" w:rsidP="00494509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20</w:t>
            </w:r>
            <w:r w:rsidR="00853C1D">
              <w:rPr>
                <w:rFonts w:hint="eastAsia"/>
                <w:lang w:eastAsia="zh-CN"/>
              </w:rPr>
              <w:t>:</w:t>
            </w:r>
            <w:r w:rsidR="00F54538">
              <w:rPr>
                <w:lang w:eastAsia="zh-CN"/>
              </w:rPr>
              <w:t>3</w:t>
            </w:r>
            <w:r w:rsidR="00BD7846">
              <w:rPr>
                <w:lang w:eastAsia="zh-CN"/>
              </w:rPr>
              <w:t>0</w:t>
            </w:r>
          </w:p>
        </w:tc>
        <w:tc>
          <w:tcPr>
            <w:tcW w:w="6679" w:type="dxa"/>
            <w:shd w:val="clear" w:color="auto" w:fill="D3EAFF"/>
          </w:tcPr>
          <w:p w:rsidR="00984E4F" w:rsidRDefault="00E540C4" w:rsidP="00853C1D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E540C4">
              <w:rPr>
                <w:rFonts w:hint="eastAsia"/>
                <w:b w:val="0"/>
                <w:lang w:eastAsia="zh-CN"/>
              </w:rPr>
              <w:t>加拿大</w:t>
            </w:r>
            <w:r w:rsidRPr="00E540C4">
              <w:rPr>
                <w:b w:val="0"/>
                <w:lang w:eastAsia="zh-CN"/>
              </w:rPr>
              <w:t>7</w:t>
            </w:r>
            <w:r w:rsidRPr="00E540C4">
              <w:rPr>
                <w:rFonts w:hint="eastAsia"/>
                <w:b w:val="0"/>
                <w:lang w:eastAsia="zh-CN"/>
              </w:rPr>
              <w:t>月批发销售月率</w:t>
            </w:r>
          </w:p>
          <w:p w:rsidR="00E540C4" w:rsidRDefault="00E540C4" w:rsidP="00853C1D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E540C4">
              <w:rPr>
                <w:rFonts w:hint="eastAsia"/>
                <w:b w:val="0"/>
                <w:lang w:eastAsia="zh-CN"/>
              </w:rPr>
              <w:t>美国</w:t>
            </w:r>
            <w:r w:rsidRPr="00E540C4">
              <w:rPr>
                <w:b w:val="0"/>
                <w:lang w:eastAsia="zh-CN"/>
              </w:rPr>
              <w:t>8</w:t>
            </w:r>
            <w:r w:rsidRPr="00E540C4">
              <w:rPr>
                <w:rFonts w:hint="eastAsia"/>
                <w:b w:val="0"/>
                <w:lang w:eastAsia="zh-CN"/>
              </w:rPr>
              <w:t>月进口物价指数月率</w:t>
            </w:r>
          </w:p>
        </w:tc>
      </w:tr>
      <w:tr w:rsidR="00853C1D" w:rsidTr="00853C1D">
        <w:trPr>
          <w:trHeight w:val="618"/>
        </w:trPr>
        <w:tc>
          <w:tcPr>
            <w:tcW w:w="1567" w:type="dxa"/>
            <w:shd w:val="clear" w:color="auto" w:fill="auto"/>
          </w:tcPr>
          <w:p w:rsidR="00853C1D" w:rsidRDefault="00E540C4" w:rsidP="00853C1D">
            <w:pPr>
              <w:pStyle w:val="TableText"/>
              <w:ind w:firstLine="392"/>
              <w:rPr>
                <w:lang w:eastAsia="zh-CN"/>
              </w:rPr>
            </w:pPr>
            <w:r>
              <w:t>2024/9/13</w:t>
            </w:r>
          </w:p>
        </w:tc>
        <w:tc>
          <w:tcPr>
            <w:tcW w:w="1143" w:type="dxa"/>
            <w:shd w:val="clear" w:color="auto" w:fill="auto"/>
          </w:tcPr>
          <w:p w:rsidR="00853C1D" w:rsidRDefault="00E540C4" w:rsidP="00494509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22</w:t>
            </w:r>
            <w:r w:rsidR="00853C1D"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00</w:t>
            </w:r>
          </w:p>
        </w:tc>
        <w:tc>
          <w:tcPr>
            <w:tcW w:w="6679" w:type="dxa"/>
            <w:shd w:val="clear" w:color="auto" w:fill="auto"/>
          </w:tcPr>
          <w:p w:rsidR="00494509" w:rsidRDefault="00E540C4" w:rsidP="00853C1D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E540C4">
              <w:rPr>
                <w:rFonts w:hint="eastAsia"/>
                <w:b w:val="0"/>
                <w:lang w:eastAsia="zh-CN"/>
              </w:rPr>
              <w:t>美国</w:t>
            </w:r>
            <w:r w:rsidRPr="00E540C4">
              <w:rPr>
                <w:b w:val="0"/>
                <w:lang w:eastAsia="zh-CN"/>
              </w:rPr>
              <w:t>9</w:t>
            </w:r>
            <w:r w:rsidRPr="00E540C4">
              <w:rPr>
                <w:rFonts w:hint="eastAsia"/>
                <w:b w:val="0"/>
                <w:lang w:eastAsia="zh-CN"/>
              </w:rPr>
              <w:t>月一年期通胀率预期初值</w:t>
            </w:r>
          </w:p>
          <w:p w:rsidR="00E540C4" w:rsidRDefault="00E540C4" w:rsidP="00853C1D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E540C4">
              <w:rPr>
                <w:rFonts w:hint="eastAsia"/>
                <w:b w:val="0"/>
                <w:lang w:eastAsia="zh-CN"/>
              </w:rPr>
              <w:t>美国</w:t>
            </w:r>
            <w:r w:rsidRPr="00E540C4">
              <w:rPr>
                <w:b w:val="0"/>
                <w:lang w:eastAsia="zh-CN"/>
              </w:rPr>
              <w:t>9</w:t>
            </w:r>
            <w:r w:rsidRPr="00E540C4">
              <w:rPr>
                <w:rFonts w:hint="eastAsia"/>
                <w:b w:val="0"/>
                <w:lang w:eastAsia="zh-CN"/>
              </w:rPr>
              <w:t>月密歇根大学消费者信心指数初值</w:t>
            </w:r>
          </w:p>
        </w:tc>
      </w:tr>
      <w:tr w:rsidR="00051B15" w:rsidTr="00051B15">
        <w:trPr>
          <w:trHeight w:val="618"/>
        </w:trPr>
        <w:tc>
          <w:tcPr>
            <w:tcW w:w="1567" w:type="dxa"/>
            <w:shd w:val="clear" w:color="auto" w:fill="D3EAFF"/>
          </w:tcPr>
          <w:p w:rsidR="00051B15" w:rsidRDefault="00E540C4" w:rsidP="00051B15">
            <w:pPr>
              <w:pStyle w:val="TableText"/>
              <w:ind w:firstLine="392"/>
              <w:rPr>
                <w:lang w:eastAsia="zh-CN"/>
              </w:rPr>
            </w:pPr>
            <w:r>
              <w:t>2024/9/14</w:t>
            </w:r>
          </w:p>
        </w:tc>
        <w:tc>
          <w:tcPr>
            <w:tcW w:w="1143" w:type="dxa"/>
            <w:shd w:val="clear" w:color="auto" w:fill="D3EAFF"/>
          </w:tcPr>
          <w:p w:rsidR="00051B15" w:rsidRDefault="00E540C4" w:rsidP="00494509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01</w:t>
            </w:r>
            <w:r w:rsidR="00051B15"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0</w:t>
            </w:r>
            <w:r w:rsidR="002C3500">
              <w:rPr>
                <w:lang w:eastAsia="zh-CN"/>
              </w:rPr>
              <w:t>0</w:t>
            </w:r>
          </w:p>
        </w:tc>
        <w:tc>
          <w:tcPr>
            <w:tcW w:w="6679" w:type="dxa"/>
            <w:shd w:val="clear" w:color="auto" w:fill="D3EAFF"/>
          </w:tcPr>
          <w:p w:rsidR="00494509" w:rsidRPr="00051B15" w:rsidRDefault="00E540C4" w:rsidP="00AF2CE4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E540C4">
              <w:rPr>
                <w:rFonts w:hint="eastAsia"/>
                <w:b w:val="0"/>
                <w:lang w:eastAsia="zh-CN"/>
              </w:rPr>
              <w:t>美国至</w:t>
            </w:r>
            <w:r w:rsidRPr="00E540C4">
              <w:rPr>
                <w:b w:val="0"/>
                <w:lang w:eastAsia="zh-CN"/>
              </w:rPr>
              <w:t>9</w:t>
            </w:r>
            <w:r w:rsidRPr="00E540C4">
              <w:rPr>
                <w:rFonts w:hint="eastAsia"/>
                <w:b w:val="0"/>
                <w:lang w:eastAsia="zh-CN"/>
              </w:rPr>
              <w:t>月</w:t>
            </w:r>
            <w:r w:rsidRPr="00E540C4">
              <w:rPr>
                <w:b w:val="0"/>
                <w:lang w:eastAsia="zh-CN"/>
              </w:rPr>
              <w:t>13</w:t>
            </w:r>
            <w:r w:rsidRPr="00E540C4">
              <w:rPr>
                <w:rFonts w:hint="eastAsia"/>
                <w:b w:val="0"/>
                <w:lang w:eastAsia="zh-CN"/>
              </w:rPr>
              <w:t>日当</w:t>
            </w:r>
            <w:proofErr w:type="gramStart"/>
            <w:r w:rsidRPr="00E540C4">
              <w:rPr>
                <w:rFonts w:hint="eastAsia"/>
                <w:b w:val="0"/>
                <w:lang w:eastAsia="zh-CN"/>
              </w:rPr>
              <w:t>周石油</w:t>
            </w:r>
            <w:proofErr w:type="gramEnd"/>
            <w:r w:rsidRPr="00E540C4">
              <w:rPr>
                <w:rFonts w:hint="eastAsia"/>
                <w:b w:val="0"/>
                <w:lang w:eastAsia="zh-CN"/>
              </w:rPr>
              <w:t>钻井总数</w:t>
            </w:r>
          </w:p>
        </w:tc>
      </w:tr>
    </w:tbl>
    <w:p w:rsidR="009D1E0F" w:rsidRDefault="009D1E0F" w:rsidP="00F54538">
      <w:pPr>
        <w:spacing w:before="120" w:line="190" w:lineRule="auto"/>
        <w:rPr>
          <w:lang w:eastAsia="zh-CN"/>
        </w:rPr>
      </w:pPr>
    </w:p>
    <w:p w:rsidR="009372C5" w:rsidRDefault="005C57E7">
      <w:pPr>
        <w:spacing w:before="120" w:line="190" w:lineRule="auto"/>
        <w:ind w:firstLine="42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5pt;height:14.25pt">
            <v:imagedata r:id="rId13" o:title=""/>
          </v:shape>
        </w:pict>
      </w:r>
      <w:r w:rsidR="00115A1A"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 w:rsidR="00115A1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:rsidR="009372C5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:rsidR="00F95495" w:rsidRPr="00F95495" w:rsidRDefault="005D5DCE" w:rsidP="00F95495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截至周五，美元指数跌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0.49%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101.24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，非美货币普遍上涨，欧元兑美元涨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0.57%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1.1074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，英镑兑美元涨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0.62%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1.3124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，澳元兑美元涨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0.72%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0.6723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，美元兑日元跌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0.38%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141.82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。由于美国当周初请失业</w:t>
      </w:r>
      <w:proofErr w:type="gramStart"/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金人数</w:t>
      </w:r>
      <w:proofErr w:type="gramEnd"/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意外增加，表明劳动力市场疲软，这对美联储政策具有鸽派影响，美元指数昨日从一周高点回落。美国当周初请失业</w:t>
      </w:r>
      <w:proofErr w:type="gramStart"/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金人数</w:t>
      </w:r>
      <w:proofErr w:type="gramEnd"/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意外增加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2000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人，达到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23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万人，略高于预期的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22.7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万人和前值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22.8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万人，显示出劳动力市场略显疲软。美国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月生产者价格指数（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PPI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）则缓解了市场对美联储降息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50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个基点的猜测。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PPI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环比意外上升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0.2%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，同比则从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月的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2.1%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降至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1.7%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，为六个月来最小增幅；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月核心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PPI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同比上涨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2.4%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，高于前值的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2.3%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。非美元区方面，欧元的走强对美元构成压力，因欧洲央行在周四降息后并未承诺进一步降息，并警告称下半年通胀可能再次反弹，表现出鹰派立场，推动欧元上涨。然而，欧洲央行下调了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2024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年欧元区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GDP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预期，并警告欧元</w:t>
      </w:r>
      <w:proofErr w:type="gramStart"/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区增长</w:t>
      </w:r>
      <w:proofErr w:type="gramEnd"/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风险偏向下行，限制了欧元的涨幅。日元方面，受日本央行政策委员会成员田村直树发表鹰派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言论的推动，日元获得支撑。田村直树表示认为日本央行需要继续加息。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展望未来，受欧洲央行鹰派降息、美国当周初请失业</w:t>
      </w:r>
      <w:proofErr w:type="gramStart"/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金人数</w:t>
      </w:r>
      <w:proofErr w:type="gramEnd"/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意外增加以及美联储将温和降息预期的影响下，美元波动下行。</w:t>
      </w:r>
    </w:p>
    <w:p w:rsidR="009372C5" w:rsidRDefault="00115A1A">
      <w:pPr>
        <w:spacing w:before="235" w:line="176" w:lineRule="auto"/>
        <w:ind w:firstLine="448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lang w:eastAsia="zh-CN"/>
        </w:rPr>
        <w:t>图表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2：美元指数走势图</w:t>
      </w:r>
    </w:p>
    <w:p w:rsidR="009372C5" w:rsidRDefault="009D7E08">
      <w:pPr>
        <w:spacing w:before="103" w:line="256" w:lineRule="auto"/>
        <w:ind w:right="743"/>
        <w:jc w:val="both"/>
        <w:rPr>
          <w:lang w:eastAsia="zh-CN"/>
        </w:rPr>
      </w:pPr>
      <w:r>
        <w:rPr>
          <w:noProof/>
          <w:snapToGrid/>
          <w:lang w:eastAsia="zh-CN"/>
        </w:rPr>
        <w:drawing>
          <wp:inline distT="0" distB="0" distL="0" distR="0" wp14:anchorId="4350B6F5" wp14:editId="7D9F3662">
            <wp:extent cx="6076420" cy="2371725"/>
            <wp:effectExtent l="0" t="0" r="63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4664" cy="238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:rsidR="009372C5" w:rsidRDefault="009372C5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:rsidR="009372C5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:rsidR="009372C5" w:rsidRPr="001A4594" w:rsidRDefault="00ED0BEB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截至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13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proofErr w:type="gramStart"/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ED0BEB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指数上涨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0.75%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5595.76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点；</w:t>
      </w:r>
      <w:proofErr w:type="gramStart"/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迷你标普</w:t>
      </w:r>
      <w:proofErr w:type="gramEnd"/>
      <w:r w:rsidRPr="00ED0BEB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主力合约上涨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0.7%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5596.5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点。美股三大股指集体上涨。美国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PPI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同比大幅回落，环比涨幅略高于预期，核心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PPI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同比、环比增幅均有所上升，核心通胀显示出一定粘性，巩固市场对美联储下周降息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25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个基点的预期。此外，美国上周初请失业</w:t>
      </w:r>
      <w:proofErr w:type="gramStart"/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金人数</w:t>
      </w:r>
      <w:proofErr w:type="gramEnd"/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基本符合预期，为三周以来首次上升。目前，美联储降息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25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个基点已是市场普遍预期，但美国经济数据表现有所分化。策略上，建议暂时观望。</w:t>
      </w:r>
    </w:p>
    <w:p w:rsidR="009372C5" w:rsidRPr="001A4594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1A4594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图3：S&amp;P500走势图</w:t>
      </w:r>
      <w:r w:rsidRPr="001A4594">
        <w:rPr>
          <w:rFonts w:ascii="新宋体" w:eastAsia="新宋体" w:hAnsi="新宋体"/>
          <w:b/>
          <w:lang w:eastAsia="zh-CN"/>
        </w:rPr>
        <w:br w:type="textWrapping" w:clear="all"/>
      </w:r>
      <w:r w:rsidR="00ED0BEB" w:rsidRPr="00785733">
        <w:rPr>
          <w:rFonts w:ascii="新宋体" w:eastAsia="新宋体" w:hAnsi="新宋体"/>
          <w:b/>
          <w:noProof/>
          <w:lang w:eastAsia="zh-CN"/>
        </w:rPr>
        <w:drawing>
          <wp:inline distT="0" distB="0" distL="0" distR="0" wp14:anchorId="491C59DD" wp14:editId="5FB05D9B">
            <wp:extent cx="6102879" cy="1695450"/>
            <wp:effectExtent l="0" t="0" r="0" b="0"/>
            <wp:docPr id="27" name="图片 27" descr="C:\Users\Administrator\Documents\WeChat Files\wxid_vkxlzo0vqu7s22\FileStorage\Temp\1726188226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vkxlzo0vqu7s22\FileStorage\Temp\172618822629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680" cy="169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C5" w:rsidRPr="001A4594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1A4594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资料来源：wind、瑞达国际</w:t>
      </w:r>
    </w:p>
    <w:p w:rsidR="00D05119" w:rsidRDefault="00D05119" w:rsidP="0054186C">
      <w:pPr>
        <w:spacing w:before="120" w:line="190" w:lineRule="auto"/>
        <w:jc w:val="both"/>
        <w:rPr>
          <w:rFonts w:ascii="微软雅黑" w:eastAsia="微软雅黑" w:hAnsi="微软雅黑" w:cs="微软雅黑"/>
          <w:b/>
          <w:bCs/>
          <w:spacing w:val="12"/>
          <w:sz w:val="24"/>
          <w:szCs w:val="24"/>
          <w:lang w:eastAsia="zh-CN"/>
        </w:rPr>
      </w:pPr>
    </w:p>
    <w:p w:rsidR="009372C5" w:rsidRPr="001A4594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 w:rsidRPr="001A4594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:rsidR="009372C5" w:rsidRDefault="00ED0BEB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截至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日，富时中国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A50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指数下跌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0.45%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11202.6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点；新交所富时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A50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期指主力合约下跌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0.26%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11195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点。国内方面，宏观上，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月份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CPI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同比涨幅较上月有所扩大，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PPI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同比继续下滑，二者均不及预期，通胀持续保持低位运行；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月进出口贸易数据较上月相比进一步增长，作为经济三架马车之一的净出口持续好转，对市场信心有一定提振，然而，我国经济并非出口导向，净出口对基本面的提振预计有限。目前，受降息预期影响资金偏好成长风格的中小盘股，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A50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指数整体承压。策略上，建议轻仓逢高沽空。</w:t>
      </w:r>
    </w:p>
    <w:p w:rsidR="009372C5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图4：富时中国A50走势图</w:t>
      </w:r>
    </w:p>
    <w:p w:rsidR="009372C5" w:rsidRDefault="00ED0BEB">
      <w:pPr>
        <w:spacing w:before="103" w:line="256" w:lineRule="auto"/>
        <w:ind w:right="743"/>
        <w:jc w:val="both"/>
        <w:rPr>
          <w:rFonts w:ascii="新宋体" w:eastAsia="新宋体" w:hAnsi="新宋体"/>
        </w:rPr>
      </w:pPr>
      <w:r w:rsidRPr="00B265B2">
        <w:rPr>
          <w:rFonts w:ascii="新宋体" w:eastAsia="新宋体" w:hAnsi="新宋体"/>
          <w:noProof/>
          <w:lang w:eastAsia="zh-CN"/>
        </w:rPr>
        <w:drawing>
          <wp:inline distT="0" distB="0" distL="0" distR="0" wp14:anchorId="7300C7DC" wp14:editId="000026E1">
            <wp:extent cx="6043864" cy="1676400"/>
            <wp:effectExtent l="0" t="0" r="0" b="0"/>
            <wp:docPr id="26" name="图片 26" descr="C:\Users\Administrator\Documents\WeChat Files\wxid_vkxlzo0vqu7s22\FileStorage\Temp\1726188342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vkxlzo0vqu7s22\FileStorage\Temp\172618834271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338" cy="168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资料来源：wind、瑞达国际</w:t>
      </w:r>
    </w:p>
    <w:p w:rsidR="001A4594" w:rsidRDefault="001A4594" w:rsidP="0050522A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115A1A">
      <w:pPr>
        <w:spacing w:before="103" w:line="256" w:lineRule="auto"/>
        <w:ind w:right="743"/>
        <w:jc w:val="both"/>
        <w:rPr>
          <w:rFonts w:ascii="新宋体" w:eastAsia="新宋体" w:hAnsi="新宋体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:rsidR="009372C5" w:rsidRDefault="00ED0BEB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ED0BEB">
        <w:rPr>
          <w:rFonts w:ascii="微软雅黑" w:eastAsia="微软雅黑" w:hAnsi="微软雅黑" w:cs="微软雅黑" w:hint="eastAsia"/>
          <w:b/>
          <w:spacing w:val="12"/>
          <w:lang w:eastAsia="zh-CN"/>
        </w:rPr>
        <w:t>观点：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铜震荡偏强，报收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4.21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+1.64%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。国际方面，美国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PPI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、核心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PPI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月率分别录得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0.2%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、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0.3%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，均高于预期但前值被下修；美国上周初请失业</w:t>
      </w:r>
      <w:proofErr w:type="gramStart"/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金人数</w:t>
      </w:r>
      <w:proofErr w:type="gramEnd"/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温和升至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23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万人。利率期货显示美联储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月降息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50BP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的概率为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39%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。国内方面，国家主席习近平强调，各地区各部门要抓好三季度末和四季度经济工作，努力完成全年经济社会发展目标任务。库存方面，截至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311650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-3300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铜库存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39997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-21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99740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-2322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吨。美元美债方面，美元指数开始回落，</w:t>
      </w:r>
      <w:proofErr w:type="gramStart"/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最终收跌</w:t>
      </w:r>
      <w:proofErr w:type="gramEnd"/>
      <w:r w:rsidRPr="00ED0BEB">
        <w:rPr>
          <w:rFonts w:ascii="微软雅黑" w:eastAsia="微软雅黑" w:hAnsi="微软雅黑" w:cs="微软雅黑"/>
          <w:spacing w:val="12"/>
          <w:lang w:eastAsia="zh-CN"/>
        </w:rPr>
        <w:t>0.49%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101.24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。美债收益率小幅回升，基准的</w:t>
      </w:r>
      <w:proofErr w:type="gramStart"/>
      <w:r w:rsidRPr="00ED0BEB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3.678%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；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lastRenderedPageBreak/>
        <w:t>对货币政策更敏感的</w:t>
      </w:r>
      <w:proofErr w:type="gramStart"/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两年期美债</w:t>
      </w:r>
      <w:proofErr w:type="gramEnd"/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收益率最终收报</w:t>
      </w:r>
      <w:r w:rsidRPr="00ED0BEB">
        <w:rPr>
          <w:rFonts w:ascii="微软雅黑" w:eastAsia="微软雅黑" w:hAnsi="微软雅黑" w:cs="微软雅黑"/>
          <w:spacing w:val="12"/>
          <w:lang w:eastAsia="zh-CN"/>
        </w:rPr>
        <w:t>3.650%</w:t>
      </w:r>
      <w:r w:rsidRPr="00ED0BEB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Pr="00ED0BEB">
        <w:rPr>
          <w:rFonts w:ascii="微软雅黑" w:eastAsia="微软雅黑" w:hAnsi="微软雅黑" w:cs="微软雅黑" w:hint="eastAsia"/>
          <w:b/>
          <w:spacing w:val="12"/>
          <w:lang w:eastAsia="zh-CN"/>
        </w:rPr>
        <w:t>操作建议，</w:t>
      </w:r>
      <w:proofErr w:type="gramStart"/>
      <w:r w:rsidRPr="00ED0BEB">
        <w:rPr>
          <w:rFonts w:ascii="微软雅黑" w:eastAsia="微软雅黑" w:hAnsi="微软雅黑" w:cs="微软雅黑" w:hint="eastAsia"/>
          <w:b/>
          <w:spacing w:val="12"/>
          <w:lang w:eastAsia="zh-CN"/>
        </w:rPr>
        <w:t>纽</w:t>
      </w:r>
      <w:proofErr w:type="gramEnd"/>
      <w:r w:rsidRPr="00ED0BEB">
        <w:rPr>
          <w:rFonts w:ascii="微软雅黑" w:eastAsia="微软雅黑" w:hAnsi="微软雅黑" w:cs="微软雅黑" w:hint="eastAsia"/>
          <w:b/>
          <w:spacing w:val="12"/>
          <w:lang w:eastAsia="zh-CN"/>
        </w:rPr>
        <w:t>铜主力合约轻仓短线震荡交易，仅供参考。</w:t>
      </w:r>
    </w:p>
    <w:p w:rsidR="009372C5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图5：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:rsidR="009372C5" w:rsidRDefault="00ED0BEB">
      <w:pPr>
        <w:spacing w:before="103" w:line="256" w:lineRule="auto"/>
        <w:ind w:right="743"/>
        <w:jc w:val="both"/>
      </w:pPr>
      <w:r>
        <w:rPr>
          <w:noProof/>
          <w:lang w:eastAsia="zh-CN"/>
        </w:rPr>
        <w:drawing>
          <wp:inline distT="0" distB="0" distL="0" distR="0" wp14:anchorId="5F89D672" wp14:editId="45F4AFF3">
            <wp:extent cx="6087110" cy="2009775"/>
            <wp:effectExtent l="0" t="0" r="889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3768" cy="201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36B" w:rsidRDefault="00115A1A" w:rsidP="00BA2512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资料来源：同花顺、瑞达国际</w:t>
      </w:r>
    </w:p>
    <w:p w:rsidR="00BA2512" w:rsidRPr="00BA2512" w:rsidRDefault="00BA2512" w:rsidP="00BA2512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:rsidR="005C57E7" w:rsidRPr="005C57E7" w:rsidRDefault="005C57E7" w:rsidP="005C57E7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5C57E7">
        <w:rPr>
          <w:rFonts w:ascii="微软雅黑" w:eastAsia="微软雅黑" w:hAnsi="微软雅黑" w:cs="微软雅黑" w:hint="eastAsia"/>
          <w:spacing w:val="12"/>
          <w:lang w:eastAsia="zh-CN"/>
        </w:rPr>
        <w:t>消息面：昨日公布的美国</w:t>
      </w:r>
      <w:r w:rsidRPr="005C57E7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5C57E7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5C57E7">
        <w:rPr>
          <w:rFonts w:ascii="微软雅黑" w:eastAsia="微软雅黑" w:hAnsi="微软雅黑" w:cs="微软雅黑"/>
          <w:spacing w:val="12"/>
          <w:lang w:eastAsia="zh-CN"/>
        </w:rPr>
        <w:t>PPI</w:t>
      </w:r>
      <w:r w:rsidRPr="005C57E7">
        <w:rPr>
          <w:rFonts w:ascii="微软雅黑" w:eastAsia="微软雅黑" w:hAnsi="微软雅黑" w:cs="微软雅黑" w:hint="eastAsia"/>
          <w:spacing w:val="12"/>
          <w:lang w:eastAsia="zh-CN"/>
        </w:rPr>
        <w:t>同比上涨</w:t>
      </w:r>
      <w:r w:rsidRPr="005C57E7">
        <w:rPr>
          <w:rFonts w:ascii="微软雅黑" w:eastAsia="微软雅黑" w:hAnsi="微软雅黑" w:cs="微软雅黑"/>
          <w:spacing w:val="12"/>
          <w:lang w:eastAsia="zh-CN"/>
        </w:rPr>
        <w:t>1.7%</w:t>
      </w:r>
      <w:r w:rsidRPr="005C57E7">
        <w:rPr>
          <w:rFonts w:ascii="微软雅黑" w:eastAsia="微软雅黑" w:hAnsi="微软雅黑" w:cs="微软雅黑" w:hint="eastAsia"/>
          <w:spacing w:val="12"/>
          <w:lang w:eastAsia="zh-CN"/>
        </w:rPr>
        <w:t>，创</w:t>
      </w:r>
      <w:r w:rsidRPr="005C57E7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5C57E7">
        <w:rPr>
          <w:rFonts w:ascii="微软雅黑" w:eastAsia="微软雅黑" w:hAnsi="微软雅黑" w:cs="微软雅黑" w:hint="eastAsia"/>
          <w:spacing w:val="12"/>
          <w:lang w:eastAsia="zh-CN"/>
        </w:rPr>
        <w:t>月以来最低，前值从</w:t>
      </w:r>
      <w:r w:rsidRPr="005C57E7">
        <w:rPr>
          <w:rFonts w:ascii="微软雅黑" w:eastAsia="微软雅黑" w:hAnsi="微软雅黑" w:cs="微软雅黑"/>
          <w:spacing w:val="12"/>
          <w:lang w:eastAsia="zh-CN"/>
        </w:rPr>
        <w:t>2.2%</w:t>
      </w:r>
      <w:r w:rsidRPr="005C57E7">
        <w:rPr>
          <w:rFonts w:ascii="微软雅黑" w:eastAsia="微软雅黑" w:hAnsi="微软雅黑" w:cs="微软雅黑" w:hint="eastAsia"/>
          <w:spacing w:val="12"/>
          <w:lang w:eastAsia="zh-CN"/>
        </w:rPr>
        <w:t>下修至</w:t>
      </w:r>
      <w:r w:rsidRPr="005C57E7">
        <w:rPr>
          <w:rFonts w:ascii="微软雅黑" w:eastAsia="微软雅黑" w:hAnsi="微软雅黑" w:cs="微软雅黑"/>
          <w:spacing w:val="12"/>
          <w:lang w:eastAsia="zh-CN"/>
        </w:rPr>
        <w:t>2.1%</w:t>
      </w:r>
      <w:r w:rsidRPr="005C57E7">
        <w:rPr>
          <w:rFonts w:ascii="微软雅黑" w:eastAsia="微软雅黑" w:hAnsi="微软雅黑" w:cs="微软雅黑" w:hint="eastAsia"/>
          <w:spacing w:val="12"/>
          <w:lang w:eastAsia="zh-CN"/>
        </w:rPr>
        <w:t>；核心</w:t>
      </w:r>
      <w:r w:rsidRPr="005C57E7">
        <w:rPr>
          <w:rFonts w:ascii="微软雅黑" w:eastAsia="微软雅黑" w:hAnsi="微软雅黑" w:cs="微软雅黑"/>
          <w:spacing w:val="12"/>
          <w:lang w:eastAsia="zh-CN"/>
        </w:rPr>
        <w:t>PPI</w:t>
      </w:r>
      <w:r w:rsidRPr="005C57E7">
        <w:rPr>
          <w:rFonts w:ascii="微软雅黑" w:eastAsia="微软雅黑" w:hAnsi="微软雅黑" w:cs="微软雅黑" w:hint="eastAsia"/>
          <w:spacing w:val="12"/>
          <w:lang w:eastAsia="zh-CN"/>
        </w:rPr>
        <w:t>同比增</w:t>
      </w:r>
      <w:r w:rsidRPr="005C57E7">
        <w:rPr>
          <w:rFonts w:ascii="微软雅黑" w:eastAsia="微软雅黑" w:hAnsi="微软雅黑" w:cs="微软雅黑"/>
          <w:spacing w:val="12"/>
          <w:lang w:eastAsia="zh-CN"/>
        </w:rPr>
        <w:t>2.4%</w:t>
      </w:r>
      <w:r w:rsidRPr="005C57E7">
        <w:rPr>
          <w:rFonts w:ascii="微软雅黑" w:eastAsia="微软雅黑" w:hAnsi="微软雅黑" w:cs="微软雅黑" w:hint="eastAsia"/>
          <w:spacing w:val="12"/>
          <w:lang w:eastAsia="zh-CN"/>
        </w:rPr>
        <w:t>，高于前值</w:t>
      </w:r>
      <w:r w:rsidRPr="005C57E7">
        <w:rPr>
          <w:rFonts w:ascii="微软雅黑" w:eastAsia="微软雅黑" w:hAnsi="微软雅黑" w:cs="微软雅黑"/>
          <w:spacing w:val="12"/>
          <w:lang w:eastAsia="zh-CN"/>
        </w:rPr>
        <w:t>2.3%</w:t>
      </w:r>
      <w:r w:rsidRPr="005C57E7">
        <w:rPr>
          <w:rFonts w:ascii="微软雅黑" w:eastAsia="微软雅黑" w:hAnsi="微软雅黑" w:cs="微软雅黑" w:hint="eastAsia"/>
          <w:spacing w:val="12"/>
          <w:lang w:eastAsia="zh-CN"/>
        </w:rPr>
        <w:t>；环比增</w:t>
      </w:r>
      <w:r w:rsidRPr="005C57E7">
        <w:rPr>
          <w:rFonts w:ascii="微软雅黑" w:eastAsia="微软雅黑" w:hAnsi="微软雅黑" w:cs="微软雅黑"/>
          <w:spacing w:val="12"/>
          <w:lang w:eastAsia="zh-CN"/>
        </w:rPr>
        <w:t>0.3%</w:t>
      </w:r>
      <w:r w:rsidRPr="005C57E7">
        <w:rPr>
          <w:rFonts w:ascii="微软雅黑" w:eastAsia="微软雅黑" w:hAnsi="微软雅黑" w:cs="微软雅黑" w:hint="eastAsia"/>
          <w:spacing w:val="12"/>
          <w:lang w:eastAsia="zh-CN"/>
        </w:rPr>
        <w:t>，高于预期</w:t>
      </w:r>
      <w:r w:rsidRPr="005C57E7">
        <w:rPr>
          <w:rFonts w:ascii="微软雅黑" w:eastAsia="微软雅黑" w:hAnsi="微软雅黑" w:cs="微软雅黑"/>
          <w:spacing w:val="12"/>
          <w:lang w:eastAsia="zh-CN"/>
        </w:rPr>
        <w:t>0.2%</w:t>
      </w:r>
      <w:r w:rsidRPr="005C57E7">
        <w:rPr>
          <w:rFonts w:ascii="微软雅黑" w:eastAsia="微软雅黑" w:hAnsi="微软雅黑" w:cs="微软雅黑" w:hint="eastAsia"/>
          <w:spacing w:val="12"/>
          <w:lang w:eastAsia="zh-CN"/>
        </w:rPr>
        <w:t>。整体</w:t>
      </w:r>
      <w:r w:rsidRPr="005C57E7">
        <w:rPr>
          <w:rFonts w:ascii="微软雅黑" w:eastAsia="微软雅黑" w:hAnsi="微软雅黑" w:cs="微软雅黑"/>
          <w:spacing w:val="12"/>
          <w:lang w:eastAsia="zh-CN"/>
        </w:rPr>
        <w:t>PPI</w:t>
      </w:r>
      <w:r w:rsidRPr="005C57E7">
        <w:rPr>
          <w:rFonts w:ascii="微软雅黑" w:eastAsia="微软雅黑" w:hAnsi="微软雅黑" w:cs="微软雅黑" w:hint="eastAsia"/>
          <w:spacing w:val="12"/>
          <w:lang w:eastAsia="zh-CN"/>
        </w:rPr>
        <w:t>数据与</w:t>
      </w:r>
      <w:r w:rsidRPr="005C57E7">
        <w:rPr>
          <w:rFonts w:ascii="微软雅黑" w:eastAsia="微软雅黑" w:hAnsi="微软雅黑" w:cs="微软雅黑"/>
          <w:spacing w:val="12"/>
          <w:lang w:eastAsia="zh-CN"/>
        </w:rPr>
        <w:t>CPI</w:t>
      </w:r>
      <w:r w:rsidRPr="005C57E7">
        <w:rPr>
          <w:rFonts w:ascii="微软雅黑" w:eastAsia="微软雅黑" w:hAnsi="微软雅黑" w:cs="微软雅黑" w:hint="eastAsia"/>
          <w:spacing w:val="12"/>
          <w:lang w:eastAsia="zh-CN"/>
        </w:rPr>
        <w:t>数据表现趋同整体通胀水平持续放缓，但核心通胀仍保有一定韧性。就业数据方面，美国上周初请失业</w:t>
      </w:r>
      <w:proofErr w:type="gramStart"/>
      <w:r w:rsidRPr="005C57E7">
        <w:rPr>
          <w:rFonts w:ascii="微软雅黑" w:eastAsia="微软雅黑" w:hAnsi="微软雅黑" w:cs="微软雅黑" w:hint="eastAsia"/>
          <w:spacing w:val="12"/>
          <w:lang w:eastAsia="zh-CN"/>
        </w:rPr>
        <w:t>金人数</w:t>
      </w:r>
      <w:proofErr w:type="gramEnd"/>
      <w:r w:rsidRPr="005C57E7">
        <w:rPr>
          <w:rFonts w:ascii="微软雅黑" w:eastAsia="微软雅黑" w:hAnsi="微软雅黑" w:cs="微软雅黑"/>
          <w:spacing w:val="12"/>
          <w:lang w:eastAsia="zh-CN"/>
        </w:rPr>
        <w:t>23</w:t>
      </w:r>
      <w:r w:rsidRPr="005C57E7">
        <w:rPr>
          <w:rFonts w:ascii="微软雅黑" w:eastAsia="微软雅黑" w:hAnsi="微软雅黑" w:cs="微软雅黑" w:hint="eastAsia"/>
          <w:spacing w:val="12"/>
          <w:lang w:eastAsia="zh-CN"/>
        </w:rPr>
        <w:t>万人，三周以来首次回升，预期为持平于</w:t>
      </w:r>
      <w:r w:rsidRPr="005C57E7">
        <w:rPr>
          <w:rFonts w:ascii="微软雅黑" w:eastAsia="微软雅黑" w:hAnsi="微软雅黑" w:cs="微软雅黑"/>
          <w:spacing w:val="12"/>
          <w:lang w:eastAsia="zh-CN"/>
        </w:rPr>
        <w:t>22.7</w:t>
      </w:r>
      <w:r w:rsidRPr="005C57E7">
        <w:rPr>
          <w:rFonts w:ascii="微软雅黑" w:eastAsia="微软雅黑" w:hAnsi="微软雅黑" w:cs="微软雅黑" w:hint="eastAsia"/>
          <w:spacing w:val="12"/>
          <w:lang w:eastAsia="zh-CN"/>
        </w:rPr>
        <w:t>万人。至</w:t>
      </w:r>
      <w:r w:rsidRPr="005C57E7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5C57E7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5C57E7">
        <w:rPr>
          <w:rFonts w:ascii="微软雅黑" w:eastAsia="微软雅黑" w:hAnsi="微软雅黑" w:cs="微软雅黑"/>
          <w:spacing w:val="12"/>
          <w:lang w:eastAsia="zh-CN"/>
        </w:rPr>
        <w:t>31</w:t>
      </w:r>
      <w:r w:rsidRPr="005C57E7">
        <w:rPr>
          <w:rFonts w:ascii="微软雅黑" w:eastAsia="微软雅黑" w:hAnsi="微软雅黑" w:cs="微软雅黑" w:hint="eastAsia"/>
          <w:spacing w:val="12"/>
          <w:lang w:eastAsia="zh-CN"/>
        </w:rPr>
        <w:t>日当</w:t>
      </w:r>
      <w:proofErr w:type="gramStart"/>
      <w:r w:rsidRPr="005C57E7">
        <w:rPr>
          <w:rFonts w:ascii="微软雅黑" w:eastAsia="微软雅黑" w:hAnsi="微软雅黑" w:cs="微软雅黑" w:hint="eastAsia"/>
          <w:spacing w:val="12"/>
          <w:lang w:eastAsia="zh-CN"/>
        </w:rPr>
        <w:t>周续请失业金人数</w:t>
      </w:r>
      <w:proofErr w:type="gramEnd"/>
      <w:r w:rsidRPr="005C57E7">
        <w:rPr>
          <w:rFonts w:ascii="微软雅黑" w:eastAsia="微软雅黑" w:hAnsi="微软雅黑" w:cs="微软雅黑" w:hint="eastAsia"/>
          <w:spacing w:val="12"/>
          <w:lang w:eastAsia="zh-CN"/>
        </w:rPr>
        <w:t>为</w:t>
      </w:r>
      <w:r w:rsidRPr="005C57E7">
        <w:rPr>
          <w:rFonts w:ascii="微软雅黑" w:eastAsia="微软雅黑" w:hAnsi="微软雅黑" w:cs="微软雅黑"/>
          <w:spacing w:val="12"/>
          <w:lang w:eastAsia="zh-CN"/>
        </w:rPr>
        <w:t>185</w:t>
      </w:r>
      <w:r w:rsidRPr="005C57E7">
        <w:rPr>
          <w:rFonts w:ascii="微软雅黑" w:eastAsia="微软雅黑" w:hAnsi="微软雅黑" w:cs="微软雅黑" w:hint="eastAsia"/>
          <w:spacing w:val="12"/>
          <w:lang w:eastAsia="zh-CN"/>
        </w:rPr>
        <w:t>万人，小幅增加</w:t>
      </w:r>
      <w:r w:rsidRPr="005C57E7">
        <w:rPr>
          <w:rFonts w:ascii="微软雅黑" w:eastAsia="微软雅黑" w:hAnsi="微软雅黑" w:cs="微软雅黑"/>
          <w:spacing w:val="12"/>
          <w:lang w:eastAsia="zh-CN"/>
        </w:rPr>
        <w:t>0.5</w:t>
      </w:r>
      <w:r w:rsidRPr="005C57E7">
        <w:rPr>
          <w:rFonts w:ascii="微软雅黑" w:eastAsia="微软雅黑" w:hAnsi="微软雅黑" w:cs="微软雅黑" w:hint="eastAsia"/>
          <w:spacing w:val="12"/>
          <w:lang w:eastAsia="zh-CN"/>
        </w:rPr>
        <w:t>万人，在劳动力市场逐渐平衡的状况下，未来失业人数或将缓慢抬升，这或进一步加强市场对美联储大幅降息的预期。政府财政数据方面，美国</w:t>
      </w:r>
      <w:r w:rsidRPr="005C57E7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5C57E7">
        <w:rPr>
          <w:rFonts w:ascii="微软雅黑" w:eastAsia="微软雅黑" w:hAnsi="微软雅黑" w:cs="微软雅黑" w:hint="eastAsia"/>
          <w:spacing w:val="12"/>
          <w:lang w:eastAsia="zh-CN"/>
        </w:rPr>
        <w:t>月预算赤字录得</w:t>
      </w:r>
      <w:r w:rsidRPr="005C57E7">
        <w:rPr>
          <w:rFonts w:ascii="微软雅黑" w:eastAsia="微软雅黑" w:hAnsi="微软雅黑" w:cs="微软雅黑"/>
          <w:spacing w:val="12"/>
          <w:lang w:eastAsia="zh-CN"/>
        </w:rPr>
        <w:t>3800</w:t>
      </w:r>
      <w:r w:rsidRPr="005C57E7">
        <w:rPr>
          <w:rFonts w:ascii="微软雅黑" w:eastAsia="微软雅黑" w:hAnsi="微软雅黑" w:cs="微软雅黑" w:hint="eastAsia"/>
          <w:spacing w:val="12"/>
          <w:lang w:eastAsia="zh-CN"/>
        </w:rPr>
        <w:t>亿美元，远高于市场预期的</w:t>
      </w:r>
      <w:r w:rsidRPr="005C57E7">
        <w:rPr>
          <w:rFonts w:ascii="微软雅黑" w:eastAsia="微软雅黑" w:hAnsi="微软雅黑" w:cs="微软雅黑"/>
          <w:spacing w:val="12"/>
          <w:lang w:eastAsia="zh-CN"/>
        </w:rPr>
        <w:t>3173</w:t>
      </w:r>
      <w:r w:rsidRPr="005C57E7">
        <w:rPr>
          <w:rFonts w:ascii="微软雅黑" w:eastAsia="微软雅黑" w:hAnsi="微软雅黑" w:cs="微软雅黑" w:hint="eastAsia"/>
          <w:spacing w:val="12"/>
          <w:lang w:eastAsia="zh-CN"/>
        </w:rPr>
        <w:t>亿美元，而</w:t>
      </w:r>
      <w:r w:rsidRPr="005C57E7">
        <w:rPr>
          <w:rFonts w:ascii="微软雅黑" w:eastAsia="微软雅黑" w:hAnsi="微软雅黑" w:cs="微软雅黑"/>
          <w:spacing w:val="12"/>
          <w:lang w:eastAsia="zh-CN"/>
        </w:rPr>
        <w:t>2023</w:t>
      </w:r>
      <w:r w:rsidRPr="005C57E7">
        <w:rPr>
          <w:rFonts w:ascii="微软雅黑" w:eastAsia="微软雅黑" w:hAnsi="微软雅黑" w:cs="微软雅黑" w:hint="eastAsia"/>
          <w:spacing w:val="12"/>
          <w:lang w:eastAsia="zh-CN"/>
        </w:rPr>
        <w:t>年</w:t>
      </w:r>
      <w:r w:rsidRPr="005C57E7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5C57E7">
        <w:rPr>
          <w:rFonts w:ascii="微软雅黑" w:eastAsia="微软雅黑" w:hAnsi="微软雅黑" w:cs="微软雅黑" w:hint="eastAsia"/>
          <w:spacing w:val="12"/>
          <w:lang w:eastAsia="zh-CN"/>
        </w:rPr>
        <w:t>月则为</w:t>
      </w:r>
      <w:r w:rsidRPr="005C57E7">
        <w:rPr>
          <w:rFonts w:ascii="微软雅黑" w:eastAsia="微软雅黑" w:hAnsi="微软雅黑" w:cs="微软雅黑"/>
          <w:spacing w:val="12"/>
          <w:lang w:eastAsia="zh-CN"/>
        </w:rPr>
        <w:t>890</w:t>
      </w:r>
      <w:r w:rsidRPr="005C57E7">
        <w:rPr>
          <w:rFonts w:ascii="微软雅黑" w:eastAsia="微软雅黑" w:hAnsi="微软雅黑" w:cs="微软雅黑" w:hint="eastAsia"/>
          <w:spacing w:val="12"/>
          <w:lang w:eastAsia="zh-CN"/>
        </w:rPr>
        <w:t>亿美元盈余，整体财政赤字持续</w:t>
      </w:r>
      <w:proofErr w:type="gramStart"/>
      <w:r w:rsidRPr="005C57E7">
        <w:rPr>
          <w:rFonts w:ascii="微软雅黑" w:eastAsia="微软雅黑" w:hAnsi="微软雅黑" w:cs="微软雅黑" w:hint="eastAsia"/>
          <w:spacing w:val="12"/>
          <w:lang w:eastAsia="zh-CN"/>
        </w:rPr>
        <w:t>走阔或</w:t>
      </w:r>
      <w:proofErr w:type="gramEnd"/>
      <w:r w:rsidRPr="005C57E7">
        <w:rPr>
          <w:rFonts w:ascii="微软雅黑" w:eastAsia="微软雅黑" w:hAnsi="微软雅黑" w:cs="微软雅黑" w:hint="eastAsia"/>
          <w:spacing w:val="12"/>
          <w:lang w:eastAsia="zh-CN"/>
        </w:rPr>
        <w:t>使美元持续承压。</w:t>
      </w:r>
    </w:p>
    <w:p w:rsidR="005C57E7" w:rsidRPr="005C57E7" w:rsidRDefault="005C57E7" w:rsidP="005C57E7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5C57E7">
        <w:rPr>
          <w:rFonts w:ascii="微软雅黑" w:eastAsia="微软雅黑" w:hAnsi="微软雅黑" w:cs="微软雅黑" w:hint="eastAsia"/>
          <w:spacing w:val="12"/>
          <w:lang w:eastAsia="zh-CN"/>
        </w:rPr>
        <w:t>外盘持仓方面：截至</w:t>
      </w:r>
      <w:r w:rsidRPr="005C57E7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5C57E7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5C57E7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5C57E7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5C57E7">
        <w:rPr>
          <w:rFonts w:ascii="微软雅黑" w:eastAsia="微软雅黑" w:hAnsi="微软雅黑" w:cs="微软雅黑"/>
          <w:spacing w:val="12"/>
          <w:lang w:eastAsia="zh-CN"/>
        </w:rPr>
        <w:t>SPDR Gold Trust</w:t>
      </w:r>
      <w:r w:rsidRPr="005C57E7">
        <w:rPr>
          <w:rFonts w:ascii="微软雅黑" w:eastAsia="微软雅黑" w:hAnsi="微软雅黑" w:cs="微软雅黑" w:hint="eastAsia"/>
          <w:spacing w:val="12"/>
          <w:lang w:eastAsia="zh-CN"/>
        </w:rPr>
        <w:t>黄金</w:t>
      </w:r>
      <w:r w:rsidRPr="005C57E7">
        <w:rPr>
          <w:rFonts w:ascii="微软雅黑" w:eastAsia="微软雅黑" w:hAnsi="微软雅黑" w:cs="微软雅黑"/>
          <w:spacing w:val="12"/>
          <w:lang w:eastAsia="zh-CN"/>
        </w:rPr>
        <w:t>ETF</w:t>
      </w:r>
      <w:r w:rsidRPr="005C57E7">
        <w:rPr>
          <w:rFonts w:ascii="微软雅黑" w:eastAsia="微软雅黑" w:hAnsi="微软雅黑" w:cs="微软雅黑" w:hint="eastAsia"/>
          <w:spacing w:val="12"/>
          <w:lang w:eastAsia="zh-CN"/>
        </w:rPr>
        <w:t>持仓量为</w:t>
      </w:r>
      <w:r w:rsidRPr="005C57E7">
        <w:rPr>
          <w:rFonts w:ascii="微软雅黑" w:eastAsia="微软雅黑" w:hAnsi="微软雅黑" w:cs="微软雅黑"/>
          <w:spacing w:val="12"/>
          <w:lang w:eastAsia="zh-CN"/>
        </w:rPr>
        <w:t>866.18</w:t>
      </w:r>
      <w:r w:rsidRPr="005C57E7">
        <w:rPr>
          <w:rFonts w:ascii="微软雅黑" w:eastAsia="微软雅黑" w:hAnsi="微软雅黑" w:cs="微软雅黑" w:hint="eastAsia"/>
          <w:spacing w:val="12"/>
          <w:lang w:eastAsia="zh-CN"/>
        </w:rPr>
        <w:t>吨，较上一交易日持平。</w:t>
      </w:r>
    </w:p>
    <w:p w:rsidR="0039436B" w:rsidRPr="005C57E7" w:rsidRDefault="005C57E7" w:rsidP="005C57E7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5C57E7">
        <w:rPr>
          <w:rFonts w:ascii="微软雅黑" w:eastAsia="微软雅黑" w:hAnsi="微软雅黑" w:cs="微软雅黑" w:hint="eastAsia"/>
          <w:spacing w:val="12"/>
          <w:lang w:eastAsia="zh-CN"/>
        </w:rPr>
        <w:t>往后看，中长期就业市场走弱及通胀放缓趋势不变，未来市场或持续下调年内利率预期，贵金属价格或持续得到提振。操作上建议，日内</w:t>
      </w:r>
      <w:proofErr w:type="gramStart"/>
      <w:r w:rsidRPr="005C57E7">
        <w:rPr>
          <w:rFonts w:ascii="微软雅黑" w:eastAsia="微软雅黑" w:hAnsi="微软雅黑" w:cs="微软雅黑" w:hint="eastAsia"/>
          <w:spacing w:val="12"/>
          <w:lang w:eastAsia="zh-CN"/>
        </w:rPr>
        <w:t>轻仓做多</w:t>
      </w:r>
      <w:proofErr w:type="gramEnd"/>
      <w:r w:rsidRPr="005C57E7">
        <w:rPr>
          <w:rFonts w:ascii="微软雅黑" w:eastAsia="微软雅黑" w:hAnsi="微软雅黑" w:cs="微软雅黑" w:hint="eastAsia"/>
          <w:spacing w:val="12"/>
          <w:lang w:eastAsia="zh-CN"/>
        </w:rPr>
        <w:t>，请投资者注意风险控制。</w:t>
      </w:r>
    </w:p>
    <w:p w:rsidR="009372C5" w:rsidRDefault="00115A1A" w:rsidP="0039436B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B91BEA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6：COMEX黄金日线走势图</w:t>
      </w:r>
    </w:p>
    <w:p w:rsidR="009372C5" w:rsidRDefault="005C57E7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bookmarkStart w:id="0" w:name="_GoBack"/>
      <w:r>
        <w:rPr>
          <w:noProof/>
        </w:rPr>
        <w:drawing>
          <wp:inline distT="0" distB="0" distL="114300" distR="114300" wp14:anchorId="3AAAD773" wp14:editId="47181D82">
            <wp:extent cx="6003290" cy="17240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11640" cy="172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:rsidR="009372C5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lastRenderedPageBreak/>
        <w:t>原油</w:t>
      </w:r>
    </w:p>
    <w:p w:rsidR="00F95495" w:rsidRPr="00F95495" w:rsidRDefault="000A2EA5" w:rsidP="00F95495">
      <w:pPr>
        <w:spacing w:before="103" w:line="256" w:lineRule="auto"/>
        <w:ind w:right="743" w:firstLineChars="20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0A2EA5">
        <w:rPr>
          <w:rFonts w:ascii="微软雅黑" w:eastAsia="微软雅黑" w:hAnsi="微软雅黑" w:cs="微软雅黑" w:hint="eastAsia"/>
          <w:spacing w:val="7"/>
          <w:lang w:eastAsia="zh-CN"/>
        </w:rPr>
        <w:t>美国</w:t>
      </w:r>
      <w:r w:rsidRPr="000A2EA5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0A2EA5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0A2EA5">
        <w:rPr>
          <w:rFonts w:ascii="微软雅黑" w:eastAsia="微软雅黑" w:hAnsi="微软雅黑" w:cs="微软雅黑"/>
          <w:spacing w:val="7"/>
          <w:lang w:eastAsia="zh-CN"/>
        </w:rPr>
        <w:t>PPI</w:t>
      </w:r>
      <w:r w:rsidRPr="000A2EA5">
        <w:rPr>
          <w:rFonts w:ascii="微软雅黑" w:eastAsia="微软雅黑" w:hAnsi="微软雅黑" w:cs="微软雅黑" w:hint="eastAsia"/>
          <w:spacing w:val="7"/>
          <w:lang w:eastAsia="zh-CN"/>
        </w:rPr>
        <w:t>显示通胀降温，上周初请失业救济金人数上升，美联储</w:t>
      </w:r>
      <w:r w:rsidRPr="000A2EA5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0A2EA5">
        <w:rPr>
          <w:rFonts w:ascii="微软雅黑" w:eastAsia="微软雅黑" w:hAnsi="微软雅黑" w:cs="微软雅黑" w:hint="eastAsia"/>
          <w:spacing w:val="7"/>
          <w:lang w:eastAsia="zh-CN"/>
        </w:rPr>
        <w:t>月降息</w:t>
      </w:r>
      <w:r w:rsidRPr="000A2EA5">
        <w:rPr>
          <w:rFonts w:ascii="微软雅黑" w:eastAsia="微软雅黑" w:hAnsi="微软雅黑" w:cs="微软雅黑"/>
          <w:spacing w:val="7"/>
          <w:lang w:eastAsia="zh-CN"/>
        </w:rPr>
        <w:t>25</w:t>
      </w:r>
      <w:r w:rsidRPr="000A2EA5">
        <w:rPr>
          <w:rFonts w:ascii="微软雅黑" w:eastAsia="微软雅黑" w:hAnsi="微软雅黑" w:cs="微软雅黑" w:hint="eastAsia"/>
          <w:spacing w:val="7"/>
          <w:lang w:eastAsia="zh-CN"/>
        </w:rPr>
        <w:t>个基点预期升温，美元指数小幅上升。欧佩克联盟将自愿减产措施延长至</w:t>
      </w:r>
      <w:r w:rsidRPr="000A2EA5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0A2EA5">
        <w:rPr>
          <w:rFonts w:ascii="微软雅黑" w:eastAsia="微软雅黑" w:hAnsi="微软雅黑" w:cs="微软雅黑" w:hint="eastAsia"/>
          <w:spacing w:val="7"/>
          <w:lang w:eastAsia="zh-CN"/>
        </w:rPr>
        <w:t>月底；以哈加沙停火谈判仍呈僵局，胡塞武装袭击红海油轮，中东地缘局势动荡反复；欧佩克</w:t>
      </w:r>
      <w:r w:rsidRPr="000A2EA5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0A2EA5">
        <w:rPr>
          <w:rFonts w:ascii="微软雅黑" w:eastAsia="微软雅黑" w:hAnsi="微软雅黑" w:cs="微软雅黑" w:hint="eastAsia"/>
          <w:spacing w:val="7"/>
          <w:lang w:eastAsia="zh-CN"/>
        </w:rPr>
        <w:t>月产量下降，多个产油国表示将进行补偿性减产，飓风</w:t>
      </w:r>
      <w:proofErr w:type="gramStart"/>
      <w:r w:rsidRPr="000A2EA5">
        <w:rPr>
          <w:rFonts w:ascii="微软雅黑" w:eastAsia="微软雅黑" w:hAnsi="微软雅黑" w:cs="微软雅黑" w:hint="eastAsia"/>
          <w:spacing w:val="7"/>
          <w:lang w:eastAsia="zh-CN"/>
        </w:rPr>
        <w:t>弗朗辛导致</w:t>
      </w:r>
      <w:proofErr w:type="gramEnd"/>
      <w:r w:rsidRPr="000A2EA5">
        <w:rPr>
          <w:rFonts w:ascii="微软雅黑" w:eastAsia="微软雅黑" w:hAnsi="微软雅黑" w:cs="微软雅黑" w:hint="eastAsia"/>
          <w:spacing w:val="7"/>
          <w:lang w:eastAsia="zh-CN"/>
        </w:rPr>
        <w:t>美国墨西哥湾约</w:t>
      </w:r>
      <w:r w:rsidRPr="000A2EA5">
        <w:rPr>
          <w:rFonts w:ascii="微软雅黑" w:eastAsia="微软雅黑" w:hAnsi="微软雅黑" w:cs="微软雅黑"/>
          <w:spacing w:val="7"/>
          <w:lang w:eastAsia="zh-CN"/>
        </w:rPr>
        <w:t>42%</w:t>
      </w:r>
      <w:r w:rsidRPr="000A2EA5">
        <w:rPr>
          <w:rFonts w:ascii="微软雅黑" w:eastAsia="微软雅黑" w:hAnsi="微软雅黑" w:cs="微软雅黑" w:hint="eastAsia"/>
          <w:spacing w:val="7"/>
          <w:lang w:eastAsia="zh-CN"/>
        </w:rPr>
        <w:t>的原油生产设施暂时关闭，影响原油供应，</w:t>
      </w:r>
      <w:r w:rsidRPr="000A2EA5">
        <w:rPr>
          <w:rFonts w:ascii="微软雅黑" w:eastAsia="微软雅黑" w:hAnsi="微软雅黑" w:cs="微软雅黑"/>
          <w:spacing w:val="7"/>
          <w:lang w:eastAsia="zh-CN"/>
        </w:rPr>
        <w:t>IEA</w:t>
      </w:r>
      <w:r w:rsidRPr="000A2EA5">
        <w:rPr>
          <w:rFonts w:ascii="微软雅黑" w:eastAsia="微软雅黑" w:hAnsi="微软雅黑" w:cs="微软雅黑" w:hint="eastAsia"/>
          <w:spacing w:val="7"/>
          <w:lang w:eastAsia="zh-CN"/>
        </w:rPr>
        <w:t>月报下调全球原油需求增幅预测，全球需求放缓忧虑压制市场，短线原油期价呈现宽幅整理。技术上，</w:t>
      </w:r>
      <w:r w:rsidRPr="000A2EA5">
        <w:rPr>
          <w:rFonts w:ascii="微软雅黑" w:eastAsia="微软雅黑" w:hAnsi="微软雅黑" w:cs="微软雅黑"/>
          <w:spacing w:val="7"/>
          <w:lang w:eastAsia="zh-CN"/>
        </w:rPr>
        <w:t>SC2411</w:t>
      </w:r>
      <w:r w:rsidRPr="000A2EA5">
        <w:rPr>
          <w:rFonts w:ascii="微软雅黑" w:eastAsia="微软雅黑" w:hAnsi="微软雅黑" w:cs="微软雅黑" w:hint="eastAsia"/>
          <w:spacing w:val="7"/>
          <w:lang w:eastAsia="zh-CN"/>
        </w:rPr>
        <w:t>合约重回</w:t>
      </w:r>
      <w:r w:rsidRPr="000A2EA5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0A2EA5">
        <w:rPr>
          <w:rFonts w:ascii="微软雅黑" w:eastAsia="微软雅黑" w:hAnsi="微软雅黑" w:cs="微软雅黑" w:hint="eastAsia"/>
          <w:spacing w:val="7"/>
          <w:lang w:eastAsia="zh-CN"/>
        </w:rPr>
        <w:t>关口，上方测试</w:t>
      </w:r>
      <w:r w:rsidRPr="000A2EA5">
        <w:rPr>
          <w:rFonts w:ascii="微软雅黑" w:eastAsia="微软雅黑" w:hAnsi="微软雅黑" w:cs="微软雅黑"/>
          <w:spacing w:val="7"/>
          <w:lang w:eastAsia="zh-CN"/>
        </w:rPr>
        <w:t>518</w:t>
      </w:r>
      <w:proofErr w:type="gramStart"/>
      <w:r w:rsidRPr="000A2EA5">
        <w:rPr>
          <w:rFonts w:ascii="微软雅黑" w:eastAsia="微软雅黑" w:hAnsi="微软雅黑" w:cs="微软雅黑" w:hint="eastAsia"/>
          <w:spacing w:val="7"/>
          <w:lang w:eastAsia="zh-CN"/>
        </w:rPr>
        <w:t>一</w:t>
      </w:r>
      <w:proofErr w:type="gramEnd"/>
      <w:r w:rsidRPr="000A2EA5">
        <w:rPr>
          <w:rFonts w:ascii="微软雅黑" w:eastAsia="微软雅黑" w:hAnsi="微软雅黑" w:cs="微软雅黑" w:hint="eastAsia"/>
          <w:spacing w:val="7"/>
          <w:lang w:eastAsia="zh-CN"/>
        </w:rPr>
        <w:t>线压力，短线呈现震荡反弹走势。操作上，建议短线交易为主。</w:t>
      </w:r>
    </w:p>
    <w:p w:rsidR="009372C5" w:rsidRDefault="00115A1A">
      <w:pPr>
        <w:spacing w:before="103" w:line="256" w:lineRule="auto"/>
        <w:ind w:right="743" w:firstLineChars="200" w:firstLine="448"/>
        <w:jc w:val="both"/>
        <w:rPr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图7</w:t>
      </w:r>
      <w:r w:rsidRPr="004A576C"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r w:rsidRPr="005D61F5">
        <w:rPr>
          <w:rFonts w:ascii="微软雅黑" w:eastAsia="微软雅黑" w:hAnsi="微软雅黑" w:cs="微软雅黑" w:hint="eastAsia"/>
          <w:spacing w:val="7"/>
          <w:lang w:eastAsia="zh-CN"/>
        </w:rPr>
        <w:t>原油（WTI）走</w:t>
      </w:r>
      <w:r w:rsidRPr="00307252">
        <w:rPr>
          <w:rFonts w:ascii="微软雅黑" w:eastAsia="微软雅黑" w:hAnsi="微软雅黑" w:cs="微软雅黑" w:hint="eastAsia"/>
          <w:spacing w:val="7"/>
          <w:lang w:eastAsia="zh-CN"/>
        </w:rPr>
        <w:t>势图</w:t>
      </w:r>
    </w:p>
    <w:p w:rsidR="009372C5" w:rsidRDefault="009D7E08">
      <w:pPr>
        <w:spacing w:before="103" w:line="256" w:lineRule="auto"/>
        <w:ind w:right="743"/>
        <w:jc w:val="both"/>
      </w:pPr>
      <w:r>
        <w:rPr>
          <w:noProof/>
          <w:lang w:eastAsia="zh-CN"/>
        </w:rPr>
        <w:drawing>
          <wp:inline distT="0" distB="0" distL="0" distR="0" wp14:anchorId="7ACC64A9" wp14:editId="0E3EA6DA">
            <wp:extent cx="6083935" cy="21907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3539" cy="219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:rsidR="00DB753E" w:rsidRDefault="00DB753E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5432AF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ICE原糖</w:t>
      </w:r>
      <w:bookmarkStart w:id="1" w:name="OLE_LINK4"/>
      <w:bookmarkStart w:id="2" w:name="OLE_LINK3"/>
    </w:p>
    <w:bookmarkEnd w:id="1"/>
    <w:bookmarkEnd w:id="2"/>
    <w:p w:rsidR="005D5DCE" w:rsidRPr="005D5DCE" w:rsidRDefault="005D5DCE" w:rsidP="005D5DCE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洲际期货交易所（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ICE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）原糖期货周四上涨，此前巴西产量数据不佳。交投最活跃的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ICE 10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月原糖期货合约</w:t>
      </w:r>
      <w:proofErr w:type="gramStart"/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收盘收</w:t>
      </w:r>
      <w:proofErr w:type="gramEnd"/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涨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0.34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美分或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1.80%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，结算价每磅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19.07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美分。</w:t>
      </w:r>
    </w:p>
    <w:p w:rsidR="005D5DCE" w:rsidRPr="005D5DCE" w:rsidRDefault="005D5DCE" w:rsidP="005D5DCE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5D5DCE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月上半月压榨数据公布，产糖量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311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万吨，低于市场预期。加之国际糖业组织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ISO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预测显示，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2024/25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年度全球食糖供需缺口为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358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万吨，市场预期巴西糖产量下滑，继续调整供需缺口。不过当前巴西供应仍处于高峰期，原糖价格继续反弹空间或有限。</w:t>
      </w:r>
    </w:p>
    <w:p w:rsidR="009372C5" w:rsidRDefault="005D5DCE" w:rsidP="005D5DCE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proofErr w:type="gramStart"/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美糖主力</w:t>
      </w:r>
      <w:proofErr w:type="gramEnd"/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价格关注上方压力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20.5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磅，下方支撑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17.50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磅。建议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 xml:space="preserve"> ICE </w:t>
      </w:r>
      <w:proofErr w:type="gramStart"/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期糖短期</w:t>
      </w:r>
      <w:proofErr w:type="gramEnd"/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观望。</w:t>
      </w:r>
    </w:p>
    <w:p w:rsidR="009372C5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val="zh-CN" w:eastAsia="zh-CN"/>
        </w:rPr>
        <w:t>图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8：</w:t>
      </w:r>
      <w:r w:rsidR="005432AF">
        <w:rPr>
          <w:rFonts w:ascii="微软雅黑" w:eastAsia="微软雅黑" w:hAnsi="微软雅黑" w:cs="微软雅黑" w:hint="eastAsia"/>
          <w:spacing w:val="7"/>
          <w:lang w:eastAsia="zh-CN"/>
        </w:rPr>
        <w:t>ICE原糖</w:t>
      </w:r>
      <w:r w:rsidR="005432AF">
        <w:rPr>
          <w:rFonts w:ascii="微软雅黑" w:eastAsia="微软雅黑" w:hAnsi="微软雅黑" w:cs="微软雅黑" w:hint="eastAsia"/>
          <w:spacing w:val="7"/>
          <w:lang w:val="zh-CN" w:eastAsia="zh-CN"/>
        </w:rPr>
        <w:t>期货主力合约日走势图</w:t>
      </w:r>
    </w:p>
    <w:p w:rsidR="009372C5" w:rsidRDefault="005D5DCE">
      <w:pPr>
        <w:kinsoku/>
        <w:autoSpaceDE/>
        <w:autoSpaceDN/>
        <w:adjustRightInd/>
        <w:snapToGrid/>
        <w:textAlignment w:val="auto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>
            <wp:extent cx="6086475" cy="2227297"/>
            <wp:effectExtent l="0" t="0" r="0" b="1905"/>
            <wp:docPr id="2" name="图片 2" descr="QQ20240913-08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7" descr="QQ20240913-08034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972" cy="222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:rsidR="00E1325C" w:rsidRDefault="00E1325C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:rsidR="009372C5" w:rsidRDefault="005432AF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5432AF"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 w:rsidRPr="005432A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:rsidR="005D5DCE" w:rsidRPr="005D5DCE" w:rsidRDefault="005D5DCE" w:rsidP="005D5DCE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洲际交易所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(ICE)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棉花期货周四上涨，因</w:t>
      </w:r>
      <w:proofErr w:type="gramStart"/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美农报告</w:t>
      </w:r>
      <w:proofErr w:type="gramEnd"/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下调美国和全球棉花产量和期末库存预估。交投最活跃的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ICE 12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Start"/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期棉收</w:t>
      </w:r>
      <w:proofErr w:type="gramEnd"/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涨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0.77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美分或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1.10%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proofErr w:type="gramStart"/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结算价报</w:t>
      </w:r>
      <w:proofErr w:type="gramEnd"/>
      <w:r w:rsidRPr="005D5DCE">
        <w:rPr>
          <w:rFonts w:ascii="微软雅黑" w:eastAsia="微软雅黑" w:hAnsi="微软雅黑" w:cs="微软雅黑"/>
          <w:spacing w:val="12"/>
          <w:lang w:eastAsia="zh-CN"/>
        </w:rPr>
        <w:t>70.83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磅。</w:t>
      </w:r>
    </w:p>
    <w:p w:rsidR="009372C5" w:rsidRDefault="005D5DCE" w:rsidP="005D5DCE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美国农业部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(USDA)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在每周作物生长报告中公布称，截至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2024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年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1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日当周，美国棉花优良率为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44%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，前一周为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40%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，上年同期为</w:t>
      </w:r>
      <w:r w:rsidRPr="005D5DCE">
        <w:rPr>
          <w:rFonts w:ascii="微软雅黑" w:eastAsia="微软雅黑" w:hAnsi="微软雅黑" w:cs="微软雅黑"/>
          <w:spacing w:val="12"/>
          <w:lang w:eastAsia="zh-CN"/>
        </w:rPr>
        <w:t>31%</w:t>
      </w:r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。当周美棉</w:t>
      </w:r>
      <w:proofErr w:type="gramStart"/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优良率环比</w:t>
      </w:r>
      <w:proofErr w:type="gramEnd"/>
      <w:r w:rsidRPr="005D5DCE">
        <w:rPr>
          <w:rFonts w:ascii="微软雅黑" w:eastAsia="微软雅黑" w:hAnsi="微软雅黑" w:cs="微软雅黑" w:hint="eastAsia"/>
          <w:spacing w:val="12"/>
          <w:lang w:eastAsia="zh-CN"/>
        </w:rPr>
        <w:t>回升，仍高于去年同期，作物生长相对较好。</w:t>
      </w:r>
    </w:p>
    <w:p w:rsidR="009372C5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color w:val="CE393F"/>
          <w:spacing w:val="8"/>
          <w:position w:val="2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val="zh-CN" w:eastAsia="zh-CN"/>
        </w:rPr>
        <w:t>图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9：</w:t>
      </w:r>
      <w:r w:rsidR="005432AF">
        <w:rPr>
          <w:rFonts w:ascii="微软雅黑" w:eastAsia="微软雅黑" w:hAnsi="微软雅黑" w:cs="微软雅黑" w:hint="eastAsia"/>
          <w:spacing w:val="7"/>
          <w:lang w:eastAsia="zh-CN"/>
        </w:rPr>
        <w:t>ICE棉花</w:t>
      </w:r>
      <w:r w:rsidR="005432AF">
        <w:rPr>
          <w:rFonts w:ascii="微软雅黑" w:eastAsia="微软雅黑" w:hAnsi="微软雅黑" w:cs="微软雅黑" w:hint="eastAsia"/>
          <w:spacing w:val="7"/>
          <w:lang w:val="zh-CN" w:eastAsia="zh-CN"/>
        </w:rPr>
        <w:t>期货主力合约日走势图</w:t>
      </w:r>
    </w:p>
    <w:p w:rsidR="009372C5" w:rsidRPr="002F3AE4" w:rsidRDefault="005D5DCE">
      <w:pPr>
        <w:spacing w:before="103" w:line="256" w:lineRule="auto"/>
        <w:ind w:right="743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6072375" cy="2514600"/>
            <wp:effectExtent l="0" t="0" r="5080" b="0"/>
            <wp:docPr id="3" name="图片 3" descr="QQ20240913-080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8" descr="QQ20240913-08035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096" cy="251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:rsidR="0039436B" w:rsidRDefault="0039436B" w:rsidP="008D07D2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val="zh-CN" w:eastAsia="zh-CN"/>
        </w:rPr>
      </w:pPr>
      <w:r>
        <w:rPr>
          <w:rFonts w:ascii="微软雅黑" w:eastAsia="微软雅黑" w:hAnsi="微软雅黑" w:cs="微软雅黑"/>
          <w:spacing w:val="7"/>
          <w:lang w:val="zh-CN" w:eastAsia="zh-CN"/>
        </w:rPr>
        <w:br w:type="page"/>
      </w:r>
    </w:p>
    <w:p w:rsidR="009D1E0F" w:rsidRDefault="009D1E0F" w:rsidP="008D07D2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val="zh-CN" w:eastAsia="zh-CN"/>
        </w:rPr>
      </w:pP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val="zh-CN" w:eastAsia="zh-CN"/>
        </w:rPr>
        <w:t>图</w:t>
      </w:r>
      <w:r>
        <w:rPr>
          <w:rFonts w:ascii="微软雅黑" w:eastAsia="微软雅黑" w:hAnsi="微软雅黑" w:cs="微软雅黑"/>
          <w:spacing w:val="7"/>
          <w:lang w:eastAsia="zh-CN"/>
        </w:rPr>
        <w:t>10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：美国总统大选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特朗普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与哈里斯民调支持率</w:t>
      </w:r>
    </w:p>
    <w:p w:rsidR="009372C5" w:rsidRDefault="00ED0BEB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noProof/>
          <w:snapToGrid/>
          <w:lang w:eastAsia="zh-CN"/>
        </w:rPr>
        <w:drawing>
          <wp:inline distT="0" distB="0" distL="0" distR="0" wp14:anchorId="7F977008" wp14:editId="4A31D858">
            <wp:extent cx="5962650" cy="2000414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7468" cy="200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>
        <w:rPr>
          <w:rFonts w:ascii="微软雅黑" w:eastAsia="微软雅黑" w:hAnsi="微软雅黑" w:cs="微软雅黑"/>
          <w:spacing w:val="7"/>
          <w:lang w:eastAsia="zh-CN"/>
        </w:rPr>
        <w:t>RealClearPolitics.com</w:t>
      </w:r>
    </w:p>
    <w:p w:rsidR="009372C5" w:rsidRDefault="009372C5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val="zh-CN" w:eastAsia="zh-CN"/>
        </w:rPr>
        <w:t>图</w:t>
      </w:r>
      <w:r>
        <w:rPr>
          <w:rFonts w:ascii="微软雅黑" w:eastAsia="微软雅黑" w:hAnsi="微软雅黑" w:cs="微软雅黑"/>
          <w:spacing w:val="7"/>
          <w:lang w:eastAsia="zh-CN"/>
        </w:rPr>
        <w:t>11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：美国总统大选国会选举共和党和民主党支持率</w:t>
      </w:r>
    </w:p>
    <w:p w:rsidR="009372C5" w:rsidRDefault="00ED0BEB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noProof/>
          <w:snapToGrid/>
          <w:lang w:eastAsia="zh-CN"/>
        </w:rPr>
        <w:drawing>
          <wp:inline distT="0" distB="0" distL="0" distR="0" wp14:anchorId="08EEF6C4" wp14:editId="226EAEAF">
            <wp:extent cx="5953125" cy="3905876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64335" cy="391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>
        <w:rPr>
          <w:rFonts w:ascii="微软雅黑" w:eastAsia="微软雅黑" w:hAnsi="微软雅黑" w:cs="微软雅黑"/>
          <w:spacing w:val="7"/>
          <w:lang w:eastAsia="zh-CN"/>
        </w:rPr>
        <w:t>RealClearPolitics.com</w:t>
      </w:r>
    </w:p>
    <w:p w:rsidR="00CD3F2A" w:rsidRDefault="00CD3F2A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/>
          <w:spacing w:val="7"/>
          <w:lang w:eastAsia="zh-CN"/>
        </w:rPr>
        <w:br w:type="page"/>
      </w:r>
    </w:p>
    <w:p w:rsidR="0050522A" w:rsidRDefault="0050522A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9372C5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9372C5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115A1A">
      <w:pPr>
        <w:spacing w:before="172" w:line="417" w:lineRule="exact"/>
        <w:ind w:firstLine="560"/>
        <w:rPr>
          <w:rFonts w:ascii="微软雅黑" w:eastAsia="微软雅黑" w:hAnsi="微软雅黑" w:cs="微软雅黑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:rsidR="009372C5" w:rsidRDefault="00115A1A">
      <w:pPr>
        <w:spacing w:before="63" w:line="193" w:lineRule="auto"/>
        <w:ind w:left="340" w:right="706" w:firstLine="372"/>
        <w:jc w:val="both"/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:rsidR="009372C5" w:rsidRDefault="00115A1A">
      <w:pPr>
        <w:spacing w:before="63" w:line="193" w:lineRule="auto"/>
        <w:ind w:left="340" w:right="706" w:firstLine="372"/>
        <w:jc w:val="both"/>
        <w:rPr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9372C5" w:rsidRDefault="00115A1A">
      <w:pPr>
        <w:spacing w:line="3052" w:lineRule="exact"/>
        <w:ind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9372C5">
      <w:pPr>
        <w:pStyle w:val="a3"/>
        <w:spacing w:line="371" w:lineRule="auto"/>
        <w:jc w:val="center"/>
      </w:pPr>
    </w:p>
    <w:p w:rsidR="009372C5" w:rsidRDefault="00115A1A">
      <w:pPr>
        <w:spacing w:before="103" w:line="191" w:lineRule="auto"/>
        <w:ind w:firstLine="508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:rsidR="009372C5" w:rsidRDefault="00115A1A">
      <w:pPr>
        <w:spacing w:before="233" w:line="175" w:lineRule="auto"/>
        <w:ind w:firstLine="500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:rsidR="009372C5" w:rsidRDefault="00115A1A">
      <w:pPr>
        <w:spacing w:before="258" w:line="190" w:lineRule="auto"/>
        <w:ind w:firstLine="532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客服邮箱： </w:t>
      </w:r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:rsidR="009372C5" w:rsidRDefault="00115A1A">
      <w:pPr>
        <w:spacing w:before="234" w:line="192" w:lineRule="auto"/>
        <w:ind w:firstLine="512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:rsidR="009372C5" w:rsidRDefault="00115A1A">
      <w:pPr>
        <w:spacing w:before="234" w:line="176" w:lineRule="auto"/>
        <w:ind w:firstLine="564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:rsidR="009372C5" w:rsidRDefault="00115A1A">
      <w:pPr>
        <w:spacing w:before="253" w:line="177" w:lineRule="auto"/>
        <w:ind w:firstLine="544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6"/>
      <w:footerReference w:type="default" r:id="rId27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7F2C" w:rsidRDefault="00D77F2C">
      <w:r>
        <w:separator/>
      </w:r>
    </w:p>
  </w:endnote>
  <w:endnote w:type="continuationSeparator" w:id="0">
    <w:p w:rsidR="00D77F2C" w:rsidRDefault="00D77F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2C5" w:rsidRDefault="00115A1A">
    <w:pPr>
      <w:pStyle w:val="a4"/>
      <w:ind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5C57E7">
                            <w:rPr>
                              <w:noProof/>
                              <w:sz w:val="28"/>
                              <w:szCs w:val="28"/>
                            </w:rPr>
                            <w:t>7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aHDhTYgIAABM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5C57E7">
                      <w:rPr>
                        <w:noProof/>
                        <w:sz w:val="28"/>
                        <w:szCs w:val="28"/>
                      </w:rPr>
                      <w:t>7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7F2C" w:rsidRDefault="00D77F2C">
      <w:r>
        <w:separator/>
      </w:r>
    </w:p>
  </w:footnote>
  <w:footnote w:type="continuationSeparator" w:id="0">
    <w:p w:rsidR="00D77F2C" w:rsidRDefault="00D77F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1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9RSYQIAAAoFAAAOAAAAZHJzL2Uyb0RvYy54bWysVE1uEzEU3iNxB8t7OmkRVRp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Dez1F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798B"/>
    <w:rsid w:val="00014D87"/>
    <w:rsid w:val="0001628C"/>
    <w:rsid w:val="00017EDD"/>
    <w:rsid w:val="00024574"/>
    <w:rsid w:val="00033BB5"/>
    <w:rsid w:val="00035942"/>
    <w:rsid w:val="00050CFF"/>
    <w:rsid w:val="00051B15"/>
    <w:rsid w:val="00054993"/>
    <w:rsid w:val="0005517D"/>
    <w:rsid w:val="00060769"/>
    <w:rsid w:val="00064BC6"/>
    <w:rsid w:val="000667A6"/>
    <w:rsid w:val="00070328"/>
    <w:rsid w:val="00072F2D"/>
    <w:rsid w:val="00073F83"/>
    <w:rsid w:val="000767B0"/>
    <w:rsid w:val="0007723D"/>
    <w:rsid w:val="000854BE"/>
    <w:rsid w:val="00091702"/>
    <w:rsid w:val="00094104"/>
    <w:rsid w:val="00097D7E"/>
    <w:rsid w:val="000A2EA5"/>
    <w:rsid w:val="000A43C7"/>
    <w:rsid w:val="000A785F"/>
    <w:rsid w:val="000B2865"/>
    <w:rsid w:val="000C024B"/>
    <w:rsid w:val="000C448C"/>
    <w:rsid w:val="000C5FCD"/>
    <w:rsid w:val="000F2E96"/>
    <w:rsid w:val="00104BEA"/>
    <w:rsid w:val="001072C6"/>
    <w:rsid w:val="001106DA"/>
    <w:rsid w:val="001113FA"/>
    <w:rsid w:val="001136D4"/>
    <w:rsid w:val="00115A1A"/>
    <w:rsid w:val="001177BF"/>
    <w:rsid w:val="0012299F"/>
    <w:rsid w:val="00123C21"/>
    <w:rsid w:val="00126F9A"/>
    <w:rsid w:val="001304A2"/>
    <w:rsid w:val="001312E0"/>
    <w:rsid w:val="001344EC"/>
    <w:rsid w:val="00135663"/>
    <w:rsid w:val="001357C4"/>
    <w:rsid w:val="00136308"/>
    <w:rsid w:val="001431C1"/>
    <w:rsid w:val="00143C3D"/>
    <w:rsid w:val="00145998"/>
    <w:rsid w:val="00151392"/>
    <w:rsid w:val="00151399"/>
    <w:rsid w:val="00153957"/>
    <w:rsid w:val="00154A99"/>
    <w:rsid w:val="001571D8"/>
    <w:rsid w:val="00160602"/>
    <w:rsid w:val="00161170"/>
    <w:rsid w:val="00162475"/>
    <w:rsid w:val="00166ADC"/>
    <w:rsid w:val="0018099E"/>
    <w:rsid w:val="00181D4B"/>
    <w:rsid w:val="0019366B"/>
    <w:rsid w:val="001A270F"/>
    <w:rsid w:val="001A33CE"/>
    <w:rsid w:val="001A37B9"/>
    <w:rsid w:val="001A38E1"/>
    <w:rsid w:val="001A3FA7"/>
    <w:rsid w:val="001A4594"/>
    <w:rsid w:val="001A6891"/>
    <w:rsid w:val="001B07DA"/>
    <w:rsid w:val="001C07A0"/>
    <w:rsid w:val="001C1BA8"/>
    <w:rsid w:val="001C4D7E"/>
    <w:rsid w:val="001C5971"/>
    <w:rsid w:val="001C6BEE"/>
    <w:rsid w:val="001D33C6"/>
    <w:rsid w:val="001E0DED"/>
    <w:rsid w:val="001F19ED"/>
    <w:rsid w:val="001F5873"/>
    <w:rsid w:val="001F5AD7"/>
    <w:rsid w:val="001F635C"/>
    <w:rsid w:val="001F6CFC"/>
    <w:rsid w:val="0020053E"/>
    <w:rsid w:val="0020092B"/>
    <w:rsid w:val="0020772A"/>
    <w:rsid w:val="002112AA"/>
    <w:rsid w:val="002140F5"/>
    <w:rsid w:val="00216CCD"/>
    <w:rsid w:val="00220006"/>
    <w:rsid w:val="00223327"/>
    <w:rsid w:val="0023048F"/>
    <w:rsid w:val="00232C2F"/>
    <w:rsid w:val="0023500F"/>
    <w:rsid w:val="00236717"/>
    <w:rsid w:val="00243413"/>
    <w:rsid w:val="00244725"/>
    <w:rsid w:val="00245B4A"/>
    <w:rsid w:val="002555E2"/>
    <w:rsid w:val="00257DA5"/>
    <w:rsid w:val="00262C5F"/>
    <w:rsid w:val="00263CA6"/>
    <w:rsid w:val="002640C5"/>
    <w:rsid w:val="00265E4D"/>
    <w:rsid w:val="00267E6D"/>
    <w:rsid w:val="0028035B"/>
    <w:rsid w:val="0029035C"/>
    <w:rsid w:val="002A226B"/>
    <w:rsid w:val="002C1437"/>
    <w:rsid w:val="002C3500"/>
    <w:rsid w:val="002C4D45"/>
    <w:rsid w:val="002D025F"/>
    <w:rsid w:val="002D743C"/>
    <w:rsid w:val="002E09B8"/>
    <w:rsid w:val="002E2398"/>
    <w:rsid w:val="002E6964"/>
    <w:rsid w:val="002F3AE4"/>
    <w:rsid w:val="002F5E03"/>
    <w:rsid w:val="003008B4"/>
    <w:rsid w:val="00301C72"/>
    <w:rsid w:val="003020F8"/>
    <w:rsid w:val="00303AE0"/>
    <w:rsid w:val="00306B08"/>
    <w:rsid w:val="00307252"/>
    <w:rsid w:val="003101C5"/>
    <w:rsid w:val="0031740A"/>
    <w:rsid w:val="00322591"/>
    <w:rsid w:val="0033158E"/>
    <w:rsid w:val="00345B22"/>
    <w:rsid w:val="003476C9"/>
    <w:rsid w:val="00347E74"/>
    <w:rsid w:val="0035249F"/>
    <w:rsid w:val="003541E5"/>
    <w:rsid w:val="00354223"/>
    <w:rsid w:val="00357C26"/>
    <w:rsid w:val="0036147E"/>
    <w:rsid w:val="00364B5D"/>
    <w:rsid w:val="00367E46"/>
    <w:rsid w:val="003711C6"/>
    <w:rsid w:val="00380D4C"/>
    <w:rsid w:val="003812E8"/>
    <w:rsid w:val="00382260"/>
    <w:rsid w:val="00382ABC"/>
    <w:rsid w:val="00387E18"/>
    <w:rsid w:val="00387F1E"/>
    <w:rsid w:val="0039196A"/>
    <w:rsid w:val="0039436B"/>
    <w:rsid w:val="00394C16"/>
    <w:rsid w:val="00397F61"/>
    <w:rsid w:val="003A0146"/>
    <w:rsid w:val="003A2867"/>
    <w:rsid w:val="003A32F7"/>
    <w:rsid w:val="003A7EC7"/>
    <w:rsid w:val="003C2FFD"/>
    <w:rsid w:val="003C3D25"/>
    <w:rsid w:val="003C4F4F"/>
    <w:rsid w:val="003C56B9"/>
    <w:rsid w:val="003D0C08"/>
    <w:rsid w:val="003D21ED"/>
    <w:rsid w:val="003D4B4A"/>
    <w:rsid w:val="003D543B"/>
    <w:rsid w:val="003E1480"/>
    <w:rsid w:val="003E3292"/>
    <w:rsid w:val="003F0F5C"/>
    <w:rsid w:val="003F2FC7"/>
    <w:rsid w:val="003F34C7"/>
    <w:rsid w:val="003F584B"/>
    <w:rsid w:val="00404E57"/>
    <w:rsid w:val="00404EFC"/>
    <w:rsid w:val="0040662E"/>
    <w:rsid w:val="0041303C"/>
    <w:rsid w:val="00413BB1"/>
    <w:rsid w:val="00413CAD"/>
    <w:rsid w:val="004165E1"/>
    <w:rsid w:val="004179BA"/>
    <w:rsid w:val="0042016F"/>
    <w:rsid w:val="00421423"/>
    <w:rsid w:val="00421C61"/>
    <w:rsid w:val="00423BF0"/>
    <w:rsid w:val="004302E0"/>
    <w:rsid w:val="00430790"/>
    <w:rsid w:val="0043483D"/>
    <w:rsid w:val="00434DFC"/>
    <w:rsid w:val="0044318F"/>
    <w:rsid w:val="0044483C"/>
    <w:rsid w:val="00445FE3"/>
    <w:rsid w:val="0045019C"/>
    <w:rsid w:val="004633AA"/>
    <w:rsid w:val="00465848"/>
    <w:rsid w:val="004702E6"/>
    <w:rsid w:val="00470BA8"/>
    <w:rsid w:val="0047361A"/>
    <w:rsid w:val="00474BF2"/>
    <w:rsid w:val="00475C38"/>
    <w:rsid w:val="004800A9"/>
    <w:rsid w:val="00484C55"/>
    <w:rsid w:val="0048502E"/>
    <w:rsid w:val="0049409E"/>
    <w:rsid w:val="00494509"/>
    <w:rsid w:val="004A3E91"/>
    <w:rsid w:val="004A4391"/>
    <w:rsid w:val="004A576C"/>
    <w:rsid w:val="004A6D5F"/>
    <w:rsid w:val="004A6F01"/>
    <w:rsid w:val="004A70EA"/>
    <w:rsid w:val="004B1974"/>
    <w:rsid w:val="004B236D"/>
    <w:rsid w:val="004C17D1"/>
    <w:rsid w:val="004C1E6F"/>
    <w:rsid w:val="004C6A7C"/>
    <w:rsid w:val="004D0ED4"/>
    <w:rsid w:val="004D107A"/>
    <w:rsid w:val="004D1B98"/>
    <w:rsid w:val="004D3D14"/>
    <w:rsid w:val="004E0863"/>
    <w:rsid w:val="004E2B5C"/>
    <w:rsid w:val="004E3ED0"/>
    <w:rsid w:val="004E4B78"/>
    <w:rsid w:val="004E69F8"/>
    <w:rsid w:val="004F0E48"/>
    <w:rsid w:val="004F43EA"/>
    <w:rsid w:val="004F5AAE"/>
    <w:rsid w:val="004F74A8"/>
    <w:rsid w:val="00502E1A"/>
    <w:rsid w:val="00503381"/>
    <w:rsid w:val="0050522A"/>
    <w:rsid w:val="00507148"/>
    <w:rsid w:val="005108D0"/>
    <w:rsid w:val="005152A7"/>
    <w:rsid w:val="00516E4D"/>
    <w:rsid w:val="005202FB"/>
    <w:rsid w:val="005207F3"/>
    <w:rsid w:val="00521904"/>
    <w:rsid w:val="005334EE"/>
    <w:rsid w:val="005340E9"/>
    <w:rsid w:val="00534524"/>
    <w:rsid w:val="00534F09"/>
    <w:rsid w:val="00536FAC"/>
    <w:rsid w:val="0054186C"/>
    <w:rsid w:val="005432AF"/>
    <w:rsid w:val="005459F9"/>
    <w:rsid w:val="00547495"/>
    <w:rsid w:val="00551B08"/>
    <w:rsid w:val="0055304C"/>
    <w:rsid w:val="00575A07"/>
    <w:rsid w:val="00576E52"/>
    <w:rsid w:val="00583B82"/>
    <w:rsid w:val="0059047A"/>
    <w:rsid w:val="00593490"/>
    <w:rsid w:val="00594946"/>
    <w:rsid w:val="00595DB3"/>
    <w:rsid w:val="00595EF2"/>
    <w:rsid w:val="00596CB5"/>
    <w:rsid w:val="00597406"/>
    <w:rsid w:val="005A6DDA"/>
    <w:rsid w:val="005A76DF"/>
    <w:rsid w:val="005B1F3A"/>
    <w:rsid w:val="005B30EF"/>
    <w:rsid w:val="005B787D"/>
    <w:rsid w:val="005C2240"/>
    <w:rsid w:val="005C57E7"/>
    <w:rsid w:val="005C680A"/>
    <w:rsid w:val="005D5C2D"/>
    <w:rsid w:val="005D5DCE"/>
    <w:rsid w:val="005D61F5"/>
    <w:rsid w:val="005E12E7"/>
    <w:rsid w:val="005E2060"/>
    <w:rsid w:val="005F1EB2"/>
    <w:rsid w:val="005F4937"/>
    <w:rsid w:val="005F4A09"/>
    <w:rsid w:val="005F7926"/>
    <w:rsid w:val="005F7D1A"/>
    <w:rsid w:val="00606A48"/>
    <w:rsid w:val="00610DBF"/>
    <w:rsid w:val="006173ED"/>
    <w:rsid w:val="00617C6E"/>
    <w:rsid w:val="00622044"/>
    <w:rsid w:val="00624DBD"/>
    <w:rsid w:val="00626C1B"/>
    <w:rsid w:val="006272B9"/>
    <w:rsid w:val="00627473"/>
    <w:rsid w:val="00635F90"/>
    <w:rsid w:val="006378E2"/>
    <w:rsid w:val="00644AEE"/>
    <w:rsid w:val="00646C5A"/>
    <w:rsid w:val="0065002F"/>
    <w:rsid w:val="006536EA"/>
    <w:rsid w:val="00653C3C"/>
    <w:rsid w:val="00660E1C"/>
    <w:rsid w:val="00660EB1"/>
    <w:rsid w:val="00662AE9"/>
    <w:rsid w:val="00664DC3"/>
    <w:rsid w:val="00666346"/>
    <w:rsid w:val="006712DC"/>
    <w:rsid w:val="00673C7F"/>
    <w:rsid w:val="00676450"/>
    <w:rsid w:val="00677E3D"/>
    <w:rsid w:val="006811FA"/>
    <w:rsid w:val="00690127"/>
    <w:rsid w:val="00692D05"/>
    <w:rsid w:val="0069322E"/>
    <w:rsid w:val="00695F0D"/>
    <w:rsid w:val="00696F64"/>
    <w:rsid w:val="006A40E9"/>
    <w:rsid w:val="006B2C1F"/>
    <w:rsid w:val="006B7586"/>
    <w:rsid w:val="006C206E"/>
    <w:rsid w:val="006C281B"/>
    <w:rsid w:val="006C38CB"/>
    <w:rsid w:val="006C44DC"/>
    <w:rsid w:val="006C547F"/>
    <w:rsid w:val="006C5C56"/>
    <w:rsid w:val="006D1F97"/>
    <w:rsid w:val="006D29D1"/>
    <w:rsid w:val="006D540B"/>
    <w:rsid w:val="006E5991"/>
    <w:rsid w:val="006F1AC1"/>
    <w:rsid w:val="006F36C2"/>
    <w:rsid w:val="006F6899"/>
    <w:rsid w:val="00706D67"/>
    <w:rsid w:val="0071117C"/>
    <w:rsid w:val="00712E51"/>
    <w:rsid w:val="00727595"/>
    <w:rsid w:val="007344DF"/>
    <w:rsid w:val="00752F35"/>
    <w:rsid w:val="00753237"/>
    <w:rsid w:val="007563E6"/>
    <w:rsid w:val="00760A58"/>
    <w:rsid w:val="00761B29"/>
    <w:rsid w:val="00767046"/>
    <w:rsid w:val="00767196"/>
    <w:rsid w:val="007717E4"/>
    <w:rsid w:val="0077449D"/>
    <w:rsid w:val="00774769"/>
    <w:rsid w:val="00776B33"/>
    <w:rsid w:val="00777A80"/>
    <w:rsid w:val="00784B10"/>
    <w:rsid w:val="007A70F5"/>
    <w:rsid w:val="007A7159"/>
    <w:rsid w:val="007A768E"/>
    <w:rsid w:val="007B4B50"/>
    <w:rsid w:val="007C1292"/>
    <w:rsid w:val="007C6841"/>
    <w:rsid w:val="007D360D"/>
    <w:rsid w:val="007D4889"/>
    <w:rsid w:val="007E0D70"/>
    <w:rsid w:val="007E0DF7"/>
    <w:rsid w:val="007E38D3"/>
    <w:rsid w:val="007E4536"/>
    <w:rsid w:val="007F08A9"/>
    <w:rsid w:val="007F17B0"/>
    <w:rsid w:val="007F3EAB"/>
    <w:rsid w:val="00800C12"/>
    <w:rsid w:val="00810407"/>
    <w:rsid w:val="00812277"/>
    <w:rsid w:val="00813E5C"/>
    <w:rsid w:val="00816288"/>
    <w:rsid w:val="00822E53"/>
    <w:rsid w:val="0082432D"/>
    <w:rsid w:val="0083030D"/>
    <w:rsid w:val="00845F7E"/>
    <w:rsid w:val="00846EF5"/>
    <w:rsid w:val="008473AF"/>
    <w:rsid w:val="00853C1D"/>
    <w:rsid w:val="008577CC"/>
    <w:rsid w:val="00863DC4"/>
    <w:rsid w:val="008649CC"/>
    <w:rsid w:val="00865A5F"/>
    <w:rsid w:val="00866E7E"/>
    <w:rsid w:val="00870367"/>
    <w:rsid w:val="008708FE"/>
    <w:rsid w:val="008709D6"/>
    <w:rsid w:val="00872822"/>
    <w:rsid w:val="00876F9C"/>
    <w:rsid w:val="00880700"/>
    <w:rsid w:val="008813CF"/>
    <w:rsid w:val="0088229B"/>
    <w:rsid w:val="00885469"/>
    <w:rsid w:val="00885973"/>
    <w:rsid w:val="008861B7"/>
    <w:rsid w:val="008935E1"/>
    <w:rsid w:val="008977D3"/>
    <w:rsid w:val="008A22F1"/>
    <w:rsid w:val="008A6764"/>
    <w:rsid w:val="008B021F"/>
    <w:rsid w:val="008B5687"/>
    <w:rsid w:val="008B6408"/>
    <w:rsid w:val="008C13AB"/>
    <w:rsid w:val="008C1B74"/>
    <w:rsid w:val="008D07D2"/>
    <w:rsid w:val="008D145E"/>
    <w:rsid w:val="008D2C31"/>
    <w:rsid w:val="008D435F"/>
    <w:rsid w:val="008D4A14"/>
    <w:rsid w:val="008D5C6C"/>
    <w:rsid w:val="008D778A"/>
    <w:rsid w:val="008F35C2"/>
    <w:rsid w:val="008F419C"/>
    <w:rsid w:val="008F6863"/>
    <w:rsid w:val="00901D0A"/>
    <w:rsid w:val="00905AC1"/>
    <w:rsid w:val="00907E85"/>
    <w:rsid w:val="00911495"/>
    <w:rsid w:val="0091608D"/>
    <w:rsid w:val="00920750"/>
    <w:rsid w:val="00921A6B"/>
    <w:rsid w:val="009246BA"/>
    <w:rsid w:val="00925BA7"/>
    <w:rsid w:val="0092679A"/>
    <w:rsid w:val="0093187B"/>
    <w:rsid w:val="0093636F"/>
    <w:rsid w:val="009372C5"/>
    <w:rsid w:val="00937E8B"/>
    <w:rsid w:val="009407A7"/>
    <w:rsid w:val="00940B7C"/>
    <w:rsid w:val="00946893"/>
    <w:rsid w:val="00947F92"/>
    <w:rsid w:val="0096079E"/>
    <w:rsid w:val="009616B7"/>
    <w:rsid w:val="00964466"/>
    <w:rsid w:val="00967212"/>
    <w:rsid w:val="00980114"/>
    <w:rsid w:val="00980F12"/>
    <w:rsid w:val="00984CAE"/>
    <w:rsid w:val="00984E4F"/>
    <w:rsid w:val="00992791"/>
    <w:rsid w:val="00992C26"/>
    <w:rsid w:val="00994508"/>
    <w:rsid w:val="00996C14"/>
    <w:rsid w:val="00996DB6"/>
    <w:rsid w:val="00996E2D"/>
    <w:rsid w:val="009A17C9"/>
    <w:rsid w:val="009A4AC4"/>
    <w:rsid w:val="009A6ABA"/>
    <w:rsid w:val="009B354F"/>
    <w:rsid w:val="009C04AB"/>
    <w:rsid w:val="009C1622"/>
    <w:rsid w:val="009C730E"/>
    <w:rsid w:val="009D033E"/>
    <w:rsid w:val="009D11CA"/>
    <w:rsid w:val="009D1E0F"/>
    <w:rsid w:val="009D2143"/>
    <w:rsid w:val="009D7E08"/>
    <w:rsid w:val="009E1A4B"/>
    <w:rsid w:val="009E1B25"/>
    <w:rsid w:val="009E22BC"/>
    <w:rsid w:val="009E2BDD"/>
    <w:rsid w:val="009E35DC"/>
    <w:rsid w:val="009E77F1"/>
    <w:rsid w:val="009F3905"/>
    <w:rsid w:val="009F5BE1"/>
    <w:rsid w:val="009F64F4"/>
    <w:rsid w:val="00A006BA"/>
    <w:rsid w:val="00A03585"/>
    <w:rsid w:val="00A03F1D"/>
    <w:rsid w:val="00A065C3"/>
    <w:rsid w:val="00A165BA"/>
    <w:rsid w:val="00A17B09"/>
    <w:rsid w:val="00A22B03"/>
    <w:rsid w:val="00A23E6E"/>
    <w:rsid w:val="00A25AF9"/>
    <w:rsid w:val="00A2617C"/>
    <w:rsid w:val="00A32FCB"/>
    <w:rsid w:val="00A34125"/>
    <w:rsid w:val="00A350ED"/>
    <w:rsid w:val="00A352B0"/>
    <w:rsid w:val="00A358B0"/>
    <w:rsid w:val="00A370CD"/>
    <w:rsid w:val="00A42231"/>
    <w:rsid w:val="00A43364"/>
    <w:rsid w:val="00A437D3"/>
    <w:rsid w:val="00A4741C"/>
    <w:rsid w:val="00A4791F"/>
    <w:rsid w:val="00A50521"/>
    <w:rsid w:val="00A56867"/>
    <w:rsid w:val="00A569F4"/>
    <w:rsid w:val="00A6283C"/>
    <w:rsid w:val="00A63882"/>
    <w:rsid w:val="00A66AD4"/>
    <w:rsid w:val="00A67FA5"/>
    <w:rsid w:val="00A712BC"/>
    <w:rsid w:val="00A75923"/>
    <w:rsid w:val="00A76B56"/>
    <w:rsid w:val="00A76C2D"/>
    <w:rsid w:val="00A82150"/>
    <w:rsid w:val="00A86B50"/>
    <w:rsid w:val="00A94558"/>
    <w:rsid w:val="00AA03D7"/>
    <w:rsid w:val="00AA26D9"/>
    <w:rsid w:val="00AB5CA6"/>
    <w:rsid w:val="00AB6B3D"/>
    <w:rsid w:val="00AC579C"/>
    <w:rsid w:val="00AD128D"/>
    <w:rsid w:val="00AD4207"/>
    <w:rsid w:val="00AD4446"/>
    <w:rsid w:val="00AD650B"/>
    <w:rsid w:val="00AE061F"/>
    <w:rsid w:val="00AE11F4"/>
    <w:rsid w:val="00AE1886"/>
    <w:rsid w:val="00AE2365"/>
    <w:rsid w:val="00AE6648"/>
    <w:rsid w:val="00AF2CE4"/>
    <w:rsid w:val="00AF2D72"/>
    <w:rsid w:val="00AF335B"/>
    <w:rsid w:val="00AF39A3"/>
    <w:rsid w:val="00AF483B"/>
    <w:rsid w:val="00B025B9"/>
    <w:rsid w:val="00B038AC"/>
    <w:rsid w:val="00B042A9"/>
    <w:rsid w:val="00B04384"/>
    <w:rsid w:val="00B11817"/>
    <w:rsid w:val="00B1212E"/>
    <w:rsid w:val="00B1238C"/>
    <w:rsid w:val="00B13C07"/>
    <w:rsid w:val="00B154FA"/>
    <w:rsid w:val="00B264DC"/>
    <w:rsid w:val="00B33953"/>
    <w:rsid w:val="00B43C4B"/>
    <w:rsid w:val="00B46791"/>
    <w:rsid w:val="00B4699D"/>
    <w:rsid w:val="00B54085"/>
    <w:rsid w:val="00B54643"/>
    <w:rsid w:val="00B56CF5"/>
    <w:rsid w:val="00B621A7"/>
    <w:rsid w:val="00B6439F"/>
    <w:rsid w:val="00B67AFE"/>
    <w:rsid w:val="00B742BD"/>
    <w:rsid w:val="00B81E5A"/>
    <w:rsid w:val="00B84211"/>
    <w:rsid w:val="00B8630D"/>
    <w:rsid w:val="00B91BEA"/>
    <w:rsid w:val="00B9377A"/>
    <w:rsid w:val="00B94D04"/>
    <w:rsid w:val="00BA177E"/>
    <w:rsid w:val="00BA2512"/>
    <w:rsid w:val="00BA3362"/>
    <w:rsid w:val="00BB1618"/>
    <w:rsid w:val="00BB7A4D"/>
    <w:rsid w:val="00BC0F7B"/>
    <w:rsid w:val="00BC411C"/>
    <w:rsid w:val="00BC5393"/>
    <w:rsid w:val="00BC57CD"/>
    <w:rsid w:val="00BC6DF7"/>
    <w:rsid w:val="00BC7997"/>
    <w:rsid w:val="00BD368B"/>
    <w:rsid w:val="00BD501D"/>
    <w:rsid w:val="00BD55A4"/>
    <w:rsid w:val="00BD5B2D"/>
    <w:rsid w:val="00BD70AA"/>
    <w:rsid w:val="00BD7846"/>
    <w:rsid w:val="00BE52E6"/>
    <w:rsid w:val="00BF061C"/>
    <w:rsid w:val="00BF6C5D"/>
    <w:rsid w:val="00C03B35"/>
    <w:rsid w:val="00C0669C"/>
    <w:rsid w:val="00C06C5C"/>
    <w:rsid w:val="00C1018F"/>
    <w:rsid w:val="00C11A04"/>
    <w:rsid w:val="00C169A2"/>
    <w:rsid w:val="00C177F8"/>
    <w:rsid w:val="00C27AED"/>
    <w:rsid w:val="00C47281"/>
    <w:rsid w:val="00C54666"/>
    <w:rsid w:val="00C553E1"/>
    <w:rsid w:val="00C55668"/>
    <w:rsid w:val="00C60596"/>
    <w:rsid w:val="00C605A3"/>
    <w:rsid w:val="00C7013A"/>
    <w:rsid w:val="00C73CFC"/>
    <w:rsid w:val="00C7534F"/>
    <w:rsid w:val="00C7561D"/>
    <w:rsid w:val="00C77452"/>
    <w:rsid w:val="00C9438D"/>
    <w:rsid w:val="00C96482"/>
    <w:rsid w:val="00CA09F2"/>
    <w:rsid w:val="00CA0E28"/>
    <w:rsid w:val="00CA14E8"/>
    <w:rsid w:val="00CA2E8D"/>
    <w:rsid w:val="00CA2F92"/>
    <w:rsid w:val="00CA6717"/>
    <w:rsid w:val="00CA7281"/>
    <w:rsid w:val="00CA7EEA"/>
    <w:rsid w:val="00CB0281"/>
    <w:rsid w:val="00CB0D7B"/>
    <w:rsid w:val="00CB65C9"/>
    <w:rsid w:val="00CC0392"/>
    <w:rsid w:val="00CC1FE0"/>
    <w:rsid w:val="00CC4FBA"/>
    <w:rsid w:val="00CD04AA"/>
    <w:rsid w:val="00CD3F2A"/>
    <w:rsid w:val="00CD460D"/>
    <w:rsid w:val="00CE0260"/>
    <w:rsid w:val="00CE31FD"/>
    <w:rsid w:val="00CE3826"/>
    <w:rsid w:val="00CE6532"/>
    <w:rsid w:val="00CE72AE"/>
    <w:rsid w:val="00CE768D"/>
    <w:rsid w:val="00CF0201"/>
    <w:rsid w:val="00CF3FEB"/>
    <w:rsid w:val="00D04FED"/>
    <w:rsid w:val="00D05119"/>
    <w:rsid w:val="00D06B0E"/>
    <w:rsid w:val="00D07DA0"/>
    <w:rsid w:val="00D10BC5"/>
    <w:rsid w:val="00D110BB"/>
    <w:rsid w:val="00D118F9"/>
    <w:rsid w:val="00D13501"/>
    <w:rsid w:val="00D14CB7"/>
    <w:rsid w:val="00D151CD"/>
    <w:rsid w:val="00D1585D"/>
    <w:rsid w:val="00D202F1"/>
    <w:rsid w:val="00D20FBF"/>
    <w:rsid w:val="00D2107B"/>
    <w:rsid w:val="00D2577B"/>
    <w:rsid w:val="00D260A5"/>
    <w:rsid w:val="00D26C7A"/>
    <w:rsid w:val="00D27E91"/>
    <w:rsid w:val="00D316DC"/>
    <w:rsid w:val="00D348C5"/>
    <w:rsid w:val="00D40967"/>
    <w:rsid w:val="00D40F27"/>
    <w:rsid w:val="00D41DC2"/>
    <w:rsid w:val="00D42157"/>
    <w:rsid w:val="00D42F82"/>
    <w:rsid w:val="00D56D30"/>
    <w:rsid w:val="00D62D59"/>
    <w:rsid w:val="00D62F84"/>
    <w:rsid w:val="00D64D2D"/>
    <w:rsid w:val="00D7385F"/>
    <w:rsid w:val="00D755EA"/>
    <w:rsid w:val="00D756EC"/>
    <w:rsid w:val="00D77F2C"/>
    <w:rsid w:val="00D8106E"/>
    <w:rsid w:val="00D81F46"/>
    <w:rsid w:val="00D81F81"/>
    <w:rsid w:val="00D87184"/>
    <w:rsid w:val="00D87402"/>
    <w:rsid w:val="00D932FC"/>
    <w:rsid w:val="00D962FD"/>
    <w:rsid w:val="00D963D1"/>
    <w:rsid w:val="00D96EBE"/>
    <w:rsid w:val="00D979B0"/>
    <w:rsid w:val="00DA500C"/>
    <w:rsid w:val="00DA5348"/>
    <w:rsid w:val="00DB753E"/>
    <w:rsid w:val="00DC0CCB"/>
    <w:rsid w:val="00DC19CB"/>
    <w:rsid w:val="00DC3ABD"/>
    <w:rsid w:val="00DC623C"/>
    <w:rsid w:val="00DD4459"/>
    <w:rsid w:val="00DE0695"/>
    <w:rsid w:val="00DE3670"/>
    <w:rsid w:val="00DE665D"/>
    <w:rsid w:val="00DE7518"/>
    <w:rsid w:val="00DF144E"/>
    <w:rsid w:val="00DF1F4E"/>
    <w:rsid w:val="00DF50AC"/>
    <w:rsid w:val="00E023B4"/>
    <w:rsid w:val="00E05075"/>
    <w:rsid w:val="00E065A0"/>
    <w:rsid w:val="00E129AF"/>
    <w:rsid w:val="00E1325C"/>
    <w:rsid w:val="00E13F32"/>
    <w:rsid w:val="00E16FE2"/>
    <w:rsid w:val="00E21C10"/>
    <w:rsid w:val="00E237F2"/>
    <w:rsid w:val="00E25B98"/>
    <w:rsid w:val="00E270FA"/>
    <w:rsid w:val="00E31F47"/>
    <w:rsid w:val="00E33F13"/>
    <w:rsid w:val="00E36C07"/>
    <w:rsid w:val="00E4359D"/>
    <w:rsid w:val="00E43B52"/>
    <w:rsid w:val="00E442E6"/>
    <w:rsid w:val="00E46BD8"/>
    <w:rsid w:val="00E5045F"/>
    <w:rsid w:val="00E53526"/>
    <w:rsid w:val="00E540C4"/>
    <w:rsid w:val="00E54357"/>
    <w:rsid w:val="00E56235"/>
    <w:rsid w:val="00E64644"/>
    <w:rsid w:val="00E70307"/>
    <w:rsid w:val="00E72864"/>
    <w:rsid w:val="00E72B4B"/>
    <w:rsid w:val="00E74750"/>
    <w:rsid w:val="00E75C1E"/>
    <w:rsid w:val="00E7792A"/>
    <w:rsid w:val="00E8041A"/>
    <w:rsid w:val="00E86954"/>
    <w:rsid w:val="00EA3279"/>
    <w:rsid w:val="00EA3D98"/>
    <w:rsid w:val="00EA3E74"/>
    <w:rsid w:val="00EB121C"/>
    <w:rsid w:val="00EB3985"/>
    <w:rsid w:val="00EB6ED9"/>
    <w:rsid w:val="00EC510A"/>
    <w:rsid w:val="00EC5B78"/>
    <w:rsid w:val="00EC66F3"/>
    <w:rsid w:val="00EC7FA6"/>
    <w:rsid w:val="00ED0BEB"/>
    <w:rsid w:val="00ED44C1"/>
    <w:rsid w:val="00ED60B9"/>
    <w:rsid w:val="00ED7E78"/>
    <w:rsid w:val="00EE1744"/>
    <w:rsid w:val="00EE64DD"/>
    <w:rsid w:val="00EE72A7"/>
    <w:rsid w:val="00EF4DC8"/>
    <w:rsid w:val="00F01C2A"/>
    <w:rsid w:val="00F13913"/>
    <w:rsid w:val="00F15E85"/>
    <w:rsid w:val="00F17CFC"/>
    <w:rsid w:val="00F26190"/>
    <w:rsid w:val="00F26828"/>
    <w:rsid w:val="00F27DA4"/>
    <w:rsid w:val="00F35962"/>
    <w:rsid w:val="00F3674E"/>
    <w:rsid w:val="00F40EB7"/>
    <w:rsid w:val="00F45C72"/>
    <w:rsid w:val="00F50711"/>
    <w:rsid w:val="00F54538"/>
    <w:rsid w:val="00F5781B"/>
    <w:rsid w:val="00F66A99"/>
    <w:rsid w:val="00F80428"/>
    <w:rsid w:val="00F80C87"/>
    <w:rsid w:val="00F86514"/>
    <w:rsid w:val="00F95495"/>
    <w:rsid w:val="00F9621D"/>
    <w:rsid w:val="00F96282"/>
    <w:rsid w:val="00FA188D"/>
    <w:rsid w:val="00FA4922"/>
    <w:rsid w:val="00FB1336"/>
    <w:rsid w:val="00FB2769"/>
    <w:rsid w:val="00FC4600"/>
    <w:rsid w:val="00FC6E52"/>
    <w:rsid w:val="00FC700D"/>
    <w:rsid w:val="00FD2154"/>
    <w:rsid w:val="00FD4DE9"/>
    <w:rsid w:val="00FE509B"/>
    <w:rsid w:val="00FF3750"/>
    <w:rsid w:val="00FF3A02"/>
    <w:rsid w:val="00FF4602"/>
    <w:rsid w:val="00FF49E8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67D8DC0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pPr>
      <w:spacing w:before="252" w:line="170" w:lineRule="auto"/>
      <w:ind w:left="101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3FCB8E0-C7A5-405F-BB0F-30D1F9DFA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10</Pages>
  <Words>785</Words>
  <Characters>4476</Characters>
  <Application>Microsoft Office Word</Application>
  <DocSecurity>0</DocSecurity>
  <Lines>37</Lines>
  <Paragraphs>10</Paragraphs>
  <ScaleCrop>false</ScaleCrop>
  <Company/>
  <LinksUpToDate>false</LinksUpToDate>
  <CharactersWithSpaces>5251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许哲</cp:lastModifiedBy>
  <cp:revision>385</cp:revision>
  <cp:lastPrinted>2024-07-26T02:41:00Z</cp:lastPrinted>
  <dcterms:created xsi:type="dcterms:W3CDTF">2024-07-10T01:27:00Z</dcterms:created>
  <dcterms:modified xsi:type="dcterms:W3CDTF">2024-09-13T01:35:00Z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