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rect style="position:absolute;margin-left:0pt;margin-top:-.000031pt;width:720pt;height:405pt;mso-position-horizontal-relative:page;mso-position-vertical-relative:page;z-index:-15884288" id="docshape1" filled="true" fillcolor="#e32d44" stroked="false">
            <v:fill opacity="56283f" type="solid"/>
            <w10:wrap type="none"/>
          </v:rect>
        </w:pict>
      </w:r>
      <w:r>
        <w:rPr/>
        <w:pict>
          <v:group style="position:absolute;margin-left:.000011pt;margin-top:5.161pt;width:720pt;height:399.85pt;mso-position-horizontal-relative:page;mso-position-vertical-relative:page;z-index:15729152" id="docshapegroup2" coordorigin="0,103" coordsize="14400,7997">
            <v:shape style="position:absolute;left:0;top:3564;width:14400;height:4536" type="#_x0000_t75" id="docshape3" stroked="false">
              <v:imagedata r:id="rId5" o:title=""/>
            </v:shape>
            <v:shape style="position:absolute;left:1552;top:3297;width:4451;height:571" type="#_x0000_t75" id="docshape4" stroked="false">
              <v:imagedata r:id="rId6" o:title=""/>
            </v:shape>
            <v:shape style="position:absolute;left:988;top:1641;width:7840;height:2114" type="#_x0000_t75" id="docshape5" stroked="false">
              <v:imagedata r:id="rId7" o:title=""/>
            </v:shape>
            <v:shape style="position:absolute;left:1701;top:4204;width:7391;height:309" type="#_x0000_t75" id="docshape6" stroked="false">
              <v:imagedata r:id="rId8" o:title=""/>
            </v:shape>
            <v:shape style="position:absolute;left:1692;top:4999;width:5285;height:500" type="#_x0000_t75" id="docshape7" stroked="false">
              <v:imagedata r:id="rId9" o:title=""/>
            </v:shape>
            <v:shape style="position:absolute;left:1984;top:4929;width:4360;height:659" type="#_x0000_t75" id="docshape8" stroked="false">
              <v:imagedata r:id="rId10" o:title=""/>
            </v:shape>
            <v:shape style="position:absolute;left:10024;top:1418;width:3993;height:1576" type="#_x0000_t75" id="docshape9" stroked="false">
              <v:imagedata r:id="rId11" o:title=""/>
            </v:shape>
            <v:shape style="position:absolute;left:10036;top:103;width:3965;height:1553" type="#_x0000_t75" id="docshape10" stroked="false">
              <v:imagedata r:id="rId12" o:title=""/>
            </v:shape>
            <v:shape style="position:absolute;left:10176;top:220;width:3694;height:1325" type="#_x0000_t75" id="docshape11" stroked="false">
              <v:imagedata r:id="rId13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4400" w:h="8100" w:orient="landscape"/>
          <w:pgMar w:top="900" w:bottom="280" w:left="40" w:right="20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headerReference w:type="default" r:id="rId14"/>
          <w:pgSz w:w="14400" w:h="8100" w:orient="landscape"/>
          <w:pgMar w:header="264" w:footer="0" w:top="840" w:bottom="0" w:left="40" w:right="200"/>
        </w:sectPr>
      </w:pPr>
    </w:p>
    <w:p>
      <w:pPr>
        <w:pStyle w:val="Heading1"/>
        <w:spacing w:line="546" w:lineRule="exact"/>
        <w:jc w:val="right"/>
      </w:pPr>
      <w:r>
        <w:rPr/>
        <w:pict>
          <v:group style="position:absolute;margin-left:180.360001pt;margin-top:2.148376pt;width:359.3pt;height:314.4pt;mso-position-horizontal-relative:page;mso-position-vertical-relative:paragraph;z-index:-15883264" id="docshapegroup15" coordorigin="3607,43" coordsize="7186,6288">
            <v:shape style="position:absolute;left:3935;top:560;width:6529;height:5770" type="#_x0000_t75" id="docshape16" stroked="false">
              <v:imagedata r:id="rId15" o:title=""/>
            </v:shape>
            <v:shape style="position:absolute;left:4176;top:42;width:5864;height:5864" type="#_x0000_t75" id="docshape17" stroked="false">
              <v:imagedata r:id="rId16" o:title=""/>
            </v:shape>
            <v:shape style="position:absolute;left:3607;top:342;width:7186;height:3852" id="docshape18" coordorigin="3607,343" coordsize="7186,3852" path="m4663,3336l4657,3258,4641,3183,4614,3113,4578,3048,4534,2989,4482,2937,4423,2893,4358,2857,4288,2830,4213,2813,4135,2808,4057,2813,3983,2830,3913,2857,3848,2893,3789,2937,3737,2989,3692,3048,3656,3113,3630,3183,3613,3258,3607,3336,3613,3414,3630,3488,3656,3558,3692,3623,3737,3682,3789,3734,3848,3779,3913,3815,3983,3841,4057,3858,4135,3864,4213,3858,4288,3841,4358,3815,4423,3779,4482,3734,4534,3682,4578,3623,4614,3558,4641,3488,4657,3414,4663,3336xm6014,871l6009,793,5992,718,5965,648,5929,583,5885,525,5833,472,5774,428,5709,392,5639,365,5564,349,5486,343,5408,349,5334,365,5264,392,5199,428,5140,472,5088,525,5043,583,5007,648,4981,718,4964,793,4958,871,4964,949,4981,1023,5007,1094,5043,1158,5088,1217,5140,1269,5199,1314,5264,1350,5334,1377,5408,1393,5486,1399,5564,1393,5639,1377,5709,1350,5774,1314,5833,1269,5885,1217,5929,1158,5965,1094,5992,1023,6009,949,6014,871xm8328,3032l8326,2956,8318,2881,8306,2807,8290,2735,8269,2665,8244,2596,8214,2530,8181,2466,8144,2404,8104,2345,8060,2289,8012,2236,7962,2185,7908,2138,7852,2094,7793,2053,7731,2016,7667,1983,7601,1954,7533,1929,7462,1908,7390,1891,7317,1879,7242,1872,7165,1869,7089,1872,7014,1879,6940,1891,6868,1908,6798,1929,6729,1954,6663,1983,6599,2016,6538,2053,6478,2094,6422,2138,6369,2185,6318,2236,6271,2289,6227,2345,6186,2404,6149,2466,6116,2530,6087,2596,6062,2665,6041,2735,6024,2807,6012,2881,6005,2956,6002,3032,6005,3109,6012,3184,6024,3257,6041,3329,6062,3400,6087,3468,6116,3534,6149,3598,6186,3660,6227,3719,6271,3775,6318,3829,6369,3879,6422,3927,6478,3971,6538,4011,6599,4048,6663,4081,6729,4111,6798,4136,6868,4157,6940,4173,7014,4185,7089,4192,7165,4195,7242,4192,7317,4185,7390,4173,7462,4157,7533,4136,7601,4111,7667,4081,7731,4048,7793,4011,7852,3971,7908,3927,7962,3879,8012,3829,8060,3775,8104,3719,8144,3660,8181,3598,8214,3534,8244,3468,8269,3400,8290,3329,8306,3257,8318,3184,8326,3109,8328,3032xm9427,871l9421,793,9405,718,9378,648,9342,583,9298,525,9246,472,9187,428,9122,392,9052,365,8977,349,8899,343,8821,349,8747,365,8677,392,8612,428,8553,472,8501,525,8456,583,8420,648,8394,718,8377,793,8371,871,8377,949,8394,1023,8420,1094,8456,1158,8501,1217,8553,1269,8612,1314,8677,1350,8747,1377,8821,1393,8899,1399,8977,1393,9052,1377,9122,1350,9187,1314,9246,1269,9298,1217,9342,1158,9378,1094,9405,1023,9421,949,9427,871xm10793,3336l10787,3258,10770,3183,10744,3113,10708,3048,10663,2989,10611,2937,10552,2893,10487,2857,10417,2830,10343,2813,10265,2808,10187,2813,10112,2830,10042,2857,9977,2893,9918,2937,9866,2989,9822,3048,9786,3113,9759,3183,9743,3258,9737,3336,9743,3414,9759,3488,9786,3558,9822,3623,9866,3682,9918,3734,9977,3779,10042,3815,10112,3841,10187,3858,10265,3864,10343,3858,10417,3841,10487,3815,10552,3779,10611,3734,10663,3682,10708,3623,10744,3558,10770,3488,10787,3414,10793,3336xe" filled="true" fillcolor="#c00000" stroked="false">
              <v:path arrowok="t"/>
              <v:fill type="solid"/>
            </v:shape>
            <w10:wrap type="none"/>
          </v:group>
        </w:pict>
      </w:r>
      <w:r>
        <w:rPr>
          <w:color w:val="404040"/>
          <w:spacing w:val="-5"/>
        </w:rPr>
        <w:t>农产品</w:t>
      </w:r>
    </w:p>
    <w:p>
      <w:pPr>
        <w:spacing w:line="430" w:lineRule="exact" w:before="0"/>
        <w:ind w:left="0" w:right="0" w:firstLine="0"/>
        <w:jc w:val="righ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1"/>
          <w:sz w:val="24"/>
        </w:rPr>
        <w:t>玉米、大豆、豆油、豆粕</w:t>
      </w:r>
    </w:p>
    <w:p>
      <w:pPr>
        <w:spacing w:line="437" w:lineRule="exact" w:before="0"/>
        <w:ind w:left="0" w:right="0" w:firstLine="0"/>
        <w:jc w:val="righ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z w:val="24"/>
        </w:rPr>
        <w:t>11号糖、2</w:t>
      </w:r>
      <w:r>
        <w:rPr>
          <w:rFonts w:ascii="Microsoft YaHei" w:eastAsia="Microsoft YaHei"/>
          <w:color w:val="404040"/>
          <w:spacing w:val="-4"/>
          <w:sz w:val="24"/>
        </w:rPr>
        <w:t>号棉花</w:t>
      </w:r>
    </w:p>
    <w:p>
      <w:pPr>
        <w:spacing w:line="240" w:lineRule="auto" w:before="9"/>
        <w:rPr>
          <w:rFonts w:ascii="Microsoft YaHei"/>
          <w:sz w:val="28"/>
        </w:rPr>
      </w:pPr>
      <w:r>
        <w:rPr/>
        <w:br w:type="column"/>
      </w:r>
      <w:r>
        <w:rPr>
          <w:rFonts w:ascii="Microsoft YaHei"/>
          <w:sz w:val="28"/>
        </w:rPr>
      </w:r>
    </w:p>
    <w:p>
      <w:pPr>
        <w:tabs>
          <w:tab w:pos="3896" w:val="left" w:leader="none"/>
        </w:tabs>
        <w:spacing w:before="0"/>
        <w:ind w:left="483" w:right="0" w:firstLine="0"/>
        <w:jc w:val="left"/>
        <w:rPr>
          <w:rFonts w:ascii="Microsoft YaHei"/>
          <w:b/>
          <w:sz w:val="36"/>
        </w:rPr>
      </w:pPr>
      <w:r>
        <w:rPr>
          <w:rFonts w:ascii="Microsoft YaHei"/>
          <w:b/>
          <w:color w:val="FFFFFF"/>
          <w:spacing w:val="-5"/>
          <w:sz w:val="36"/>
        </w:rPr>
        <w:t>02</w:t>
      </w:r>
      <w:r>
        <w:rPr>
          <w:rFonts w:ascii="Microsoft YaHei"/>
          <w:b/>
          <w:color w:val="FFFFFF"/>
          <w:sz w:val="36"/>
        </w:rPr>
        <w:tab/>
      </w:r>
      <w:r>
        <w:rPr>
          <w:rFonts w:ascii="Microsoft YaHei"/>
          <w:b/>
          <w:color w:val="FFFFFF"/>
          <w:spacing w:val="-5"/>
          <w:sz w:val="36"/>
        </w:rPr>
        <w:t>03</w:t>
      </w:r>
    </w:p>
    <w:p>
      <w:pPr>
        <w:spacing w:line="546" w:lineRule="exact" w:before="161"/>
        <w:ind w:left="469" w:right="0" w:firstLine="0"/>
        <w:jc w:val="left"/>
        <w:rPr>
          <w:rFonts w:ascii="Microsoft YaHei" w:eastAsia="Microsoft YaHei"/>
          <w:b/>
          <w:sz w:val="30"/>
        </w:rPr>
      </w:pPr>
      <w:r>
        <w:rPr/>
        <w:br w:type="column"/>
      </w:r>
      <w:r>
        <w:rPr>
          <w:rFonts w:ascii="Microsoft YaHei" w:eastAsia="Microsoft YaHei"/>
          <w:b/>
          <w:color w:val="404040"/>
          <w:spacing w:val="-6"/>
          <w:sz w:val="30"/>
        </w:rPr>
        <w:t>金属</w:t>
      </w:r>
    </w:p>
    <w:p>
      <w:pPr>
        <w:spacing w:line="435" w:lineRule="exact" w:before="0"/>
        <w:ind w:left="469" w:right="0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黄金、白银、铜</w:t>
      </w:r>
    </w:p>
    <w:p>
      <w:pPr>
        <w:spacing w:after="0" w:line="435" w:lineRule="exact"/>
        <w:jc w:val="left"/>
        <w:rPr>
          <w:rFonts w:ascii="Microsoft YaHei" w:eastAsia="Microsoft YaHei"/>
          <w:sz w:val="24"/>
        </w:rPr>
        <w:sectPr>
          <w:type w:val="continuous"/>
          <w:pgSz w:w="14400" w:h="8100" w:orient="landscape"/>
          <w:pgMar w:header="264" w:footer="0" w:top="900" w:bottom="280" w:left="40" w:right="200"/>
          <w:cols w:num="3" w:equalWidth="0">
            <w:col w:w="4700" w:space="40"/>
            <w:col w:w="4344" w:space="39"/>
            <w:col w:w="5037"/>
          </w:cols>
        </w:sectPr>
      </w:pPr>
    </w:p>
    <w:p>
      <w:pPr>
        <w:pStyle w:val="BodyText"/>
        <w:rPr>
          <w:rFonts w:ascii="Microsoft YaHei"/>
          <w:sz w:val="20"/>
        </w:rPr>
      </w:pPr>
    </w:p>
    <w:p>
      <w:pPr>
        <w:pStyle w:val="BodyText"/>
        <w:rPr>
          <w:rFonts w:ascii="Microsoft YaHei"/>
          <w:sz w:val="20"/>
        </w:rPr>
      </w:pPr>
    </w:p>
    <w:p>
      <w:pPr>
        <w:pStyle w:val="BodyText"/>
        <w:spacing w:before="9"/>
        <w:rPr>
          <w:rFonts w:ascii="Microsoft YaHei"/>
          <w:sz w:val="21"/>
        </w:rPr>
      </w:pPr>
    </w:p>
    <w:p>
      <w:pPr>
        <w:spacing w:after="0"/>
        <w:rPr>
          <w:rFonts w:ascii="Microsoft YaHei"/>
          <w:sz w:val="21"/>
        </w:rPr>
        <w:sectPr>
          <w:type w:val="continuous"/>
          <w:pgSz w:w="14400" w:h="8100" w:orient="landscape"/>
          <w:pgMar w:header="264" w:footer="0" w:top="900" w:bottom="280" w:left="40" w:right="200"/>
        </w:sectPr>
      </w:pPr>
    </w:p>
    <w:p>
      <w:pPr>
        <w:tabs>
          <w:tab w:pos="3871" w:val="left" w:leader="none"/>
        </w:tabs>
        <w:spacing w:line="163" w:lineRule="auto" w:before="252"/>
        <w:ind w:left="2715" w:right="0" w:firstLine="0"/>
        <w:jc w:val="left"/>
        <w:rPr>
          <w:rFonts w:ascii="Microsoft YaHei" w:eastAsia="Microsoft YaHei"/>
          <w:b/>
          <w:sz w:val="36"/>
        </w:rPr>
      </w:pPr>
      <w:r>
        <w:rPr>
          <w:rFonts w:ascii="Microsoft YaHei" w:eastAsia="Microsoft YaHei"/>
          <w:b/>
          <w:color w:val="404040"/>
          <w:spacing w:val="-2"/>
          <w:sz w:val="30"/>
        </w:rPr>
        <w:t>能</w:t>
      </w:r>
      <w:r>
        <w:rPr>
          <w:rFonts w:ascii="Microsoft YaHei" w:eastAsia="Microsoft YaHei"/>
          <w:b/>
          <w:color w:val="404040"/>
          <w:spacing w:val="-10"/>
          <w:sz w:val="30"/>
        </w:rPr>
        <w:t>源</w:t>
      </w:r>
      <w:r>
        <w:rPr>
          <w:rFonts w:ascii="Microsoft YaHei" w:eastAsia="Microsoft YaHei"/>
          <w:b/>
          <w:color w:val="404040"/>
          <w:sz w:val="30"/>
        </w:rPr>
        <w:tab/>
      </w:r>
      <w:r>
        <w:rPr>
          <w:rFonts w:ascii="Microsoft YaHei" w:eastAsia="Microsoft YaHei"/>
          <w:b/>
          <w:color w:val="FFFFFF"/>
          <w:spacing w:val="-5"/>
          <w:position w:val="-19"/>
          <w:sz w:val="36"/>
        </w:rPr>
        <w:t>01</w:t>
      </w:r>
    </w:p>
    <w:p>
      <w:pPr>
        <w:spacing w:line="320" w:lineRule="exact" w:before="0"/>
        <w:ind w:left="1423" w:right="0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WTI</w:t>
      </w:r>
      <w:r>
        <w:rPr>
          <w:rFonts w:ascii="Microsoft YaHei" w:eastAsia="Microsoft YaHei"/>
          <w:color w:val="404040"/>
          <w:spacing w:val="-4"/>
          <w:sz w:val="24"/>
        </w:rPr>
        <w:t>原油、天然气</w:t>
      </w:r>
    </w:p>
    <w:p>
      <w:pPr>
        <w:tabs>
          <w:tab w:pos="5071" w:val="right" w:leader="none"/>
        </w:tabs>
        <w:spacing w:before="7"/>
        <w:ind w:left="1423" w:right="0" w:firstLine="0"/>
        <w:jc w:val="left"/>
        <w:rPr>
          <w:rFonts w:ascii="Microsoft YaHei" w:eastAsia="Microsoft YaHei"/>
          <w:b/>
          <w:sz w:val="36"/>
        </w:rPr>
      </w:pPr>
      <w:r>
        <w:rPr/>
        <w:br w:type="column"/>
      </w:r>
      <w:r>
        <w:rPr>
          <w:rFonts w:ascii="Microsoft YaHei" w:eastAsia="Microsoft YaHei"/>
          <w:b/>
          <w:color w:val="FFFFFF"/>
          <w:spacing w:val="-2"/>
          <w:sz w:val="36"/>
        </w:rPr>
        <w:t>目</w:t>
      </w:r>
      <w:r>
        <w:rPr>
          <w:rFonts w:ascii="Microsoft YaHei" w:eastAsia="Microsoft YaHei"/>
          <w:b/>
          <w:color w:val="FFFFFF"/>
          <w:spacing w:val="-10"/>
          <w:sz w:val="36"/>
        </w:rPr>
        <w:t>录</w:t>
      </w:r>
      <w:r>
        <w:rPr>
          <w:rFonts w:ascii="Times New Roman" w:eastAsia="Times New Roman"/>
          <w:color w:val="FFFFFF"/>
          <w:sz w:val="36"/>
        </w:rPr>
        <w:tab/>
      </w:r>
      <w:r>
        <w:rPr>
          <w:rFonts w:ascii="Microsoft YaHei" w:eastAsia="Microsoft YaHei"/>
          <w:b/>
          <w:color w:val="FFFFFF"/>
          <w:spacing w:val="-5"/>
          <w:position w:val="-27"/>
          <w:sz w:val="36"/>
        </w:rPr>
        <w:t>04</w:t>
      </w:r>
    </w:p>
    <w:p>
      <w:pPr>
        <w:pStyle w:val="Heading1"/>
        <w:spacing w:before="164"/>
        <w:ind w:left="448"/>
      </w:pPr>
      <w:r>
        <w:rPr>
          <w:b w:val="0"/>
        </w:rPr>
        <w:br w:type="column"/>
      </w:r>
      <w:r>
        <w:rPr>
          <w:color w:val="404040"/>
          <w:spacing w:val="-4"/>
        </w:rPr>
        <w:t>汇率、利率</w:t>
      </w:r>
    </w:p>
    <w:p>
      <w:pPr>
        <w:spacing w:line="235" w:lineRule="auto" w:before="0"/>
        <w:ind w:left="448" w:right="581" w:firstLine="0"/>
        <w:jc w:val="left"/>
        <w:rPr>
          <w:rFonts w:ascii="Microsoft YaHei" w:eastAsia="Microsoft YaHei"/>
          <w:sz w:val="24"/>
        </w:rPr>
      </w:pPr>
      <w:r>
        <w:rPr>
          <w:rFonts w:ascii="Microsoft YaHei" w:eastAsia="Microsoft YaHei"/>
          <w:color w:val="404040"/>
          <w:spacing w:val="-2"/>
          <w:sz w:val="24"/>
        </w:rPr>
        <w:t>美元、英镑、日元、欧元</w:t>
      </w:r>
      <w:r>
        <w:rPr>
          <w:rFonts w:ascii="Microsoft YaHei" w:eastAsia="Microsoft YaHei"/>
          <w:color w:val="404040"/>
          <w:spacing w:val="-6"/>
          <w:sz w:val="24"/>
        </w:rPr>
        <w:t>美债</w:t>
      </w:r>
    </w:p>
    <w:p>
      <w:pPr>
        <w:spacing w:after="0" w:line="235" w:lineRule="auto"/>
        <w:jc w:val="left"/>
        <w:rPr>
          <w:rFonts w:ascii="Microsoft YaHei" w:eastAsia="Microsoft YaHei"/>
          <w:sz w:val="24"/>
        </w:rPr>
        <w:sectPr>
          <w:type w:val="continuous"/>
          <w:pgSz w:w="14400" w:h="8100" w:orient="landscape"/>
          <w:pgMar w:header="264" w:footer="0" w:top="900" w:bottom="280" w:left="40" w:right="200"/>
          <w:cols w:num="3" w:equalWidth="0">
            <w:col w:w="4359" w:space="1019"/>
            <w:col w:w="5072" w:space="39"/>
            <w:col w:w="3671"/>
          </w:cols>
        </w:sectPr>
      </w:pPr>
    </w:p>
    <w:p>
      <w:pPr>
        <w:pStyle w:val="BodyText"/>
        <w:spacing w:before="12"/>
        <w:rPr>
          <w:rFonts w:ascii="Microsoft YaHei"/>
          <w:sz w:val="15"/>
        </w:rPr>
      </w:pPr>
    </w:p>
    <w:p>
      <w:pPr>
        <w:pStyle w:val="BodyText"/>
        <w:ind w:left="216" w:right="-29"/>
        <w:rPr>
          <w:rFonts w:ascii="Microsoft YaHei"/>
          <w:sz w:val="20"/>
        </w:rPr>
      </w:pPr>
      <w:r>
        <w:rPr>
          <w:rFonts w:ascii="Microsoft YaHei"/>
          <w:sz w:val="20"/>
        </w:rPr>
        <w:drawing>
          <wp:inline distT="0" distB="0" distL="0" distR="0">
            <wp:extent cx="4230779" cy="2614612"/>
            <wp:effectExtent l="0" t="0" r="0" b="0"/>
            <wp:docPr id="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0779" cy="261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YaHei"/>
          <w:sz w:val="20"/>
        </w:rPr>
      </w:r>
    </w:p>
    <w:p>
      <w:pPr>
        <w:pStyle w:val="BodyText"/>
        <w:spacing w:before="5"/>
        <w:rPr>
          <w:rFonts w:ascii="Microsoft YaHei"/>
          <w:sz w:val="16"/>
        </w:rPr>
      </w:pPr>
    </w:p>
    <w:p>
      <w:pPr>
        <w:pStyle w:val="BodyText"/>
        <w:spacing w:line="156" w:lineRule="auto"/>
        <w:ind w:left="837" w:right="1083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:73152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0.04%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:56383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2.07%</w:t>
      </w:r>
    </w:p>
    <w:p>
      <w:pPr>
        <w:spacing w:line="240" w:lineRule="auto" w:before="8" w:after="25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ind w:left="216"/>
        <w:rPr>
          <w:sz w:val="20"/>
        </w:rPr>
      </w:pPr>
      <w:r>
        <w:rPr>
          <w:sz w:val="20"/>
        </w:rPr>
        <w:drawing>
          <wp:inline distT="0" distB="0" distL="0" distR="0">
            <wp:extent cx="4230826" cy="2619375"/>
            <wp:effectExtent l="0" t="0" r="0" b="0"/>
            <wp:docPr id="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0826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156" w:lineRule="auto" w:before="1"/>
        <w:ind w:left="748" w:right="1216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:285073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3.19%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:374425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2.08%</w:t>
      </w:r>
    </w:p>
    <w:p>
      <w:pPr>
        <w:spacing w:after="0" w:line="156" w:lineRule="auto"/>
        <w:sectPr>
          <w:headerReference w:type="default" r:id="rId17"/>
          <w:pgSz w:w="14400" w:h="8100" w:orient="landscape"/>
          <w:pgMar w:header="234" w:footer="0" w:top="780" w:bottom="280" w:left="40" w:right="200"/>
          <w:cols w:num="2" w:equalWidth="0">
            <w:col w:w="6898" w:space="208"/>
            <w:col w:w="705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after="0"/>
        <w:rPr>
          <w:sz w:val="21"/>
        </w:rPr>
        <w:sectPr>
          <w:headerReference w:type="default" r:id="rId20"/>
          <w:pgSz w:w="14400" w:h="8100" w:orient="landscape"/>
          <w:pgMar w:header="234" w:footer="0" w:top="780" w:bottom="0" w:left="40" w:right="200"/>
        </w:sectPr>
      </w:pPr>
    </w:p>
    <w:p>
      <w:pPr>
        <w:pStyle w:val="BodyText"/>
        <w:spacing w:line="156" w:lineRule="auto" w:before="147"/>
        <w:ind w:left="786" w:right="38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492251</wp:posOffset>
            </wp:positionH>
            <wp:positionV relativeFrom="paragraph">
              <wp:posOffset>-1854199</wp:posOffset>
            </wp:positionV>
            <wp:extent cx="3116580" cy="1932432"/>
            <wp:effectExtent l="0" t="0" r="0" b="0"/>
            <wp:wrapNone/>
            <wp:docPr id="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1932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:374820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9.47%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:67056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8.57%</w:t>
      </w:r>
    </w:p>
    <w:p>
      <w:pPr>
        <w:pStyle w:val="BodyText"/>
        <w:spacing w:line="156" w:lineRule="auto" w:before="147"/>
        <w:ind w:left="735" w:right="1034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:74714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26.92%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:18382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2.03%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200"/>
          <w:cols w:num="2" w:equalWidth="0">
            <w:col w:w="5915" w:space="1386"/>
            <w:col w:w="6859"/>
          </w:cols>
        </w:sectPr>
      </w:pPr>
    </w:p>
    <w:p>
      <w:pPr>
        <w:pStyle w:val="BodyText"/>
        <w:spacing w:before="9"/>
        <w:rPr>
          <w:sz w:val="5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5145023</wp:posOffset>
            </wp:positionH>
            <wp:positionV relativeFrom="page">
              <wp:posOffset>519683</wp:posOffset>
            </wp:positionV>
            <wp:extent cx="3122676" cy="1933956"/>
            <wp:effectExtent l="0" t="0" r="0" b="0"/>
            <wp:wrapNone/>
            <wp:docPr id="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2676" cy="1933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4445"/>
        <w:rPr>
          <w:sz w:val="20"/>
        </w:rPr>
      </w:pPr>
      <w:r>
        <w:rPr>
          <w:sz w:val="20"/>
        </w:rPr>
        <w:drawing>
          <wp:inline distT="0" distB="0" distL="0" distR="0">
            <wp:extent cx="3125230" cy="1934813"/>
            <wp:effectExtent l="0" t="0" r="0" b="0"/>
            <wp:docPr id="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5230" cy="1934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50" w:lineRule="exact"/>
        <w:ind w:left="2860" w:right="2737"/>
        <w:jc w:val="center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:79031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6.66%</w:t>
      </w:r>
      <w:r>
        <w:rPr>
          <w:color w:val="FF430D"/>
          <w:spacing w:val="67"/>
        </w:rPr>
        <w:t> 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:57764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3.73%</w:t>
      </w:r>
    </w:p>
    <w:p>
      <w:pPr>
        <w:spacing w:after="0" w:line="350" w:lineRule="exact"/>
        <w:jc w:val="center"/>
        <w:sectPr>
          <w:type w:val="continuous"/>
          <w:pgSz w:w="14400" w:h="8100" w:orient="landscape"/>
          <w:pgMar w:header="234" w:footer="0" w:top="900" w:bottom="280" w:left="40" w:right="2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</w:p>
    <w:p>
      <w:pPr>
        <w:tabs>
          <w:tab w:pos="7196" w:val="left" w:leader="none"/>
        </w:tabs>
        <w:spacing w:line="240" w:lineRule="auto"/>
        <w:ind w:left="620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3975527" cy="2457735"/>
            <wp:effectExtent l="0" t="0" r="0" b="0"/>
            <wp:docPr id="1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527" cy="245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3975211" cy="2462212"/>
            <wp:effectExtent l="0" t="0" r="0" b="0"/>
            <wp:docPr id="1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5211" cy="24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4"/>
        </w:rPr>
      </w:pPr>
    </w:p>
    <w:p>
      <w:pPr>
        <w:spacing w:after="0"/>
        <w:rPr>
          <w:sz w:val="14"/>
        </w:rPr>
        <w:sectPr>
          <w:headerReference w:type="default" r:id="rId24"/>
          <w:pgSz w:w="14400" w:h="8100" w:orient="landscape"/>
          <w:pgMar w:header="234" w:footer="0" w:top="780" w:bottom="280" w:left="40" w:right="200"/>
        </w:sectPr>
      </w:pPr>
    </w:p>
    <w:p>
      <w:pPr>
        <w:pStyle w:val="BodyText"/>
        <w:spacing w:line="334" w:lineRule="exact" w:before="45"/>
        <w:ind w:left="687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:96658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5.68%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:219732</w:t>
      </w:r>
    </w:p>
    <w:p>
      <w:pPr>
        <w:pStyle w:val="BodyText"/>
        <w:spacing w:line="334" w:lineRule="exact"/>
        <w:ind w:left="687"/>
      </w:pP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下跌</w:t>
      </w:r>
      <w:r>
        <w:rPr>
          <w:color w:val="34DF73"/>
          <w:spacing w:val="-4"/>
        </w:rPr>
        <w:t>1.78%</w:t>
      </w:r>
    </w:p>
    <w:p>
      <w:pPr>
        <w:pStyle w:val="BodyText"/>
        <w:spacing w:line="156" w:lineRule="auto" w:before="148"/>
        <w:ind w:left="648" w:right="1436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:131763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2.88%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:150166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5.48%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200"/>
          <w:cols w:num="2" w:equalWidth="0">
            <w:col w:w="6944" w:space="40"/>
            <w:col w:w="717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</w:p>
    <w:p>
      <w:pPr>
        <w:tabs>
          <w:tab w:pos="7428" w:val="left" w:leader="none"/>
        </w:tabs>
        <w:spacing w:line="240" w:lineRule="auto"/>
        <w:ind w:left="473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4055939" cy="2510028"/>
            <wp:effectExtent l="0" t="0" r="0" b="0"/>
            <wp:docPr id="1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939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4060299" cy="2514600"/>
            <wp:effectExtent l="0" t="0" r="0" b="0"/>
            <wp:docPr id="1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0299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5"/>
        </w:rPr>
      </w:pPr>
    </w:p>
    <w:p>
      <w:pPr>
        <w:spacing w:after="0"/>
        <w:rPr>
          <w:sz w:val="5"/>
        </w:rPr>
        <w:sectPr>
          <w:pgSz w:w="14400" w:h="8100" w:orient="landscape"/>
          <w:pgMar w:header="234" w:footer="0" w:top="780" w:bottom="280" w:left="40" w:right="200"/>
        </w:sectPr>
      </w:pPr>
    </w:p>
    <w:p>
      <w:pPr>
        <w:pStyle w:val="BodyText"/>
        <w:spacing w:line="156" w:lineRule="auto" w:before="136"/>
        <w:ind w:left="728" w:right="1095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:121062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3.58%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:82168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0.46%</w:t>
      </w:r>
    </w:p>
    <w:p>
      <w:pPr>
        <w:pStyle w:val="BodyText"/>
        <w:spacing w:line="156" w:lineRule="auto" w:before="136"/>
        <w:ind w:left="911" w:right="1202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:318541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环比下跌</w:t>
      </w:r>
      <w:r>
        <w:rPr>
          <w:color w:val="34DF73"/>
          <w:spacing w:val="-2"/>
        </w:rPr>
        <w:t>1.48%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:379269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2.86%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200"/>
          <w:cols w:num="2" w:equalWidth="0">
            <w:col w:w="6916" w:space="40"/>
            <w:col w:w="720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</w:p>
    <w:p>
      <w:pPr>
        <w:tabs>
          <w:tab w:pos="7260" w:val="left" w:leader="none"/>
        </w:tabs>
        <w:spacing w:line="240" w:lineRule="auto"/>
        <w:ind w:left="3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059671" cy="2510028"/>
            <wp:effectExtent l="0" t="0" r="0" b="0"/>
            <wp:docPr id="1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9671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4055126" cy="2510028"/>
            <wp:effectExtent l="0" t="0" r="0" b="0"/>
            <wp:docPr id="2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5126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2"/>
        <w:rPr>
          <w:sz w:val="5"/>
        </w:rPr>
      </w:pPr>
    </w:p>
    <w:p>
      <w:pPr>
        <w:spacing w:after="0"/>
        <w:rPr>
          <w:sz w:val="5"/>
        </w:rPr>
        <w:sectPr>
          <w:pgSz w:w="14400" w:h="8100" w:orient="landscape"/>
          <w:pgMar w:header="234" w:footer="0" w:top="780" w:bottom="280" w:left="40" w:right="200"/>
        </w:sectPr>
      </w:pPr>
    </w:p>
    <w:p>
      <w:pPr>
        <w:pStyle w:val="BodyText"/>
        <w:spacing w:line="156" w:lineRule="auto" w:before="147"/>
        <w:ind w:left="728" w:right="1025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:164791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6.43%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:98846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8.78%</w:t>
      </w:r>
    </w:p>
    <w:p>
      <w:pPr>
        <w:pStyle w:val="BodyText"/>
        <w:spacing w:line="156" w:lineRule="auto" w:before="147"/>
        <w:ind w:left="956" w:right="1224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:57182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10.16%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:79558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14.59%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200"/>
          <w:cols w:num="2" w:equalWidth="0">
            <w:col w:w="6845" w:space="43"/>
            <w:col w:w="7272"/>
          </w:cols>
        </w:sectPr>
      </w:pPr>
    </w:p>
    <w:p>
      <w:pPr>
        <w:pStyle w:val="BodyText"/>
        <w:spacing w:before="2"/>
        <w:rPr>
          <w:sz w:val="28"/>
        </w:rPr>
      </w:pPr>
    </w:p>
    <w:p>
      <w:pPr>
        <w:tabs>
          <w:tab w:pos="7172" w:val="left" w:leader="none"/>
        </w:tabs>
        <w:spacing w:line="240" w:lineRule="auto"/>
        <w:ind w:left="267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4060964" cy="2510028"/>
            <wp:effectExtent l="0" t="0" r="0" b="0"/>
            <wp:docPr id="2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0964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4062280" cy="2514600"/>
            <wp:effectExtent l="0" t="0" r="0" b="0"/>
            <wp:docPr id="2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228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31"/>
          <w:pgSz w:w="14400" w:h="8100" w:orient="landscape"/>
          <w:pgMar w:header="234" w:footer="0" w:top="780" w:bottom="280" w:left="40" w:right="200"/>
        </w:sectPr>
      </w:pPr>
    </w:p>
    <w:p>
      <w:pPr>
        <w:pStyle w:val="BodyText"/>
        <w:spacing w:line="156" w:lineRule="auto" w:before="105"/>
        <w:ind w:left="617" w:right="1021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:15897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50.50%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:14107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18.45%</w:t>
      </w:r>
    </w:p>
    <w:p>
      <w:pPr>
        <w:pStyle w:val="BodyText"/>
        <w:spacing w:line="156" w:lineRule="auto" w:before="105"/>
        <w:ind w:left="646" w:right="1406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:128276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环比下跌</w:t>
      </w:r>
      <w:r>
        <w:rPr>
          <w:color w:val="34DF73"/>
          <w:spacing w:val="-2"/>
        </w:rPr>
        <w:t>11.46%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:60471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21.93%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200"/>
          <w:cols w:num="2" w:equalWidth="0">
            <w:col w:w="6730" w:space="175"/>
            <w:col w:w="725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4"/>
        </w:rPr>
      </w:pPr>
    </w:p>
    <w:p>
      <w:pPr>
        <w:spacing w:line="240" w:lineRule="auto"/>
        <w:ind w:left="26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229533" cy="2619375"/>
            <wp:effectExtent l="0" t="0" r="0" b="0"/>
            <wp:docPr id="2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533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119"/>
          <w:sz w:val="20"/>
        </w:rPr>
        <w:t> </w:t>
      </w:r>
      <w:r>
        <w:rPr>
          <w:spacing w:val="119"/>
          <w:position w:val="1"/>
          <w:sz w:val="20"/>
        </w:rPr>
        <w:drawing>
          <wp:inline distT="0" distB="0" distL="0" distR="0">
            <wp:extent cx="4227948" cy="2614612"/>
            <wp:effectExtent l="0" t="0" r="0" b="0"/>
            <wp:docPr id="2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7948" cy="261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9"/>
          <w:position w:val="1"/>
          <w:sz w:val="20"/>
        </w:rPr>
      </w:r>
    </w:p>
    <w:p>
      <w:pPr>
        <w:spacing w:after="0" w:line="240" w:lineRule="auto"/>
        <w:rPr>
          <w:sz w:val="20"/>
        </w:rPr>
        <w:sectPr>
          <w:pgSz w:w="14400" w:h="8100" w:orient="landscape"/>
          <w:pgMar w:header="234" w:footer="0" w:top="780" w:bottom="280" w:left="40" w:right="200"/>
        </w:sectPr>
      </w:pPr>
    </w:p>
    <w:p>
      <w:pPr>
        <w:pStyle w:val="BodyText"/>
        <w:spacing w:line="153" w:lineRule="auto" w:before="103"/>
        <w:ind w:left="944" w:right="982"/>
      </w:pP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:98530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0.79%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:42400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环比上涨</w:t>
      </w:r>
      <w:r>
        <w:rPr>
          <w:color w:val="FF430D"/>
          <w:spacing w:val="-2"/>
        </w:rPr>
        <w:t>0.03%</w:t>
      </w:r>
    </w:p>
    <w:p>
      <w:pPr>
        <w:pStyle w:val="BodyText"/>
        <w:spacing w:line="156" w:lineRule="auto" w:before="100"/>
        <w:ind w:left="449" w:right="843"/>
      </w:pPr>
      <w:r>
        <w:rPr/>
        <w:br w:type="column"/>
      </w:r>
      <w:r>
        <w:rPr>
          <w:rFonts w:ascii="MS Gothic" w:eastAsia="MS Gothic"/>
          <w:color w:val="2C3D50"/>
          <w:spacing w:val="-2"/>
        </w:rPr>
        <w:t>基金多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:200690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</w:t>
      </w:r>
      <w:r>
        <w:rPr>
          <w:rFonts w:ascii="MS Gothic" w:eastAsia="MS Gothic"/>
          <w:color w:val="2C3D50"/>
          <w:spacing w:val="-2"/>
        </w:rPr>
        <w:t>比下跌</w:t>
      </w:r>
      <w:r>
        <w:rPr>
          <w:color w:val="34DF73"/>
          <w:spacing w:val="-2"/>
        </w:rPr>
        <w:t>3.83%</w:t>
      </w:r>
      <w:r>
        <w:rPr>
          <w:rFonts w:ascii="MS Gothic" w:eastAsia="MS Gothic"/>
          <w:color w:val="2C3D50"/>
          <w:spacing w:val="-2"/>
        </w:rPr>
        <w:t>；基金空</w:t>
      </w:r>
      <w:r>
        <w:rPr>
          <w:rFonts w:ascii="Microsoft JhengHei" w:eastAsia="Microsoft JhengHei"/>
          <w:color w:val="2C3D50"/>
          <w:spacing w:val="-2"/>
        </w:rPr>
        <w:t>头持仓</w:t>
      </w:r>
      <w:r>
        <w:rPr>
          <w:color w:val="2C3D50"/>
          <w:spacing w:val="-2"/>
        </w:rPr>
        <w:t>: 116145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0.81%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200"/>
          <w:cols w:num="2" w:equalWidth="0">
            <w:col w:w="6906" w:space="40"/>
            <w:col w:w="7214"/>
          </w:cols>
        </w:sectPr>
      </w:pPr>
    </w:p>
    <w:p>
      <w:pPr>
        <w:pStyle w:val="BodyText"/>
        <w:spacing w:before="7"/>
        <w:rPr>
          <w:sz w:val="5"/>
        </w:rPr>
      </w:pPr>
    </w:p>
    <w:p>
      <w:pPr>
        <w:tabs>
          <w:tab w:pos="8820" w:val="left" w:leader="none"/>
        </w:tabs>
        <w:spacing w:line="240" w:lineRule="auto"/>
        <w:ind w:left="47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296975" cy="2039397"/>
            <wp:effectExtent l="0" t="0" r="0" b="0"/>
            <wp:docPr id="3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7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975" cy="203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3298664" cy="2043112"/>
            <wp:effectExtent l="0" t="0" r="0" b="0"/>
            <wp:docPr id="3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664" cy="204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headerReference w:type="default" r:id="rId36"/>
          <w:pgSz w:w="14400" w:h="8100" w:orient="landscape"/>
          <w:pgMar w:header="234" w:footer="0" w:top="780" w:bottom="0" w:left="40" w:right="200"/>
        </w:sectPr>
      </w:pPr>
    </w:p>
    <w:p>
      <w:pPr>
        <w:pStyle w:val="BodyText"/>
        <w:spacing w:line="334" w:lineRule="exact" w:before="57"/>
        <w:ind w:left="482"/>
      </w:pP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-2"/>
        </w:rPr>
        <w:t>:635505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4.50%</w:t>
      </w:r>
      <w:r>
        <w:rPr>
          <w:rFonts w:ascii="MS Gothic" w:eastAsia="MS Gothic"/>
          <w:color w:val="2C3D50"/>
          <w:spacing w:val="-2"/>
        </w:rPr>
        <w:t>；空</w:t>
      </w:r>
      <w:r>
        <w:rPr>
          <w:rFonts w:ascii="Microsoft JhengHei" w:eastAsia="Microsoft JhengHei"/>
          <w:color w:val="2C3D50"/>
          <w:spacing w:val="-2"/>
        </w:rPr>
        <w:t>头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10"/>
        </w:rPr>
        <w:t>:</w:t>
      </w:r>
    </w:p>
    <w:p>
      <w:pPr>
        <w:pStyle w:val="BodyText"/>
        <w:spacing w:line="334" w:lineRule="exact"/>
        <w:ind w:left="482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2866644</wp:posOffset>
            </wp:positionH>
            <wp:positionV relativeFrom="paragraph">
              <wp:posOffset>103087</wp:posOffset>
            </wp:positionV>
            <wp:extent cx="3133344" cy="1941576"/>
            <wp:effectExtent l="0" t="0" r="0" b="0"/>
            <wp:wrapNone/>
            <wp:docPr id="3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344" cy="1941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C3D50"/>
          <w:spacing w:val="-2"/>
        </w:rPr>
        <w:t>1662142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4"/>
        </w:rPr>
        <w:t>0.89%</w:t>
      </w:r>
    </w:p>
    <w:p>
      <w:pPr>
        <w:pStyle w:val="BodyText"/>
        <w:spacing w:line="156" w:lineRule="auto" w:before="140"/>
        <w:ind w:left="105" w:right="239"/>
      </w:pPr>
      <w:r>
        <w:rPr/>
        <w:br w:type="column"/>
      </w:r>
      <w:r>
        <w:rPr>
          <w:rFonts w:ascii="MS Gothic" w:eastAsia="MS Gothic"/>
          <w:color w:val="2C3D50"/>
        </w:rPr>
        <w:t>非商</w:t>
      </w:r>
      <w:r>
        <w:rPr>
          <w:rFonts w:ascii="Microsoft JhengHei" w:eastAsia="Microsoft JhengHei"/>
          <w:color w:val="2C3D50"/>
        </w:rPr>
        <w:t>业多头持仓</w:t>
      </w:r>
      <w:r>
        <w:rPr>
          <w:color w:val="2C3D50"/>
        </w:rPr>
        <w:t>:605692</w:t>
      </w:r>
      <w:r>
        <w:rPr>
          <w:rFonts w:ascii="Microsoft JhengHei" w:eastAsia="Microsoft JhengHei"/>
          <w:color w:val="2C3D50"/>
        </w:rPr>
        <w:t>张</w:t>
      </w:r>
      <w:r>
        <w:rPr>
          <w:color w:val="2C3D50"/>
        </w:rPr>
        <w:t>,</w:t>
      </w:r>
      <w:r>
        <w:rPr>
          <w:rFonts w:ascii="Microsoft JhengHei" w:eastAsia="Microsoft JhengHei"/>
          <w:color w:val="2C3D50"/>
        </w:rPr>
        <w:t>环比</w:t>
      </w:r>
      <w:r>
        <w:rPr>
          <w:rFonts w:ascii="MS Gothic" w:eastAsia="MS Gothic"/>
          <w:color w:val="2C3D50"/>
        </w:rPr>
        <w:t>上</w:t>
      </w:r>
      <w:r>
        <w:rPr>
          <w:rFonts w:ascii="Microsoft JhengHei" w:eastAsia="Microsoft JhengHei"/>
          <w:color w:val="2C3D50"/>
        </w:rPr>
        <w:t>涨</w:t>
      </w:r>
      <w:r>
        <w:rPr>
          <w:color w:val="FF430D"/>
        </w:rPr>
        <w:t>16.01</w:t>
      </w:r>
      <w:r>
        <w:rPr>
          <w:color w:val="FF430D"/>
          <w:spacing w:val="-7"/>
        </w:rPr>
        <w:t>% </w:t>
      </w:r>
      <w:r>
        <w:rPr>
          <w:rFonts w:ascii="MS Gothic" w:eastAsia="MS Gothic"/>
          <w:color w:val="2C3D50"/>
        </w:rPr>
        <w:t>；</w:t>
      </w:r>
      <w:r>
        <w:rPr>
          <w:rFonts w:ascii="MS Gothic" w:eastAsia="MS Gothic"/>
          <w:color w:val="2C3D50"/>
          <w:spacing w:val="-2"/>
        </w:rPr>
        <w:t>空</w:t>
      </w:r>
      <w:r>
        <w:rPr>
          <w:rFonts w:ascii="Microsoft JhengHei" w:eastAsia="Microsoft JhengHei"/>
          <w:color w:val="2C3D50"/>
          <w:spacing w:val="-2"/>
        </w:rPr>
        <w:t>头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:2165381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下跌</w:t>
      </w:r>
      <w:r>
        <w:rPr>
          <w:color w:val="34DF73"/>
          <w:spacing w:val="-2"/>
        </w:rPr>
        <w:t>2.28%</w:t>
      </w:r>
    </w:p>
    <w:p>
      <w:pPr>
        <w:spacing w:after="0" w:line="156" w:lineRule="auto"/>
        <w:sectPr>
          <w:type w:val="continuous"/>
          <w:pgSz w:w="14400" w:h="8100" w:orient="landscape"/>
          <w:pgMar w:header="234" w:footer="0" w:top="900" w:bottom="280" w:left="40" w:right="200"/>
          <w:cols w:num="2" w:equalWidth="0">
            <w:col w:w="9409" w:space="40"/>
            <w:col w:w="471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401" w:lineRule="exact" w:before="212"/>
        <w:ind w:left="3598"/>
      </w:pPr>
      <w:r>
        <w:rPr>
          <w:rFonts w:ascii="MS Gothic" w:eastAsia="MS Gothic"/>
          <w:color w:val="2C3D50"/>
          <w:spacing w:val="-2"/>
        </w:rPr>
        <w:t>非商</w:t>
      </w:r>
      <w:r>
        <w:rPr>
          <w:rFonts w:ascii="Microsoft JhengHei" w:eastAsia="Microsoft JhengHei"/>
          <w:color w:val="2C3D50"/>
          <w:spacing w:val="-2"/>
        </w:rPr>
        <w:t>业多头持仓</w:t>
      </w:r>
      <w:r>
        <w:rPr>
          <w:color w:val="2C3D50"/>
          <w:spacing w:val="-2"/>
        </w:rPr>
        <w:t>:425733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6.16%</w:t>
      </w:r>
      <w:r>
        <w:rPr>
          <w:rFonts w:ascii="MS Gothic" w:eastAsia="MS Gothic"/>
          <w:color w:val="2C3D50"/>
          <w:spacing w:val="-2"/>
        </w:rPr>
        <w:t>；空</w:t>
      </w:r>
      <w:r>
        <w:rPr>
          <w:rFonts w:ascii="Microsoft JhengHei" w:eastAsia="Microsoft JhengHei"/>
          <w:color w:val="2C3D50"/>
          <w:spacing w:val="-2"/>
        </w:rPr>
        <w:t>头</w:t>
      </w:r>
      <w:r>
        <w:rPr>
          <w:rFonts w:ascii="MS Gothic" w:eastAsia="MS Gothic"/>
          <w:color w:val="2C3D50"/>
          <w:spacing w:val="-2"/>
        </w:rPr>
        <w:t>持</w:t>
      </w:r>
      <w:r>
        <w:rPr>
          <w:rFonts w:ascii="Microsoft JhengHei" w:eastAsia="Microsoft JhengHei"/>
          <w:color w:val="2C3D50"/>
          <w:spacing w:val="-2"/>
        </w:rPr>
        <w:t>仓</w:t>
      </w:r>
      <w:r>
        <w:rPr>
          <w:color w:val="2C3D50"/>
          <w:spacing w:val="-2"/>
        </w:rPr>
        <w:t>:1457659</w:t>
      </w:r>
      <w:r>
        <w:rPr>
          <w:rFonts w:ascii="Microsoft JhengHei" w:eastAsia="Microsoft JhengHei"/>
          <w:color w:val="2C3D50"/>
          <w:spacing w:val="-2"/>
        </w:rPr>
        <w:t>张</w:t>
      </w:r>
      <w:r>
        <w:rPr>
          <w:color w:val="2C3D50"/>
          <w:spacing w:val="-2"/>
        </w:rPr>
        <w:t>,</w:t>
      </w:r>
      <w:r>
        <w:rPr>
          <w:rFonts w:ascii="Microsoft JhengHei" w:eastAsia="Microsoft JhengHei"/>
          <w:color w:val="2C3D50"/>
          <w:spacing w:val="-2"/>
        </w:rPr>
        <w:t>环比</w:t>
      </w:r>
      <w:r>
        <w:rPr>
          <w:rFonts w:ascii="MS Gothic" w:eastAsia="MS Gothic"/>
          <w:color w:val="2C3D50"/>
          <w:spacing w:val="-2"/>
        </w:rPr>
        <w:t>上</w:t>
      </w:r>
      <w:r>
        <w:rPr>
          <w:rFonts w:ascii="Microsoft JhengHei" w:eastAsia="Microsoft JhengHei"/>
          <w:color w:val="2C3D50"/>
          <w:spacing w:val="-2"/>
        </w:rPr>
        <w:t>涨</w:t>
      </w:r>
      <w:r>
        <w:rPr>
          <w:color w:val="FF430D"/>
          <w:spacing w:val="-2"/>
        </w:rPr>
        <w:t>7.99%</w:t>
      </w:r>
    </w:p>
    <w:p>
      <w:pPr>
        <w:spacing w:after="0" w:line="401" w:lineRule="exact"/>
        <w:sectPr>
          <w:type w:val="continuous"/>
          <w:pgSz w:w="14400" w:h="8100" w:orient="landscape"/>
          <w:pgMar w:header="234" w:footer="0" w:top="900" w:bottom="280" w:left="40" w:right="200"/>
        </w:sectPr>
      </w:pPr>
    </w:p>
    <w:p>
      <w:pPr>
        <w:pStyle w:val="BodyText"/>
        <w:ind w:left="-40"/>
        <w:rPr>
          <w:sz w:val="20"/>
        </w:rPr>
      </w:pPr>
      <w:r>
        <w:rPr>
          <w:sz w:val="20"/>
        </w:rPr>
        <w:pict>
          <v:group style="width:47.05pt;height:24.85pt;mso-position-horizontal-relative:char;mso-position-vertical-relative:line" id="docshapegroup34" coordorigin="0,0" coordsize="941,497">
            <v:shape style="position:absolute;left:0;top:0;width:941;height:497" id="docshape35" coordorigin="0,0" coordsize="941,497" path="m514,0l0,8,0,497,205,497,514,0xm941,0l599,0,307,497,649,497,941,0xe" filled="true" fillcolor="#c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spacing w:before="9"/>
        <w:rPr>
          <w:sz w:val="26"/>
        </w:rPr>
      </w:pPr>
    </w:p>
    <w:p>
      <w:pPr>
        <w:spacing w:line="446" w:lineRule="exact" w:before="32"/>
        <w:ind w:left="560" w:right="0" w:firstLine="0"/>
        <w:jc w:val="left"/>
        <w:rPr>
          <w:rFonts w:ascii="Microsoft JhengHei" w:hAnsi="Microsoft JhengHei" w:eastAsia="Microsoft JhengHei"/>
          <w:sz w:val="20"/>
        </w:rPr>
      </w:pPr>
      <w:r>
        <w:rPr/>
        <w:pict>
          <v:shape style="position:absolute;margin-left:147.479996pt;margin-top:-42.036087pt;width:572.550pt;height:24.75pt;mso-position-horizontal-relative:page;mso-position-vertical-relative:paragraph;z-index:15732224" id="docshape36" coordorigin="2950,-841" coordsize="11451,495" path="m14400,-841l3240,-841,2950,-346,14400,-346,14400,-841xe" filled="true" fillcolor="#c00000" stroked="false">
            <v:path arrowok="t"/>
            <v:fill type="solid"/>
            <w10:wrap type="none"/>
          </v:shape>
        </w:pict>
      </w:r>
      <w:r>
        <w:rPr>
          <w:rFonts w:ascii="Cambria Math" w:hAnsi="Cambria Math" w:eastAsia="Cambria Math"/>
          <w:color w:val="CE393E"/>
          <w:spacing w:val="8"/>
          <w:sz w:val="40"/>
        </w:rPr>
        <w:t>△ </w:t>
      </w:r>
      <w:r>
        <w:rPr>
          <w:rFonts w:ascii="MS Gothic" w:hAnsi="MS Gothic" w:eastAsia="MS Gothic"/>
          <w:sz w:val="20"/>
        </w:rPr>
        <w:t>免</w:t>
      </w:r>
      <w:r>
        <w:rPr>
          <w:rFonts w:ascii="Microsoft JhengHei" w:hAnsi="Microsoft JhengHei" w:eastAsia="Microsoft JhengHei"/>
          <w:sz w:val="20"/>
        </w:rPr>
        <w:t>责</w:t>
      </w:r>
      <w:r>
        <w:rPr>
          <w:rFonts w:ascii="Microsoft JhengHei" w:hAnsi="Microsoft JhengHei" w:eastAsia="Microsoft JhengHei"/>
          <w:sz w:val="20"/>
        </w:rPr>
        <w:t>声</w:t>
      </w:r>
      <w:r>
        <w:rPr>
          <w:rFonts w:ascii="Microsoft JhengHei" w:hAnsi="Microsoft JhengHei" w:eastAsia="Microsoft JhengHei"/>
          <w:spacing w:val="-10"/>
          <w:sz w:val="20"/>
        </w:rPr>
        <w:t>明</w:t>
      </w:r>
    </w:p>
    <w:p>
      <w:pPr>
        <w:spacing w:line="156" w:lineRule="auto" w:before="47"/>
        <w:ind w:left="104" w:right="835" w:firstLine="379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z w:val="18"/>
        </w:rPr>
        <w:t>此</w:t>
      </w:r>
      <w:r>
        <w:rPr>
          <w:rFonts w:ascii="Microsoft JhengHei" w:eastAsia="Microsoft JhengHei"/>
          <w:color w:val="888888"/>
          <w:spacing w:val="-1"/>
          <w:sz w:val="18"/>
        </w:rPr>
        <w:t>报告由瑞达国际所编制。本报告采用之资料及意见均相信可靠及准确，但本公司并不对各分析或有关资料之可 </w:t>
      </w:r>
      <w:r>
        <w:rPr>
          <w:rFonts w:ascii="MS Gothic" w:eastAsia="MS Gothic"/>
          <w:color w:val="888888"/>
          <w:sz w:val="18"/>
        </w:rPr>
        <w:t>靠性及准确性作出全面性保</w:t>
      </w:r>
      <w:r>
        <w:rPr>
          <w:rFonts w:ascii="Microsoft JhengHei" w:eastAsia="Microsoft JhengHei"/>
          <w:color w:val="888888"/>
          <w:sz w:val="18"/>
        </w:rPr>
        <w:t>证。本报告只供客户或</w:t>
      </w:r>
      <w:r>
        <w:rPr>
          <w:rFonts w:ascii="Microsoft JhengHei" w:eastAsia="Microsoft JhengHei"/>
          <w:color w:val="888888"/>
          <w:spacing w:val="-2"/>
          <w:sz w:val="18"/>
        </w:rPr>
        <w:t>读者作参考之用，客户或读者不应完全依靠本报告内容作为投资准则。</w:t>
      </w:r>
    </w:p>
    <w:p>
      <w:pPr>
        <w:spacing w:line="191" w:lineRule="exact" w:before="0"/>
        <w:ind w:left="483" w:right="0" w:firstLine="0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z w:val="18"/>
        </w:rPr>
        <w:t>本</w:t>
      </w:r>
      <w:r>
        <w:rPr>
          <w:rFonts w:ascii="Microsoft JhengHei" w:eastAsia="Microsoft JhengHei"/>
          <w:color w:val="888888"/>
          <w:sz w:val="18"/>
        </w:rPr>
        <w:t>报告之资料及意见如有任何更改，恕不另行通知。本报告并非及并无意图构成任何作价或招揽进行买卖本报告 </w:t>
      </w:r>
      <w:r>
        <w:rPr>
          <w:rFonts w:ascii="MS Gothic" w:eastAsia="MS Gothic"/>
          <w:color w:val="888888"/>
          <w:sz w:val="18"/>
        </w:rPr>
        <w:t>提及的商品。本公司不会</w:t>
      </w:r>
      <w:r>
        <w:rPr>
          <w:rFonts w:ascii="Microsoft JhengHei" w:eastAsia="Microsoft JhengHei"/>
          <w:color w:val="888888"/>
          <w:spacing w:val="-1"/>
          <w:sz w:val="18"/>
        </w:rPr>
        <w:t>对任何因依靠本报告作出</w:t>
      </w:r>
    </w:p>
    <w:p>
      <w:pPr>
        <w:spacing w:line="273" w:lineRule="exact" w:before="0"/>
        <w:ind w:left="104" w:right="0" w:firstLine="0"/>
        <w:jc w:val="left"/>
        <w:rPr>
          <w:rFonts w:ascii="Microsoft JhengHei" w:eastAsia="Microsoft JhengHei"/>
          <w:sz w:val="18"/>
        </w:rPr>
      </w:pPr>
      <w:r>
        <w:rPr>
          <w:rFonts w:ascii="MS Gothic" w:eastAsia="MS Gothic"/>
          <w:color w:val="888888"/>
          <w:spacing w:val="-2"/>
          <w:sz w:val="18"/>
        </w:rPr>
        <w:t>任何</w:t>
      </w:r>
      <w:r>
        <w:rPr>
          <w:rFonts w:ascii="Microsoft JhengHei" w:eastAsia="Microsoft JhengHei"/>
          <w:color w:val="888888"/>
          <w:spacing w:val="-3"/>
          <w:sz w:val="18"/>
        </w:rPr>
        <w:t>买卖而引致之任何损失承担任何责任。</w:t>
      </w: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rPr>
          <w:rFonts w:ascii="Microsoft JhengHei"/>
          <w:sz w:val="20"/>
        </w:rPr>
      </w:pPr>
    </w:p>
    <w:p>
      <w:pPr>
        <w:pStyle w:val="BodyText"/>
        <w:spacing w:before="10"/>
        <w:rPr>
          <w:rFonts w:ascii="Microsoft JhengHei"/>
          <w:sz w:val="24"/>
        </w:rPr>
      </w:pPr>
    </w:p>
    <w:p>
      <w:pPr>
        <w:spacing w:line="365" w:lineRule="exact" w:before="39"/>
        <w:ind w:left="3361" w:right="622" w:firstLine="0"/>
        <w:jc w:val="center"/>
        <w:rPr>
          <w:rFonts w:ascii="Arial" w:eastAsia="Arial"/>
          <w:sz w:val="24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663769</wp:posOffset>
            </wp:positionH>
            <wp:positionV relativeFrom="paragraph">
              <wp:posOffset>-435725</wp:posOffset>
            </wp:positionV>
            <wp:extent cx="1867594" cy="1943100"/>
            <wp:effectExtent l="0" t="0" r="0" b="0"/>
            <wp:wrapNone/>
            <wp:docPr id="37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594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/>
          <w:sz w:val="24"/>
        </w:rPr>
        <w:t>24</w:t>
      </w:r>
      <w:r>
        <w:rPr>
          <w:rFonts w:ascii="MS Gothic" w:eastAsia="MS Gothic"/>
          <w:sz w:val="24"/>
        </w:rPr>
        <w:t>小</w:t>
      </w:r>
      <w:r>
        <w:rPr>
          <w:rFonts w:ascii="Microsoft JhengHei" w:eastAsia="Microsoft JhengHei"/>
          <w:spacing w:val="-1"/>
          <w:sz w:val="24"/>
        </w:rPr>
        <w:t>时客服电话： </w:t>
      </w:r>
      <w:r>
        <w:rPr>
          <w:rFonts w:ascii="Arial" w:eastAsia="Arial"/>
          <w:sz w:val="24"/>
        </w:rPr>
        <w:t>00852</w:t>
      </w:r>
      <w:r>
        <w:rPr>
          <w:rFonts w:ascii="Arial" w:eastAsia="Arial"/>
          <w:spacing w:val="-6"/>
          <w:sz w:val="24"/>
        </w:rPr>
        <w:t> - </w:t>
      </w:r>
      <w:r>
        <w:rPr>
          <w:rFonts w:ascii="Arial" w:eastAsia="Arial"/>
          <w:sz w:val="24"/>
        </w:rPr>
        <w:t>25342000/86</w:t>
      </w:r>
      <w:r>
        <w:rPr>
          <w:rFonts w:ascii="Arial" w:eastAsia="Arial"/>
          <w:spacing w:val="-6"/>
          <w:sz w:val="24"/>
        </w:rPr>
        <w:t> - </w:t>
      </w:r>
      <w:r>
        <w:rPr>
          <w:rFonts w:ascii="Arial" w:eastAsia="Arial"/>
          <w:spacing w:val="-2"/>
          <w:sz w:val="24"/>
        </w:rPr>
        <w:t>13603059885</w:t>
      </w:r>
    </w:p>
    <w:p>
      <w:pPr>
        <w:spacing w:line="288" w:lineRule="exact" w:before="0"/>
        <w:ind w:left="3361" w:right="619" w:firstLine="0"/>
        <w:jc w:val="center"/>
        <w:rPr>
          <w:rFonts w:ascii="Arial" w:eastAsia="Arial"/>
          <w:sz w:val="24"/>
        </w:rPr>
      </w:pPr>
      <w:r>
        <w:rPr>
          <w:rFonts w:ascii="Arial" w:eastAsia="Arial"/>
          <w:sz w:val="24"/>
        </w:rPr>
        <w:t>24</w:t>
      </w:r>
      <w:r>
        <w:rPr>
          <w:rFonts w:ascii="MS Gothic" w:eastAsia="MS Gothic"/>
          <w:sz w:val="24"/>
        </w:rPr>
        <w:t>小</w:t>
      </w:r>
      <w:r>
        <w:rPr>
          <w:rFonts w:ascii="Microsoft JhengHei" w:eastAsia="Microsoft JhengHei"/>
          <w:sz w:val="24"/>
        </w:rPr>
        <w:t>时传真电话： </w:t>
      </w:r>
      <w:r>
        <w:rPr>
          <w:rFonts w:ascii="Arial" w:eastAsia="Arial"/>
          <w:sz w:val="24"/>
        </w:rPr>
        <w:t>00852</w:t>
      </w:r>
      <w:r>
        <w:rPr>
          <w:rFonts w:ascii="Arial" w:eastAsia="Arial"/>
          <w:spacing w:val="-5"/>
          <w:sz w:val="24"/>
        </w:rPr>
        <w:t> - </w:t>
      </w:r>
      <w:r>
        <w:rPr>
          <w:rFonts w:ascii="Arial" w:eastAsia="Arial"/>
          <w:spacing w:val="-2"/>
          <w:sz w:val="24"/>
        </w:rPr>
        <w:t>25632368</w:t>
      </w:r>
    </w:p>
    <w:p>
      <w:pPr>
        <w:spacing w:line="328" w:lineRule="exact" w:before="0"/>
        <w:ind w:left="3361" w:right="621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z w:val="24"/>
        </w:rPr>
        <w:t>客服</w:t>
      </w:r>
      <w:r>
        <w:rPr>
          <w:rFonts w:ascii="Microsoft JhengHei" w:eastAsia="Microsoft JhengHei"/>
          <w:spacing w:val="1"/>
          <w:sz w:val="24"/>
        </w:rPr>
        <w:t>邮箱： </w:t>
      </w:r>
      <w:r>
        <w:rPr>
          <w:rFonts w:ascii="Arial" w:eastAsia="Arial"/>
          <w:sz w:val="24"/>
        </w:rPr>
        <w:t>cs@ruida</w:t>
      </w:r>
      <w:r>
        <w:rPr>
          <w:rFonts w:ascii="Arial" w:eastAsia="Arial"/>
          <w:spacing w:val="-4"/>
          <w:sz w:val="24"/>
        </w:rPr>
        <w:t>- </w:t>
      </w:r>
      <w:r>
        <w:rPr>
          <w:rFonts w:ascii="Arial" w:eastAsia="Arial"/>
          <w:sz w:val="24"/>
        </w:rPr>
        <w:t>int . </w:t>
      </w:r>
      <w:r>
        <w:rPr>
          <w:rFonts w:ascii="Arial" w:eastAsia="Arial"/>
          <w:spacing w:val="-5"/>
          <w:sz w:val="24"/>
        </w:rPr>
        <w:t>com</w:t>
      </w:r>
    </w:p>
    <w:p>
      <w:pPr>
        <w:spacing w:line="261" w:lineRule="exact" w:before="0"/>
        <w:ind w:left="3361" w:right="621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pacing w:val="-2"/>
          <w:sz w:val="24"/>
        </w:rPr>
        <w:t>客服</w:t>
      </w:r>
      <w:r>
        <w:rPr>
          <w:rFonts w:ascii="Arial" w:eastAsia="Arial"/>
          <w:spacing w:val="-2"/>
          <w:sz w:val="24"/>
        </w:rPr>
        <w:t>QQ</w:t>
      </w:r>
      <w:r>
        <w:rPr>
          <w:rFonts w:ascii="MS Gothic" w:eastAsia="MS Gothic"/>
          <w:spacing w:val="-24"/>
          <w:sz w:val="24"/>
        </w:rPr>
        <w:t>： </w:t>
      </w:r>
      <w:r>
        <w:rPr>
          <w:rFonts w:ascii="Arial" w:eastAsia="Arial"/>
          <w:spacing w:val="-2"/>
          <w:sz w:val="24"/>
        </w:rPr>
        <w:t>203195058/2938472186</w:t>
      </w:r>
    </w:p>
    <w:p>
      <w:pPr>
        <w:spacing w:line="288" w:lineRule="exact" w:before="0"/>
        <w:ind w:left="3361" w:right="624" w:firstLine="0"/>
        <w:jc w:val="center"/>
        <w:rPr>
          <w:rFonts w:ascii="Arial" w:eastAsia="Arial"/>
          <w:sz w:val="24"/>
        </w:rPr>
      </w:pPr>
      <w:r>
        <w:rPr>
          <w:rFonts w:ascii="MS Gothic" w:eastAsia="MS Gothic"/>
          <w:sz w:val="24"/>
        </w:rPr>
        <w:t>网址：</w:t>
      </w:r>
      <w:hyperlink r:id="rId42">
        <w:r>
          <w:rPr>
            <w:rFonts w:ascii="Arial" w:eastAsia="Arial"/>
            <w:sz w:val="24"/>
          </w:rPr>
          <w:t>www.</w:t>
        </w:r>
      </w:hyperlink>
      <w:r>
        <w:rPr>
          <w:rFonts w:ascii="Arial" w:eastAsia="Arial"/>
          <w:spacing w:val="-1"/>
          <w:sz w:val="24"/>
        </w:rPr>
        <w:t> </w:t>
      </w:r>
      <w:r>
        <w:rPr>
          <w:rFonts w:ascii="Arial" w:eastAsia="Arial"/>
          <w:sz w:val="24"/>
        </w:rPr>
        <w:t>ruida</w:t>
      </w:r>
      <w:r>
        <w:rPr>
          <w:rFonts w:ascii="Arial" w:eastAsia="Arial"/>
          <w:spacing w:val="-4"/>
          <w:sz w:val="24"/>
        </w:rPr>
        <w:t>- </w:t>
      </w:r>
      <w:r>
        <w:rPr>
          <w:rFonts w:ascii="Arial" w:eastAsia="Arial"/>
          <w:sz w:val="24"/>
        </w:rPr>
        <w:t>int</w:t>
      </w:r>
      <w:r>
        <w:rPr>
          <w:rFonts w:ascii="Arial" w:eastAsia="Arial"/>
          <w:spacing w:val="-5"/>
          <w:sz w:val="24"/>
        </w:rPr>
        <w:t> . com</w:t>
      </w:r>
    </w:p>
    <w:p>
      <w:pPr>
        <w:spacing w:line="298" w:lineRule="exact" w:before="0"/>
        <w:ind w:left="3361" w:right="622" w:firstLine="0"/>
        <w:jc w:val="center"/>
        <w:rPr>
          <w:rFonts w:ascii="MS Gothic" w:eastAsia="MS Gothic"/>
          <w:sz w:val="24"/>
        </w:rPr>
      </w:pPr>
      <w:r>
        <w:rPr>
          <w:rFonts w:ascii="MS Gothic" w:eastAsia="MS Gothic"/>
          <w:sz w:val="24"/>
        </w:rPr>
        <w:t>地址</w:t>
      </w:r>
      <w:r>
        <w:rPr>
          <w:rFonts w:ascii="Arial" w:eastAsia="Arial"/>
          <w:spacing w:val="-2"/>
          <w:sz w:val="24"/>
        </w:rPr>
        <w:t>: </w:t>
      </w:r>
      <w:r>
        <w:rPr>
          <w:rFonts w:ascii="MS Gothic" w:eastAsia="MS Gothic"/>
          <w:sz w:val="24"/>
        </w:rPr>
        <w:t>香港湾仔菲林明道</w:t>
      </w:r>
      <w:r>
        <w:rPr>
          <w:rFonts w:ascii="Arial" w:eastAsia="Arial"/>
          <w:sz w:val="24"/>
        </w:rPr>
        <w:t>8</w:t>
      </w:r>
      <w:r>
        <w:rPr>
          <w:rFonts w:ascii="MS Gothic" w:eastAsia="MS Gothic"/>
          <w:sz w:val="24"/>
        </w:rPr>
        <w:t>号大同大厦</w:t>
      </w:r>
      <w:r>
        <w:rPr>
          <w:rFonts w:ascii="Arial" w:eastAsia="Arial"/>
          <w:sz w:val="24"/>
        </w:rPr>
        <w:t>17</w:t>
      </w:r>
      <w:r>
        <w:rPr>
          <w:rFonts w:ascii="MS Gothic" w:eastAsia="MS Gothic"/>
          <w:sz w:val="24"/>
        </w:rPr>
        <w:t>楼</w:t>
      </w:r>
      <w:r>
        <w:rPr>
          <w:rFonts w:ascii="Arial" w:eastAsia="Arial"/>
          <w:sz w:val="24"/>
        </w:rPr>
        <w:t>05</w:t>
      </w:r>
      <w:r>
        <w:rPr>
          <w:rFonts w:ascii="Arial" w:eastAsia="Arial"/>
          <w:spacing w:val="-5"/>
          <w:sz w:val="24"/>
        </w:rPr>
        <w:t> - </w:t>
      </w:r>
      <w:r>
        <w:rPr>
          <w:rFonts w:ascii="Arial" w:eastAsia="Arial"/>
          <w:sz w:val="24"/>
        </w:rPr>
        <w:t>06</w:t>
      </w:r>
      <w:r>
        <w:rPr>
          <w:rFonts w:ascii="MS Gothic" w:eastAsia="MS Gothic"/>
          <w:spacing w:val="-10"/>
          <w:sz w:val="24"/>
        </w:rPr>
        <w:t>室</w:t>
      </w:r>
    </w:p>
    <w:sectPr>
      <w:headerReference w:type="default" r:id="rId40"/>
      <w:pgSz w:w="14400" w:h="8100" w:orient="landscape"/>
      <w:pgMar w:header="0" w:footer="0" w:top="260" w:bottom="280" w:left="40" w:right="2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icrosoft YaHei">
    <w:altName w:val="Microsoft YaHei"/>
    <w:charset w:val="0"/>
    <w:family w:val="swiss"/>
    <w:pitch w:val="variable"/>
  </w:font>
  <w:font w:name="MS Gothic">
    <w:altName w:val="MS Gothic"/>
    <w:charset w:val="0"/>
    <w:family w:val="modern"/>
    <w:pitch w:val="fixed"/>
  </w:font>
  <w:font w:name="Microsoft JhengHei">
    <w:altName w:val="Microsoft JhengHei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mbria Math">
    <w:altName w:val="Cambria Math"/>
    <w:charset w:val="0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84288" id="docshape12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83776" id="docshape13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7.071999pt;margin-top:13.714391pt;width:44pt;height:29.75pt;mso-position-horizontal-relative:page;mso-position-vertical-relative:page;z-index:-15883264" type="#_x0000_t202" id="docshape14" filled="false" stroked="false">
          <v:textbox inset="0,0,0,0">
            <w:txbxContent>
              <w:p>
                <w:pPr>
                  <w:spacing w:line="595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6"/>
                    <w:sz w:val="42"/>
                  </w:rPr>
                  <w:t>目录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82752" id="docshape19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82240" id="docshape20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81728" type="#_x0000_t202" id="docshape21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能源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81216" id="docshape22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80704" id="docshape23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80192" type="#_x0000_t202" id="docshape24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金属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9680" id="docshape25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9168" id="docshape26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65pt;height:29.75pt;mso-position-horizontal-relative:page;mso-position-vertical-relative:page;z-index:-15878656" type="#_x0000_t202" id="docshape27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4"/>
                    <w:sz w:val="42"/>
                  </w:rPr>
                  <w:t>农产品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8144" id="docshape28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7632" id="docshape29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77120" type="#_x0000_t202" id="docshape30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汇率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0pt;margin-top:13.199982pt;width:47.05pt;height:24.85pt;mso-position-horizontal-relative:page;mso-position-vertical-relative:page;z-index:-15876608" id="docshape31" coordorigin="0,264" coordsize="941,497" path="m514,264l0,272,0,761,205,761,514,264xm941,264l599,264,307,761,649,761,941,264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147.479996pt;margin-top:14.04pt;width:572.550pt;height:24.75pt;mso-position-horizontal-relative:page;mso-position-vertical-relative:page;z-index:-15876096" id="docshape32" coordorigin="2950,281" coordsize="11451,495" path="m14400,281l3240,281,2950,775,14400,775,14400,281xe" filled="true" fillcolor="#c00000" stroked="false">
          <v:path arrowok="t"/>
          <v:fill type="solid"/>
          <w10:wrap type="none"/>
        </v:shape>
      </w:pict>
    </w:r>
    <w:r>
      <w:rPr/>
      <w:pict>
        <v:shape style="position:absolute;margin-left:77.071999pt;margin-top:10.719785pt;width:44pt;height:29.75pt;mso-position-horizontal-relative:page;mso-position-vertical-relative:page;z-index:-15875584" type="#_x0000_t202" id="docshape33" filled="false" stroked="false">
          <v:textbox inset="0,0,0,0">
            <w:txbxContent>
              <w:p>
                <w:pPr>
                  <w:spacing w:line="594" w:lineRule="exact" w:before="0"/>
                  <w:ind w:left="20" w:right="0" w:firstLine="0"/>
                  <w:jc w:val="left"/>
                  <w:rPr>
                    <w:rFonts w:ascii="Microsoft YaHei" w:eastAsia="Microsoft YaHei"/>
                    <w:sz w:val="42"/>
                  </w:rPr>
                </w:pPr>
                <w:r>
                  <w:rPr>
                    <w:rFonts w:ascii="Microsoft YaHei" w:eastAsia="Microsoft YaHei"/>
                    <w:color w:val="585858"/>
                    <w:spacing w:val="-5"/>
                    <w:sz w:val="42"/>
                  </w:rPr>
                  <w:t>利率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zh-CN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n-US" w:eastAsia="zh-CN" w:bidi="ar-SA"/>
    </w:rPr>
  </w:style>
  <w:style w:styleId="Heading1" w:type="paragraph">
    <w:name w:val="Heading 1"/>
    <w:basedOn w:val="Normal"/>
    <w:uiPriority w:val="1"/>
    <w:qFormat/>
    <w:pPr>
      <w:spacing w:before="161" w:line="545" w:lineRule="exact"/>
      <w:outlineLvl w:val="1"/>
    </w:pPr>
    <w:rPr>
      <w:rFonts w:ascii="Microsoft YaHei" w:hAnsi="Microsoft YaHei" w:eastAsia="Microsoft YaHei" w:cs="Microsoft YaHei"/>
      <w:b/>
      <w:bCs/>
      <w:sz w:val="30"/>
      <w:szCs w:val="30"/>
      <w:lang w:val="en-US" w:eastAsia="zh-CN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zh-CN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header" Target="header1.xml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header" Target="header2.xml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header" Target="header3.xml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header" Target="header4.xml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30" Type="http://schemas.openxmlformats.org/officeDocument/2006/relationships/image" Target="media/image22.png"/><Relationship Id="rId31" Type="http://schemas.openxmlformats.org/officeDocument/2006/relationships/header" Target="header5.xml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header" Target="header6.xml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header" Target="header7.xml"/><Relationship Id="rId41" Type="http://schemas.openxmlformats.org/officeDocument/2006/relationships/image" Target="media/image30.jpeg"/><Relationship Id="rId42" Type="http://schemas.openxmlformats.org/officeDocument/2006/relationships/hyperlink" Target="http://www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2024-09-23T09:27:22Z</dcterms:created>
  <dcterms:modified xsi:type="dcterms:W3CDTF">2024-09-23T09:27:22Z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2024-09-23T00:00:00Z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2024-09-23T00:00:00Z</vt:filetime>
  </property>
  <property fmtid="{D5CDD505-2E9C-101B-9397-08002B2CF9AE}" pid="5" name="Producer">
    <vt:lpwstr>Microsoft® PowerPoint® LTSC</vt:lpwstr>
  </property>
</Properties>
</file>