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92DF86" w14:textId="77777777" w:rsidR="0087172E" w:rsidRDefault="00127060">
      <w:pPr>
        <w:spacing w:line="720" w:lineRule="auto"/>
        <w:jc w:val="center"/>
        <w:outlineLvl w:val="0"/>
        <w:rPr>
          <w:rFonts w:ascii="宋体" w:hAnsi="宋体"/>
          <w:b/>
          <w:bCs/>
          <w:sz w:val="40"/>
          <w:szCs w:val="44"/>
        </w:rPr>
      </w:pPr>
      <w:r>
        <w:rPr>
          <w:rFonts w:ascii="宋体" w:hAnsi="宋体"/>
          <w:b/>
          <w:bCs/>
          <w:sz w:val="40"/>
          <w:szCs w:val="44"/>
        </w:rPr>
        <w:pict w14:anchorId="5AB749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6pt;height:177.6pt">
            <v:imagedata r:id="rId8" o:title="微信图片_20240814094509"/>
          </v:shape>
        </w:pict>
      </w:r>
    </w:p>
    <w:p w14:paraId="6396139C" w14:textId="77777777" w:rsidR="0087172E" w:rsidRDefault="00BB7F54">
      <w:pPr>
        <w:numPr>
          <w:ilvl w:val="0"/>
          <w:numId w:val="1"/>
        </w:numPr>
        <w:spacing w:beforeLines="50" w:before="156" w:line="312" w:lineRule="auto"/>
        <w:rPr>
          <w:rFonts w:ascii="微软雅黑" w:eastAsia="微软雅黑" w:hAnsi="微软雅黑"/>
          <w:b/>
          <w:bCs/>
          <w:sz w:val="28"/>
          <w:szCs w:val="28"/>
        </w:rPr>
      </w:pPr>
      <w:r>
        <w:rPr>
          <w:rFonts w:ascii="微软雅黑" w:eastAsia="微软雅黑" w:hAnsi="微软雅黑" w:hint="eastAsia"/>
          <w:b/>
          <w:bCs/>
          <w:sz w:val="28"/>
          <w:szCs w:val="28"/>
        </w:rPr>
        <w:t>上周行情回顾</w:t>
      </w:r>
    </w:p>
    <w:p w14:paraId="0F7B324C" w14:textId="1623CA0C" w:rsidR="0087172E" w:rsidRDefault="00BB7F54">
      <w:pPr>
        <w:spacing w:line="312" w:lineRule="auto"/>
        <w:ind w:firstLine="420"/>
        <w:rPr>
          <w:rFonts w:ascii="宋体" w:hAnsi="宋体" w:cs="宋体"/>
        </w:rPr>
      </w:pPr>
      <w:r>
        <w:t>周五</w:t>
      </w:r>
      <w:r>
        <w:rPr>
          <w:rFonts w:hint="eastAsia"/>
        </w:rPr>
        <w:t>（</w:t>
      </w:r>
      <w:r>
        <w:t>1</w:t>
      </w:r>
      <w:r>
        <w:rPr>
          <w:rFonts w:hint="eastAsia"/>
        </w:rPr>
        <w:t>2</w:t>
      </w:r>
      <w:r>
        <w:rPr>
          <w:rFonts w:hint="eastAsia"/>
        </w:rPr>
        <w:t>月</w:t>
      </w:r>
      <w:r w:rsidR="00312B57">
        <w:rPr>
          <w:rFonts w:hint="eastAsia"/>
        </w:rPr>
        <w:t>13</w:t>
      </w:r>
      <w:r>
        <w:rPr>
          <w:rFonts w:hint="eastAsia"/>
        </w:rPr>
        <w:t>日）</w:t>
      </w:r>
      <w:r>
        <w:t>美元兑人民币中间价</w:t>
      </w:r>
      <w:r>
        <w:rPr>
          <w:rFonts w:ascii="宋体" w:hAnsi="宋体" w:cs="宋体"/>
        </w:rPr>
        <w:t>报</w:t>
      </w:r>
      <w:r>
        <w:rPr>
          <w:rFonts w:ascii="宋体" w:hAnsi="宋体" w:cs="宋体"/>
        </w:rPr>
        <w:t>7.</w:t>
      </w:r>
      <w:r>
        <w:rPr>
          <w:rFonts w:ascii="宋体" w:hAnsi="宋体" w:cs="宋体" w:hint="eastAsia"/>
        </w:rPr>
        <w:t>18</w:t>
      </w:r>
      <w:r w:rsidR="00312B57">
        <w:rPr>
          <w:rFonts w:ascii="宋体" w:hAnsi="宋体" w:cs="宋体" w:hint="eastAsia"/>
        </w:rPr>
        <w:t>76</w:t>
      </w:r>
      <w:r>
        <w:rPr>
          <w:rFonts w:ascii="宋体" w:hAnsi="宋体" w:cs="宋体"/>
        </w:rPr>
        <w:t>，</w:t>
      </w:r>
      <w:r w:rsidR="00312B57" w:rsidRPr="00312B57">
        <w:rPr>
          <w:rFonts w:ascii="宋体" w:hAnsi="宋体" w:cs="宋体" w:hint="eastAsia"/>
        </w:rPr>
        <w:t>较上一交易日</w:t>
      </w:r>
      <w:r>
        <w:rPr>
          <w:rFonts w:ascii="宋体" w:hAnsi="宋体" w:cs="宋体" w:hint="eastAsia"/>
        </w:rPr>
        <w:t>调</w:t>
      </w:r>
      <w:r w:rsidR="00312B57">
        <w:rPr>
          <w:rFonts w:ascii="宋体" w:hAnsi="宋体" w:cs="宋体" w:hint="eastAsia"/>
        </w:rPr>
        <w:t>贬22</w:t>
      </w:r>
      <w:r>
        <w:rPr>
          <w:rFonts w:ascii="宋体" w:hAnsi="宋体" w:cs="宋体" w:hint="eastAsia"/>
        </w:rPr>
        <w:t>个基点，上周累计</w:t>
      </w:r>
      <w:r w:rsidR="00312B57">
        <w:rPr>
          <w:rFonts w:ascii="宋体" w:hAnsi="宋体" w:cs="宋体" w:hint="eastAsia"/>
        </w:rPr>
        <w:t>调贬</w:t>
      </w:r>
      <w:r>
        <w:rPr>
          <w:rFonts w:ascii="宋体" w:hAnsi="宋体" w:cs="宋体" w:hint="eastAsia"/>
        </w:rPr>
        <w:t>2</w:t>
      </w:r>
      <w:r w:rsidR="00312B57">
        <w:rPr>
          <w:rFonts w:ascii="宋体" w:hAnsi="宋体" w:cs="宋体" w:hint="eastAsia"/>
        </w:rPr>
        <w:t>8</w:t>
      </w:r>
      <w:r>
        <w:rPr>
          <w:rFonts w:ascii="宋体" w:hAnsi="宋体" w:cs="宋体" w:hint="eastAsia"/>
        </w:rPr>
        <w:t>个基点。港交所美元兑人民币期货主力合约</w:t>
      </w:r>
      <w:r>
        <w:rPr>
          <w:rFonts w:ascii="宋体" w:hAnsi="宋体" w:cs="宋体" w:hint="eastAsia"/>
        </w:rPr>
        <w:t>C</w:t>
      </w:r>
      <w:r>
        <w:rPr>
          <w:rFonts w:ascii="宋体" w:hAnsi="宋体" w:cs="宋体"/>
        </w:rPr>
        <w:t>USF2</w:t>
      </w:r>
      <w:r w:rsidR="00312B57">
        <w:rPr>
          <w:rFonts w:ascii="宋体" w:hAnsi="宋体" w:cs="宋体" w:hint="eastAsia"/>
        </w:rPr>
        <w:t>501</w:t>
      </w:r>
      <w:r>
        <w:rPr>
          <w:rFonts w:ascii="宋体" w:hAnsi="宋体" w:cs="宋体" w:hint="eastAsia"/>
        </w:rPr>
        <w:t>收</w:t>
      </w:r>
      <w:r w:rsidR="00312B57">
        <w:rPr>
          <w:rFonts w:ascii="宋体" w:hAnsi="宋体" w:cs="宋体" w:hint="eastAsia"/>
        </w:rPr>
        <w:t>涨</w:t>
      </w:r>
      <w:r>
        <w:rPr>
          <w:rFonts w:ascii="宋体" w:hAnsi="宋体" w:cs="宋体"/>
        </w:rPr>
        <w:t>0.</w:t>
      </w:r>
      <w:r w:rsidR="00312B57">
        <w:rPr>
          <w:rFonts w:ascii="宋体" w:hAnsi="宋体" w:cs="宋体" w:hint="eastAsia"/>
        </w:rPr>
        <w:t>27</w:t>
      </w:r>
      <w:r>
        <w:rPr>
          <w:rFonts w:ascii="宋体" w:hAnsi="宋体" w:cs="宋体" w:hint="eastAsia"/>
        </w:rPr>
        <w:t>%</w:t>
      </w:r>
      <w:r>
        <w:rPr>
          <w:rFonts w:ascii="宋体" w:hAnsi="宋体" w:cs="宋体" w:hint="eastAsia"/>
        </w:rPr>
        <w:t>。新交所美元兑离岸人民币期货主力合约</w:t>
      </w:r>
      <w:r>
        <w:rPr>
          <w:rFonts w:ascii="宋体" w:hAnsi="宋体" w:cs="宋体"/>
        </w:rPr>
        <w:t>UC</w:t>
      </w:r>
      <w:r w:rsidR="00312B57">
        <w:rPr>
          <w:rFonts w:ascii="宋体" w:hAnsi="宋体" w:cs="宋体" w:hint="eastAsia"/>
        </w:rPr>
        <w:t>F</w:t>
      </w:r>
      <w:r>
        <w:rPr>
          <w:rFonts w:ascii="宋体" w:hAnsi="宋体" w:cs="宋体"/>
        </w:rPr>
        <w:t>2</w:t>
      </w:r>
      <w:r w:rsidR="00312B57">
        <w:rPr>
          <w:rFonts w:ascii="宋体" w:hAnsi="宋体" w:cs="宋体" w:hint="eastAsia"/>
        </w:rPr>
        <w:t>5</w:t>
      </w:r>
      <w:r>
        <w:rPr>
          <w:rFonts w:ascii="宋体" w:hAnsi="宋体" w:cs="宋体" w:hint="eastAsia"/>
        </w:rPr>
        <w:t>收</w:t>
      </w:r>
      <w:r w:rsidR="00312B57">
        <w:rPr>
          <w:rFonts w:ascii="宋体" w:hAnsi="宋体" w:cs="宋体" w:hint="eastAsia"/>
        </w:rPr>
        <w:t>涨</w:t>
      </w:r>
      <w:r>
        <w:rPr>
          <w:rFonts w:ascii="宋体" w:hAnsi="宋体" w:cs="宋体"/>
        </w:rPr>
        <w:t>0.</w:t>
      </w:r>
      <w:r w:rsidR="00312B57">
        <w:rPr>
          <w:rFonts w:ascii="宋体" w:hAnsi="宋体" w:cs="宋体" w:hint="eastAsia"/>
        </w:rPr>
        <w:t>40</w:t>
      </w:r>
      <w:r>
        <w:rPr>
          <w:rFonts w:ascii="宋体" w:hAnsi="宋体" w:cs="宋体" w:hint="eastAsia"/>
        </w:rPr>
        <w:t>%</w:t>
      </w:r>
      <w:r>
        <w:rPr>
          <w:rFonts w:ascii="宋体" w:hAnsi="宋体" w:cs="宋体" w:hint="eastAsia"/>
        </w:rPr>
        <w:t>。</w:t>
      </w:r>
    </w:p>
    <w:p w14:paraId="0445534C" w14:textId="5EC8A62E" w:rsidR="0087172E" w:rsidRDefault="00BB7F54">
      <w:pPr>
        <w:spacing w:line="312" w:lineRule="auto"/>
        <w:ind w:firstLine="420"/>
      </w:pPr>
      <w:r>
        <w:rPr>
          <w:rFonts w:ascii="宋体" w:hAnsi="宋体" w:cs="宋体" w:hint="eastAsia"/>
        </w:rPr>
        <w:t>美元兑在岸人民币</w:t>
      </w:r>
      <w:r>
        <w:t>收报</w:t>
      </w:r>
      <w:r>
        <w:t>7.</w:t>
      </w:r>
      <w:r w:rsidR="00312B57">
        <w:rPr>
          <w:rFonts w:hint="eastAsia"/>
        </w:rPr>
        <w:t>2795</w:t>
      </w:r>
      <w:r>
        <w:t>，</w:t>
      </w:r>
      <w:r>
        <w:rPr>
          <w:rFonts w:hint="eastAsia"/>
        </w:rPr>
        <w:t>美元兑离岸人民币收报</w:t>
      </w:r>
      <w:r>
        <w:rPr>
          <w:rFonts w:hint="eastAsia"/>
        </w:rPr>
        <w:t>7</w:t>
      </w:r>
      <w:r>
        <w:t>.</w:t>
      </w:r>
      <w:r w:rsidR="00312B57">
        <w:rPr>
          <w:rFonts w:hint="eastAsia"/>
        </w:rPr>
        <w:t>2795</w:t>
      </w:r>
      <w:r>
        <w:rPr>
          <w:rFonts w:hint="eastAsia"/>
        </w:rPr>
        <w:t>，在当周</w:t>
      </w:r>
      <w:r>
        <w:t>分别</w:t>
      </w:r>
      <w:r>
        <w:rPr>
          <w:rFonts w:hint="eastAsia"/>
        </w:rPr>
        <w:t>上</w:t>
      </w:r>
      <w:r>
        <w:t>调</w:t>
      </w:r>
      <w:r w:rsidR="00312B57">
        <w:rPr>
          <w:rFonts w:hint="eastAsia"/>
        </w:rPr>
        <w:t>213</w:t>
      </w:r>
      <w:r>
        <w:t>和</w:t>
      </w:r>
      <w:r w:rsidR="00312B57">
        <w:rPr>
          <w:rFonts w:hint="eastAsia"/>
        </w:rPr>
        <w:t>下</w:t>
      </w:r>
      <w:r>
        <w:t>调</w:t>
      </w:r>
      <w:r w:rsidR="00312B57">
        <w:rPr>
          <w:rFonts w:hint="eastAsia"/>
        </w:rPr>
        <w:t>44</w:t>
      </w:r>
      <w:r>
        <w:rPr>
          <w:rFonts w:hint="eastAsia"/>
        </w:rPr>
        <w:t>个基点</w:t>
      </w:r>
      <w:r>
        <w:t>。欧元兑人民币报</w:t>
      </w:r>
      <w:r>
        <w:t>7.</w:t>
      </w:r>
      <w:r w:rsidR="006A35D1">
        <w:rPr>
          <w:rFonts w:hint="eastAsia"/>
        </w:rPr>
        <w:t>6314</w:t>
      </w:r>
      <w:r>
        <w:t>、英镑兑人民币报</w:t>
      </w:r>
      <w:r>
        <w:t>9.</w:t>
      </w:r>
      <w:r w:rsidR="006A35D1">
        <w:rPr>
          <w:rFonts w:hint="eastAsia"/>
        </w:rPr>
        <w:t>1855</w:t>
      </w:r>
      <w:r>
        <w:t>、人民币兑日元报</w:t>
      </w:r>
      <w:r>
        <w:t>2</w:t>
      </w:r>
      <w:r w:rsidR="006A35D1">
        <w:rPr>
          <w:rFonts w:hint="eastAsia"/>
        </w:rPr>
        <w:t>1</w:t>
      </w:r>
      <w:r>
        <w:t>.</w:t>
      </w:r>
      <w:r w:rsidR="006A35D1">
        <w:rPr>
          <w:rFonts w:hint="eastAsia"/>
        </w:rPr>
        <w:t>1110</w:t>
      </w:r>
      <w:r>
        <w:t>，澳元兑人民币报</w:t>
      </w:r>
      <w:r>
        <w:t>4.</w:t>
      </w:r>
      <w:r>
        <w:rPr>
          <w:rFonts w:hint="eastAsia"/>
        </w:rPr>
        <w:t>6</w:t>
      </w:r>
      <w:r w:rsidR="006A35D1">
        <w:rPr>
          <w:rFonts w:hint="eastAsia"/>
        </w:rPr>
        <w:t>228</w:t>
      </w:r>
      <w:r>
        <w:rPr>
          <w:rFonts w:hint="eastAsia"/>
        </w:rPr>
        <w:t>，在当</w:t>
      </w:r>
      <w:r>
        <w:t>周分别</w:t>
      </w:r>
      <w:r w:rsidR="006A35D1">
        <w:rPr>
          <w:rFonts w:hint="eastAsia"/>
        </w:rPr>
        <w:t>跌</w:t>
      </w:r>
      <w:r w:rsidR="006A35D1">
        <w:rPr>
          <w:rFonts w:hint="eastAsia"/>
        </w:rPr>
        <w:t>491</w:t>
      </w:r>
      <w:r>
        <w:t>、</w:t>
      </w:r>
      <w:r w:rsidR="006A35D1">
        <w:rPr>
          <w:rFonts w:hint="eastAsia"/>
        </w:rPr>
        <w:t>跌</w:t>
      </w:r>
      <w:r w:rsidR="006A35D1">
        <w:rPr>
          <w:rFonts w:hint="eastAsia"/>
        </w:rPr>
        <w:t>815</w:t>
      </w:r>
      <w:r>
        <w:rPr>
          <w:rFonts w:hint="eastAsia"/>
        </w:rPr>
        <w:t>、</w:t>
      </w:r>
      <w:r w:rsidR="006A35D1">
        <w:rPr>
          <w:rFonts w:hint="eastAsia"/>
        </w:rPr>
        <w:t>涨</w:t>
      </w:r>
      <w:r w:rsidR="006A35D1">
        <w:rPr>
          <w:rFonts w:hint="eastAsia"/>
        </w:rPr>
        <w:t>4940</w:t>
      </w:r>
      <w:r>
        <w:t>和</w:t>
      </w:r>
      <w:r>
        <w:rPr>
          <w:rFonts w:hint="eastAsia"/>
        </w:rPr>
        <w:t>跌</w:t>
      </w:r>
      <w:r w:rsidR="006A35D1">
        <w:rPr>
          <w:rFonts w:hint="eastAsia"/>
        </w:rPr>
        <w:t>287</w:t>
      </w:r>
      <w:r>
        <w:rPr>
          <w:rFonts w:hint="eastAsia"/>
        </w:rPr>
        <w:t>个基点</w:t>
      </w:r>
      <w:r>
        <w:t>。</w:t>
      </w:r>
    </w:p>
    <w:p w14:paraId="72993B3C" w14:textId="20198291" w:rsidR="0087172E" w:rsidRDefault="00BB7F54">
      <w:pPr>
        <w:spacing w:line="312" w:lineRule="auto"/>
        <w:ind w:firstLine="420"/>
      </w:pPr>
      <w:r>
        <w:rPr>
          <w:rFonts w:hint="eastAsia"/>
        </w:rPr>
        <w:t>上周央行公开市场累计进行了</w:t>
      </w:r>
      <w:r w:rsidR="006A35D1">
        <w:rPr>
          <w:rFonts w:hint="eastAsia"/>
        </w:rPr>
        <w:t>5</w:t>
      </w:r>
      <w:r>
        <w:t>,</w:t>
      </w:r>
      <w:r w:rsidR="006A35D1">
        <w:rPr>
          <w:rFonts w:hint="eastAsia"/>
        </w:rPr>
        <w:t>385</w:t>
      </w:r>
      <w:r>
        <w:rPr>
          <w:rFonts w:hint="eastAsia"/>
        </w:rPr>
        <w:t>亿元逆回购操作，当周央行公开市场有</w:t>
      </w:r>
      <w:r w:rsidR="006A35D1">
        <w:rPr>
          <w:rFonts w:hint="eastAsia"/>
        </w:rPr>
        <w:t>3</w:t>
      </w:r>
      <w:r>
        <w:t>,</w:t>
      </w:r>
      <w:r w:rsidR="006A35D1">
        <w:rPr>
          <w:rFonts w:hint="eastAsia"/>
        </w:rPr>
        <w:t>541</w:t>
      </w:r>
      <w:r>
        <w:rPr>
          <w:rFonts w:hint="eastAsia"/>
        </w:rPr>
        <w:t>亿元逆回购到期，因此净</w:t>
      </w:r>
      <w:r w:rsidR="006A35D1">
        <w:rPr>
          <w:rFonts w:hint="eastAsia"/>
        </w:rPr>
        <w:t>投放</w:t>
      </w:r>
      <w:r>
        <w:rPr>
          <w:rFonts w:hint="eastAsia"/>
        </w:rPr>
        <w:t>1</w:t>
      </w:r>
      <w:r>
        <w:t>,</w:t>
      </w:r>
      <w:r w:rsidR="006A35D1">
        <w:rPr>
          <w:rFonts w:hint="eastAsia"/>
        </w:rPr>
        <w:t>844</w:t>
      </w:r>
      <w:r>
        <w:rPr>
          <w:rFonts w:hint="eastAsia"/>
        </w:rPr>
        <w:t>亿元。</w:t>
      </w:r>
    </w:p>
    <w:p w14:paraId="7B826893" w14:textId="77777777" w:rsidR="0087172E" w:rsidRDefault="00BB7F54">
      <w:pPr>
        <w:numPr>
          <w:ilvl w:val="0"/>
          <w:numId w:val="1"/>
        </w:numPr>
        <w:spacing w:beforeLines="50" w:before="156" w:line="312" w:lineRule="auto"/>
        <w:rPr>
          <w:rFonts w:ascii="微软雅黑" w:eastAsia="微软雅黑" w:hAnsi="微软雅黑"/>
          <w:bCs/>
          <w:sz w:val="28"/>
          <w:szCs w:val="28"/>
        </w:rPr>
      </w:pPr>
      <w:r>
        <w:rPr>
          <w:rFonts w:ascii="微软雅黑" w:eastAsia="微软雅黑" w:hAnsi="微软雅黑" w:hint="eastAsia"/>
          <w:b/>
          <w:bCs/>
          <w:sz w:val="28"/>
          <w:szCs w:val="28"/>
        </w:rPr>
        <w:t>消息回顾</w:t>
      </w:r>
    </w:p>
    <w:p w14:paraId="54F2D24D" w14:textId="5C40387A" w:rsidR="0087172E" w:rsidRDefault="00BB7F54">
      <w:pPr>
        <w:spacing w:line="312" w:lineRule="auto"/>
        <w:ind w:firstLine="420"/>
      </w:pPr>
      <w:r>
        <w:t>1</w:t>
      </w:r>
      <w:r>
        <w:rPr>
          <w:rFonts w:hint="eastAsia"/>
        </w:rPr>
        <w:t>、</w:t>
      </w:r>
      <w:r w:rsidR="006A35D1" w:rsidRPr="006A35D1">
        <w:rPr>
          <w:rFonts w:hint="eastAsia"/>
        </w:rPr>
        <w:t>中央经济工作会议</w:t>
      </w:r>
      <w:r w:rsidR="006A35D1" w:rsidRPr="006A35D1">
        <w:rPr>
          <w:rFonts w:hint="eastAsia"/>
        </w:rPr>
        <w:t>12</w:t>
      </w:r>
      <w:r w:rsidR="006A35D1" w:rsidRPr="006A35D1">
        <w:rPr>
          <w:rFonts w:hint="eastAsia"/>
        </w:rPr>
        <w:t>月</w:t>
      </w:r>
      <w:r w:rsidR="006A35D1" w:rsidRPr="006A35D1">
        <w:rPr>
          <w:rFonts w:hint="eastAsia"/>
        </w:rPr>
        <w:t>11</w:t>
      </w:r>
      <w:r w:rsidR="006A35D1" w:rsidRPr="006A35D1">
        <w:rPr>
          <w:rFonts w:hint="eastAsia"/>
        </w:rPr>
        <w:t>日至</w:t>
      </w:r>
      <w:r w:rsidR="006A35D1" w:rsidRPr="006A35D1">
        <w:rPr>
          <w:rFonts w:hint="eastAsia"/>
        </w:rPr>
        <w:t>12</w:t>
      </w:r>
      <w:r w:rsidR="006A35D1" w:rsidRPr="006A35D1">
        <w:rPr>
          <w:rFonts w:hint="eastAsia"/>
        </w:rPr>
        <w:t>日在北京举行。会议要求，明年要实施更加积极的财政政策，提高财政赤字率，确保财政政策持续用力、更加给力。增加发行超长期特别国债，增加地方政府专项债券发行使用，优化财政支出结构，兜牢基层“三保”底线。要实施适度宽松的货币政策，适时降准降息，保持流动性充裕。保持人民币汇率在合理均衡水平上的基本稳定。探索拓展中央银行宏观审慎与金融稳定功能，创新金融工具，维护金融市场稳定。大力提振消费、提高投资效益，全方位扩大国内需求</w:t>
      </w:r>
      <w:r>
        <w:rPr>
          <w:rFonts w:hint="eastAsia"/>
        </w:rPr>
        <w:t>。</w:t>
      </w:r>
    </w:p>
    <w:p w14:paraId="027ABA67" w14:textId="747B8C27" w:rsidR="0087172E" w:rsidRDefault="00BB7F54">
      <w:pPr>
        <w:spacing w:line="312" w:lineRule="auto"/>
        <w:ind w:firstLine="420"/>
      </w:pPr>
      <w:r>
        <w:rPr>
          <w:rFonts w:hint="eastAsia"/>
        </w:rPr>
        <w:t>2</w:t>
      </w:r>
      <w:r>
        <w:rPr>
          <w:rFonts w:hint="eastAsia"/>
        </w:rPr>
        <w:t>、</w:t>
      </w:r>
      <w:r w:rsidR="006A35D1" w:rsidRPr="006A35D1">
        <w:rPr>
          <w:rFonts w:hint="eastAsia"/>
        </w:rPr>
        <w:t>中国</w:t>
      </w:r>
      <w:r w:rsidR="006A35D1" w:rsidRPr="006A35D1">
        <w:rPr>
          <w:rFonts w:hint="eastAsia"/>
        </w:rPr>
        <w:t>11</w:t>
      </w:r>
      <w:r w:rsidR="006A35D1" w:rsidRPr="006A35D1">
        <w:rPr>
          <w:rFonts w:hint="eastAsia"/>
        </w:rPr>
        <w:t>月金融数据重磅出炉。央行数据显示，</w:t>
      </w:r>
      <w:r w:rsidR="006A35D1" w:rsidRPr="006A35D1">
        <w:rPr>
          <w:rFonts w:hint="eastAsia"/>
        </w:rPr>
        <w:t>11</w:t>
      </w:r>
      <w:r w:rsidR="006A35D1" w:rsidRPr="006A35D1">
        <w:rPr>
          <w:rFonts w:hint="eastAsia"/>
        </w:rPr>
        <w:t>月末，</w:t>
      </w:r>
      <w:r w:rsidR="006A35D1" w:rsidRPr="006A35D1">
        <w:rPr>
          <w:rFonts w:hint="eastAsia"/>
        </w:rPr>
        <w:t>M2</w:t>
      </w:r>
      <w:r w:rsidR="006A35D1" w:rsidRPr="006A35D1">
        <w:rPr>
          <w:rFonts w:hint="eastAsia"/>
        </w:rPr>
        <w:t>余额同比增长</w:t>
      </w:r>
      <w:r w:rsidR="006A35D1" w:rsidRPr="006A35D1">
        <w:rPr>
          <w:rFonts w:hint="eastAsia"/>
        </w:rPr>
        <w:t>7.1%</w:t>
      </w:r>
      <w:r w:rsidR="006A35D1" w:rsidRPr="006A35D1">
        <w:rPr>
          <w:rFonts w:hint="eastAsia"/>
        </w:rPr>
        <w:t>，</w:t>
      </w:r>
      <w:r w:rsidR="006A35D1" w:rsidRPr="006A35D1">
        <w:rPr>
          <w:rFonts w:hint="eastAsia"/>
        </w:rPr>
        <w:t>M1</w:t>
      </w:r>
      <w:r w:rsidR="006A35D1" w:rsidRPr="006A35D1">
        <w:rPr>
          <w:rFonts w:hint="eastAsia"/>
        </w:rPr>
        <w:t>余额同比下降</w:t>
      </w:r>
      <w:r w:rsidR="006A35D1" w:rsidRPr="006A35D1">
        <w:rPr>
          <w:rFonts w:hint="eastAsia"/>
        </w:rPr>
        <w:t>3.7%</w:t>
      </w:r>
      <w:r w:rsidR="006A35D1" w:rsidRPr="006A35D1">
        <w:rPr>
          <w:rFonts w:hint="eastAsia"/>
        </w:rPr>
        <w:t>。前</w:t>
      </w:r>
      <w:r w:rsidR="006A35D1" w:rsidRPr="006A35D1">
        <w:rPr>
          <w:rFonts w:hint="eastAsia"/>
        </w:rPr>
        <w:t>11</w:t>
      </w:r>
      <w:r w:rsidR="006A35D1" w:rsidRPr="006A35D1">
        <w:rPr>
          <w:rFonts w:hint="eastAsia"/>
        </w:rPr>
        <w:t>个月，人民币贷款增加</w:t>
      </w:r>
      <w:r w:rsidR="006A35D1" w:rsidRPr="006A35D1">
        <w:rPr>
          <w:rFonts w:hint="eastAsia"/>
        </w:rPr>
        <w:t>17.1</w:t>
      </w:r>
      <w:r w:rsidR="006A35D1" w:rsidRPr="006A35D1">
        <w:rPr>
          <w:rFonts w:hint="eastAsia"/>
        </w:rPr>
        <w:t>万亿元；社会融资规模增量累计为</w:t>
      </w:r>
      <w:r w:rsidR="006A35D1" w:rsidRPr="006A35D1">
        <w:rPr>
          <w:rFonts w:hint="eastAsia"/>
        </w:rPr>
        <w:t>29.4</w:t>
      </w:r>
      <w:r w:rsidR="006A35D1" w:rsidRPr="006A35D1">
        <w:rPr>
          <w:rFonts w:hint="eastAsia"/>
        </w:rPr>
        <w:t>万亿元，比上年同期少</w:t>
      </w:r>
      <w:r w:rsidR="006A35D1" w:rsidRPr="006A35D1">
        <w:rPr>
          <w:rFonts w:hint="eastAsia"/>
        </w:rPr>
        <w:t>4.24</w:t>
      </w:r>
      <w:r w:rsidR="006A35D1" w:rsidRPr="006A35D1">
        <w:rPr>
          <w:rFonts w:hint="eastAsia"/>
        </w:rPr>
        <w:t>万亿元。据央行初步统计，</w:t>
      </w:r>
      <w:r w:rsidR="006A35D1" w:rsidRPr="006A35D1">
        <w:rPr>
          <w:rFonts w:hint="eastAsia"/>
        </w:rPr>
        <w:t>11</w:t>
      </w:r>
      <w:r w:rsidR="006A35D1" w:rsidRPr="006A35D1">
        <w:rPr>
          <w:rFonts w:hint="eastAsia"/>
        </w:rPr>
        <w:t>月新发放企业贷款加权平均利率</w:t>
      </w:r>
      <w:r w:rsidR="006A35D1" w:rsidRPr="006A35D1">
        <w:rPr>
          <w:rFonts w:hint="eastAsia"/>
        </w:rPr>
        <w:t>3.45%</w:t>
      </w:r>
      <w:r w:rsidR="006A35D1" w:rsidRPr="006A35D1">
        <w:rPr>
          <w:rFonts w:hint="eastAsia"/>
        </w:rPr>
        <w:t>，新发放个人住房贷款利率为</w:t>
      </w:r>
      <w:r w:rsidR="006A35D1" w:rsidRPr="006A35D1">
        <w:rPr>
          <w:rFonts w:hint="eastAsia"/>
        </w:rPr>
        <w:t>3.08%</w:t>
      </w:r>
      <w:r w:rsidR="006A35D1" w:rsidRPr="006A35D1">
        <w:rPr>
          <w:rFonts w:hint="eastAsia"/>
        </w:rPr>
        <w:t>，均处于历史低位</w:t>
      </w:r>
      <w:r>
        <w:rPr>
          <w:rFonts w:hint="eastAsia"/>
        </w:rPr>
        <w:t>。</w:t>
      </w:r>
    </w:p>
    <w:p w14:paraId="394DC082" w14:textId="7DE37518" w:rsidR="0087172E" w:rsidRDefault="00BB7F54">
      <w:pPr>
        <w:spacing w:line="312" w:lineRule="auto"/>
        <w:ind w:firstLine="420"/>
      </w:pPr>
      <w:r>
        <w:t>3</w:t>
      </w:r>
      <w:r>
        <w:rPr>
          <w:rFonts w:hint="eastAsia"/>
        </w:rPr>
        <w:t>、</w:t>
      </w:r>
      <w:bookmarkStart w:id="0" w:name="_GoBack"/>
      <w:r w:rsidR="009F2447" w:rsidRPr="009F2447">
        <w:rPr>
          <w:rFonts w:hint="eastAsia"/>
        </w:rPr>
        <w:t>美国</w:t>
      </w:r>
      <w:r w:rsidR="009F2447" w:rsidRPr="009F2447">
        <w:rPr>
          <w:rFonts w:hint="eastAsia"/>
        </w:rPr>
        <w:t>11</w:t>
      </w:r>
      <w:r w:rsidR="009F2447" w:rsidRPr="009F2447">
        <w:rPr>
          <w:rFonts w:hint="eastAsia"/>
        </w:rPr>
        <w:t>月未季调</w:t>
      </w:r>
      <w:r w:rsidR="009F2447" w:rsidRPr="009F2447">
        <w:rPr>
          <w:rFonts w:hint="eastAsia"/>
        </w:rPr>
        <w:t>CPI</w:t>
      </w:r>
      <w:r w:rsidR="009F2447" w:rsidRPr="009F2447">
        <w:rPr>
          <w:rFonts w:hint="eastAsia"/>
        </w:rPr>
        <w:t>同比升</w:t>
      </w:r>
      <w:r w:rsidR="009F2447" w:rsidRPr="009F2447">
        <w:rPr>
          <w:rFonts w:hint="eastAsia"/>
        </w:rPr>
        <w:t>2.7%</w:t>
      </w:r>
      <w:r w:rsidR="009F2447" w:rsidRPr="009F2447">
        <w:rPr>
          <w:rFonts w:hint="eastAsia"/>
        </w:rPr>
        <w:t>，预期升</w:t>
      </w:r>
      <w:r w:rsidR="009F2447" w:rsidRPr="009F2447">
        <w:rPr>
          <w:rFonts w:hint="eastAsia"/>
        </w:rPr>
        <w:t>2.7%</w:t>
      </w:r>
      <w:r w:rsidR="009F2447" w:rsidRPr="009F2447">
        <w:rPr>
          <w:rFonts w:hint="eastAsia"/>
        </w:rPr>
        <w:t>，前值升</w:t>
      </w:r>
      <w:r w:rsidR="009F2447" w:rsidRPr="009F2447">
        <w:rPr>
          <w:rFonts w:hint="eastAsia"/>
        </w:rPr>
        <w:t>2.6%</w:t>
      </w:r>
      <w:r w:rsidR="009F2447" w:rsidRPr="009F2447">
        <w:rPr>
          <w:rFonts w:hint="eastAsia"/>
        </w:rPr>
        <w:t>；季调后</w:t>
      </w:r>
      <w:r w:rsidR="009F2447" w:rsidRPr="009F2447">
        <w:rPr>
          <w:rFonts w:hint="eastAsia"/>
        </w:rPr>
        <w:t>CPI</w:t>
      </w:r>
      <w:r w:rsidR="009F2447" w:rsidRPr="009F2447">
        <w:rPr>
          <w:rFonts w:hint="eastAsia"/>
        </w:rPr>
        <w:t>环比升</w:t>
      </w:r>
      <w:r w:rsidR="009F2447" w:rsidRPr="009F2447">
        <w:rPr>
          <w:rFonts w:hint="eastAsia"/>
        </w:rPr>
        <w:t>0.3%</w:t>
      </w:r>
      <w:r w:rsidR="009F2447" w:rsidRPr="009F2447">
        <w:rPr>
          <w:rFonts w:hint="eastAsia"/>
        </w:rPr>
        <w:t>，预期升</w:t>
      </w:r>
      <w:r w:rsidR="009F2447" w:rsidRPr="009F2447">
        <w:rPr>
          <w:rFonts w:hint="eastAsia"/>
        </w:rPr>
        <w:t>0.3%</w:t>
      </w:r>
      <w:r w:rsidR="009F2447" w:rsidRPr="009F2447">
        <w:rPr>
          <w:rFonts w:hint="eastAsia"/>
        </w:rPr>
        <w:t>，前值升</w:t>
      </w:r>
      <w:r w:rsidR="009F2447" w:rsidRPr="009F2447">
        <w:rPr>
          <w:rFonts w:hint="eastAsia"/>
        </w:rPr>
        <w:t>0.2%</w:t>
      </w:r>
      <w:r w:rsidR="009F2447" w:rsidRPr="009F2447">
        <w:rPr>
          <w:rFonts w:hint="eastAsia"/>
        </w:rPr>
        <w:t>。未季调核心</w:t>
      </w:r>
      <w:r w:rsidR="009F2447" w:rsidRPr="009F2447">
        <w:rPr>
          <w:rFonts w:hint="eastAsia"/>
        </w:rPr>
        <w:t>CPI</w:t>
      </w:r>
      <w:r w:rsidR="009F2447" w:rsidRPr="009F2447">
        <w:rPr>
          <w:rFonts w:hint="eastAsia"/>
        </w:rPr>
        <w:t>同比升</w:t>
      </w:r>
      <w:r w:rsidR="009F2447" w:rsidRPr="009F2447">
        <w:rPr>
          <w:rFonts w:hint="eastAsia"/>
        </w:rPr>
        <w:t>3.3%</w:t>
      </w:r>
      <w:r w:rsidR="009F2447" w:rsidRPr="009F2447">
        <w:rPr>
          <w:rFonts w:hint="eastAsia"/>
        </w:rPr>
        <w:t>，预期升</w:t>
      </w:r>
      <w:r w:rsidR="009F2447" w:rsidRPr="009F2447">
        <w:rPr>
          <w:rFonts w:hint="eastAsia"/>
        </w:rPr>
        <w:t>3.3%</w:t>
      </w:r>
      <w:r w:rsidR="009F2447" w:rsidRPr="009F2447">
        <w:rPr>
          <w:rFonts w:hint="eastAsia"/>
        </w:rPr>
        <w:t>，前值升</w:t>
      </w:r>
      <w:r w:rsidR="009F2447" w:rsidRPr="009F2447">
        <w:rPr>
          <w:rFonts w:hint="eastAsia"/>
        </w:rPr>
        <w:t>3.3%</w:t>
      </w:r>
      <w:r w:rsidR="009F2447" w:rsidRPr="009F2447">
        <w:rPr>
          <w:rFonts w:hint="eastAsia"/>
        </w:rPr>
        <w:t>；季调后核心</w:t>
      </w:r>
      <w:r w:rsidR="009F2447" w:rsidRPr="009F2447">
        <w:rPr>
          <w:rFonts w:hint="eastAsia"/>
        </w:rPr>
        <w:t>CPI</w:t>
      </w:r>
      <w:r w:rsidR="009F2447" w:rsidRPr="009F2447">
        <w:rPr>
          <w:rFonts w:hint="eastAsia"/>
        </w:rPr>
        <w:t>环比升</w:t>
      </w:r>
      <w:r w:rsidR="009F2447" w:rsidRPr="009F2447">
        <w:rPr>
          <w:rFonts w:hint="eastAsia"/>
        </w:rPr>
        <w:t>0.3%</w:t>
      </w:r>
      <w:r w:rsidR="009F2447" w:rsidRPr="009F2447">
        <w:rPr>
          <w:rFonts w:hint="eastAsia"/>
        </w:rPr>
        <w:t>，预期升</w:t>
      </w:r>
      <w:r w:rsidR="009F2447" w:rsidRPr="009F2447">
        <w:rPr>
          <w:rFonts w:hint="eastAsia"/>
        </w:rPr>
        <w:t>0.3%</w:t>
      </w:r>
      <w:r w:rsidR="009F2447" w:rsidRPr="009F2447">
        <w:rPr>
          <w:rFonts w:hint="eastAsia"/>
        </w:rPr>
        <w:t>，前值升</w:t>
      </w:r>
      <w:r w:rsidR="009F2447" w:rsidRPr="009F2447">
        <w:rPr>
          <w:rFonts w:hint="eastAsia"/>
        </w:rPr>
        <w:t>0.3%</w:t>
      </w:r>
      <w:r>
        <w:rPr>
          <w:rFonts w:hint="eastAsia"/>
        </w:rPr>
        <w:t>。</w:t>
      </w:r>
      <w:bookmarkEnd w:id="0"/>
    </w:p>
    <w:p w14:paraId="76DF12D1" w14:textId="64B806D7" w:rsidR="0087172E" w:rsidRDefault="00BB7F54">
      <w:pPr>
        <w:spacing w:line="312" w:lineRule="auto"/>
        <w:ind w:firstLine="420"/>
      </w:pPr>
      <w:r>
        <w:rPr>
          <w:rFonts w:hint="eastAsia"/>
        </w:rPr>
        <w:lastRenderedPageBreak/>
        <w:t>4</w:t>
      </w:r>
      <w:r>
        <w:rPr>
          <w:rFonts w:hint="eastAsia"/>
        </w:rPr>
        <w:t>、</w:t>
      </w:r>
      <w:r w:rsidR="009F2447" w:rsidRPr="009F2447">
        <w:rPr>
          <w:rFonts w:hint="eastAsia"/>
        </w:rPr>
        <w:t>美国</w:t>
      </w:r>
      <w:r w:rsidR="009F2447" w:rsidRPr="009F2447">
        <w:rPr>
          <w:rFonts w:hint="eastAsia"/>
        </w:rPr>
        <w:t>11</w:t>
      </w:r>
      <w:r w:rsidR="009F2447" w:rsidRPr="009F2447">
        <w:rPr>
          <w:rFonts w:hint="eastAsia"/>
        </w:rPr>
        <w:t>月</w:t>
      </w:r>
      <w:r w:rsidR="009F2447" w:rsidRPr="009F2447">
        <w:rPr>
          <w:rFonts w:hint="eastAsia"/>
        </w:rPr>
        <w:t>PPI</w:t>
      </w:r>
      <w:r w:rsidR="009F2447" w:rsidRPr="009F2447">
        <w:rPr>
          <w:rFonts w:hint="eastAsia"/>
        </w:rPr>
        <w:t>同比升</w:t>
      </w:r>
      <w:r w:rsidR="009F2447" w:rsidRPr="009F2447">
        <w:rPr>
          <w:rFonts w:hint="eastAsia"/>
        </w:rPr>
        <w:t>3.0%</w:t>
      </w:r>
      <w:r w:rsidR="009F2447" w:rsidRPr="009F2447">
        <w:rPr>
          <w:rFonts w:hint="eastAsia"/>
        </w:rPr>
        <w:t>，预期升</w:t>
      </w:r>
      <w:r w:rsidR="009F2447" w:rsidRPr="009F2447">
        <w:rPr>
          <w:rFonts w:hint="eastAsia"/>
        </w:rPr>
        <w:t>2.6%</w:t>
      </w:r>
      <w:r w:rsidR="009F2447" w:rsidRPr="009F2447">
        <w:rPr>
          <w:rFonts w:hint="eastAsia"/>
        </w:rPr>
        <w:t>，前值从升</w:t>
      </w:r>
      <w:r w:rsidR="009F2447" w:rsidRPr="009F2447">
        <w:rPr>
          <w:rFonts w:hint="eastAsia"/>
        </w:rPr>
        <w:t>2.4%</w:t>
      </w:r>
      <w:r w:rsidR="009F2447" w:rsidRPr="009F2447">
        <w:rPr>
          <w:rFonts w:hint="eastAsia"/>
        </w:rPr>
        <w:t>修正为升</w:t>
      </w:r>
      <w:r w:rsidR="009F2447" w:rsidRPr="009F2447">
        <w:rPr>
          <w:rFonts w:hint="eastAsia"/>
        </w:rPr>
        <w:t>2.6%</w:t>
      </w:r>
      <w:r w:rsidR="009F2447" w:rsidRPr="009F2447">
        <w:rPr>
          <w:rFonts w:hint="eastAsia"/>
        </w:rPr>
        <w:t>；环比升</w:t>
      </w:r>
      <w:r w:rsidR="009F2447" w:rsidRPr="009F2447">
        <w:rPr>
          <w:rFonts w:hint="eastAsia"/>
        </w:rPr>
        <w:t>0.4%</w:t>
      </w:r>
      <w:r w:rsidR="009F2447" w:rsidRPr="009F2447">
        <w:rPr>
          <w:rFonts w:hint="eastAsia"/>
        </w:rPr>
        <w:t>，预期升</w:t>
      </w:r>
      <w:r w:rsidR="009F2447" w:rsidRPr="009F2447">
        <w:rPr>
          <w:rFonts w:hint="eastAsia"/>
        </w:rPr>
        <w:t>0.2%</w:t>
      </w:r>
      <w:r w:rsidR="009F2447" w:rsidRPr="009F2447">
        <w:rPr>
          <w:rFonts w:hint="eastAsia"/>
        </w:rPr>
        <w:t>，前值从升</w:t>
      </w:r>
      <w:r w:rsidR="009F2447" w:rsidRPr="009F2447">
        <w:rPr>
          <w:rFonts w:hint="eastAsia"/>
        </w:rPr>
        <w:t>0.2%</w:t>
      </w:r>
      <w:r w:rsidR="009F2447" w:rsidRPr="009F2447">
        <w:rPr>
          <w:rFonts w:hint="eastAsia"/>
        </w:rPr>
        <w:t>修正为升</w:t>
      </w:r>
      <w:r w:rsidR="009F2447" w:rsidRPr="009F2447">
        <w:rPr>
          <w:rFonts w:hint="eastAsia"/>
        </w:rPr>
        <w:t>0.3%</w:t>
      </w:r>
      <w:r w:rsidR="009F2447" w:rsidRPr="009F2447">
        <w:rPr>
          <w:rFonts w:hint="eastAsia"/>
        </w:rPr>
        <w:t>。核心</w:t>
      </w:r>
      <w:r w:rsidR="009F2447" w:rsidRPr="009F2447">
        <w:rPr>
          <w:rFonts w:hint="eastAsia"/>
        </w:rPr>
        <w:t>PPI</w:t>
      </w:r>
      <w:r w:rsidR="009F2447" w:rsidRPr="009F2447">
        <w:rPr>
          <w:rFonts w:hint="eastAsia"/>
        </w:rPr>
        <w:t>同比升</w:t>
      </w:r>
      <w:r w:rsidR="009F2447" w:rsidRPr="009F2447">
        <w:rPr>
          <w:rFonts w:hint="eastAsia"/>
        </w:rPr>
        <w:t>3.4%</w:t>
      </w:r>
      <w:r w:rsidR="009F2447" w:rsidRPr="009F2447">
        <w:rPr>
          <w:rFonts w:hint="eastAsia"/>
        </w:rPr>
        <w:t>，预期升</w:t>
      </w:r>
      <w:r w:rsidR="009F2447" w:rsidRPr="009F2447">
        <w:rPr>
          <w:rFonts w:hint="eastAsia"/>
        </w:rPr>
        <w:t>3.2%</w:t>
      </w:r>
      <w:r w:rsidR="009F2447" w:rsidRPr="009F2447">
        <w:rPr>
          <w:rFonts w:hint="eastAsia"/>
        </w:rPr>
        <w:t>，前值从升</w:t>
      </w:r>
      <w:r w:rsidR="009F2447" w:rsidRPr="009F2447">
        <w:rPr>
          <w:rFonts w:hint="eastAsia"/>
        </w:rPr>
        <w:t>3.1%</w:t>
      </w:r>
      <w:r w:rsidR="009F2447" w:rsidRPr="009F2447">
        <w:rPr>
          <w:rFonts w:hint="eastAsia"/>
        </w:rPr>
        <w:t>修正为升</w:t>
      </w:r>
      <w:r w:rsidR="009F2447" w:rsidRPr="009F2447">
        <w:rPr>
          <w:rFonts w:hint="eastAsia"/>
        </w:rPr>
        <w:t>3.4%</w:t>
      </w:r>
      <w:r w:rsidR="009F2447" w:rsidRPr="009F2447">
        <w:rPr>
          <w:rFonts w:hint="eastAsia"/>
        </w:rPr>
        <w:t>；环比升</w:t>
      </w:r>
      <w:r w:rsidR="009F2447" w:rsidRPr="009F2447">
        <w:rPr>
          <w:rFonts w:hint="eastAsia"/>
        </w:rPr>
        <w:t>0.2%</w:t>
      </w:r>
      <w:r w:rsidR="009F2447" w:rsidRPr="009F2447">
        <w:rPr>
          <w:rFonts w:hint="eastAsia"/>
        </w:rPr>
        <w:t>，预期升</w:t>
      </w:r>
      <w:r w:rsidR="009F2447" w:rsidRPr="009F2447">
        <w:rPr>
          <w:rFonts w:hint="eastAsia"/>
        </w:rPr>
        <w:t>0.2%</w:t>
      </w:r>
      <w:r w:rsidR="009F2447" w:rsidRPr="009F2447">
        <w:rPr>
          <w:rFonts w:hint="eastAsia"/>
        </w:rPr>
        <w:t>，前值从持平修正为升</w:t>
      </w:r>
      <w:r w:rsidR="009F2447" w:rsidRPr="009F2447">
        <w:rPr>
          <w:rFonts w:hint="eastAsia"/>
        </w:rPr>
        <w:t>0.3%</w:t>
      </w:r>
      <w:r>
        <w:rPr>
          <w:rFonts w:hint="eastAsia"/>
        </w:rPr>
        <w:t>。</w:t>
      </w:r>
    </w:p>
    <w:p w14:paraId="66E1D9BA" w14:textId="77777777" w:rsidR="0087172E" w:rsidRDefault="00BB7F54">
      <w:pPr>
        <w:numPr>
          <w:ilvl w:val="0"/>
          <w:numId w:val="1"/>
        </w:numPr>
        <w:spacing w:beforeLines="50" w:before="156" w:line="312" w:lineRule="auto"/>
        <w:rPr>
          <w:rFonts w:ascii="微软雅黑" w:eastAsia="微软雅黑" w:hAnsi="微软雅黑"/>
          <w:b/>
          <w:bCs/>
          <w:sz w:val="28"/>
          <w:szCs w:val="28"/>
        </w:rPr>
      </w:pPr>
      <w:r>
        <w:rPr>
          <w:rFonts w:ascii="微软雅黑" w:eastAsia="微软雅黑" w:hAnsi="微软雅黑" w:hint="eastAsia"/>
          <w:b/>
          <w:bCs/>
          <w:sz w:val="28"/>
          <w:szCs w:val="28"/>
        </w:rPr>
        <w:t>相关图表</w:t>
      </w:r>
    </w:p>
    <w:p w14:paraId="016AB3E1" w14:textId="5A59FEBB" w:rsidR="0087172E" w:rsidRDefault="00BB7F54">
      <w:pPr>
        <w:pStyle w:val="a3"/>
        <w:keepNext/>
        <w:jc w:val="left"/>
        <w:rPr>
          <w:rFonts w:ascii="宋体" w:eastAsia="宋体" w:hAnsi="宋体"/>
          <w:b/>
        </w:rPr>
      </w:pPr>
      <w:r>
        <w:rPr>
          <w:rFonts w:ascii="宋体" w:eastAsia="宋体" w:hAnsi="宋体"/>
          <w:b/>
        </w:rPr>
        <w:t>图表</w:t>
      </w:r>
      <w:r>
        <w:rPr>
          <w:rFonts w:ascii="宋体" w:eastAsia="宋体" w:hAnsi="宋体"/>
          <w:b/>
        </w:rPr>
        <w:t xml:space="preserve"> </w:t>
      </w:r>
      <w:r>
        <w:rPr>
          <w:rFonts w:ascii="宋体" w:eastAsia="宋体" w:hAnsi="宋体"/>
          <w:b/>
        </w:rPr>
        <w:fldChar w:fldCharType="begin"/>
      </w:r>
      <w:r>
        <w:rPr>
          <w:rFonts w:ascii="宋体" w:eastAsia="宋体" w:hAnsi="宋体"/>
          <w:b/>
        </w:rPr>
        <w:instrText xml:space="preserve"> SEQ </w:instrText>
      </w:r>
      <w:r>
        <w:rPr>
          <w:rFonts w:ascii="宋体" w:eastAsia="宋体" w:hAnsi="宋体"/>
          <w:b/>
        </w:rPr>
        <w:instrText>图表</w:instrText>
      </w:r>
      <w:r>
        <w:rPr>
          <w:rFonts w:ascii="宋体" w:eastAsia="宋体" w:hAnsi="宋体"/>
          <w:b/>
        </w:rPr>
        <w:instrText xml:space="preserve"> \* ARABIC </w:instrText>
      </w:r>
      <w:r>
        <w:rPr>
          <w:rFonts w:ascii="宋体" w:eastAsia="宋体" w:hAnsi="宋体"/>
          <w:b/>
        </w:rPr>
        <w:fldChar w:fldCharType="separate"/>
      </w:r>
      <w:r w:rsidR="00127060">
        <w:rPr>
          <w:rFonts w:ascii="宋体" w:eastAsia="宋体" w:hAnsi="宋体"/>
          <w:b/>
          <w:noProof/>
        </w:rPr>
        <w:t>1</w:t>
      </w:r>
      <w:r>
        <w:rPr>
          <w:rFonts w:ascii="宋体" w:eastAsia="宋体" w:hAnsi="宋体"/>
          <w:b/>
        </w:rPr>
        <w:fldChar w:fldCharType="end"/>
      </w:r>
      <w:r>
        <w:rPr>
          <w:rFonts w:ascii="宋体" w:eastAsia="宋体" w:hAnsi="宋体"/>
          <w:b/>
        </w:rPr>
        <w:t xml:space="preserve"> </w:t>
      </w:r>
      <w:r>
        <w:rPr>
          <w:rFonts w:ascii="宋体" w:eastAsia="宋体" w:hAnsi="宋体" w:hint="eastAsia"/>
          <w:b/>
        </w:rPr>
        <w:t>美元兑人民币中间价</w:t>
      </w:r>
    </w:p>
    <w:p w14:paraId="75836327" w14:textId="5535FB42" w:rsidR="0087172E" w:rsidRDefault="009F2447">
      <w:pPr>
        <w:spacing w:beforeLines="50" w:before="156" w:line="312" w:lineRule="auto"/>
        <w:jc w:val="center"/>
        <w:rPr>
          <w:rFonts w:ascii="微软雅黑" w:eastAsia="微软雅黑" w:hAnsi="微软雅黑"/>
          <w:b/>
          <w:bCs/>
          <w:sz w:val="28"/>
          <w:szCs w:val="28"/>
        </w:rPr>
      </w:pPr>
      <w:r>
        <w:rPr>
          <w:rFonts w:ascii="微软雅黑" w:eastAsia="微软雅黑" w:hAnsi="微软雅黑" w:hint="eastAsia"/>
          <w:b/>
          <w:bCs/>
          <w:noProof/>
          <w:sz w:val="28"/>
          <w:szCs w:val="28"/>
        </w:rPr>
        <w:drawing>
          <wp:inline distT="0" distB="0" distL="0" distR="0" wp14:anchorId="673E043C" wp14:editId="2EF0A9FF">
            <wp:extent cx="4662805" cy="2809148"/>
            <wp:effectExtent l="0" t="0" r="4445" b="0"/>
            <wp:docPr id="125773809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66929" cy="2811632"/>
                    </a:xfrm>
                    <a:prstGeom prst="rect">
                      <a:avLst/>
                    </a:prstGeom>
                    <a:noFill/>
                  </pic:spPr>
                </pic:pic>
              </a:graphicData>
            </a:graphic>
          </wp:inline>
        </w:drawing>
      </w:r>
    </w:p>
    <w:p w14:paraId="4C7FB3A6" w14:textId="77777777" w:rsidR="0087172E" w:rsidRDefault="00BB7F54">
      <w:pPr>
        <w:spacing w:line="360" w:lineRule="auto"/>
        <w:rPr>
          <w:rFonts w:ascii="宋体" w:hAnsi="宋体"/>
          <w:sz w:val="18"/>
          <w:szCs w:val="18"/>
        </w:rPr>
      </w:pPr>
      <w:r>
        <w:rPr>
          <w:rFonts w:ascii="宋体" w:hAnsi="宋体" w:hint="eastAsia"/>
          <w:sz w:val="18"/>
          <w:szCs w:val="18"/>
        </w:rPr>
        <w:t>资料来源：</w:t>
      </w:r>
      <w:r>
        <w:rPr>
          <w:rFonts w:ascii="宋体" w:hAnsi="宋体" w:hint="eastAsia"/>
          <w:sz w:val="18"/>
          <w:szCs w:val="18"/>
        </w:rPr>
        <w:t>Wind</w:t>
      </w:r>
      <w:r>
        <w:rPr>
          <w:rFonts w:ascii="宋体" w:hAnsi="宋体" w:hint="eastAsia"/>
          <w:sz w:val="18"/>
          <w:szCs w:val="18"/>
        </w:rPr>
        <w:t>，瑞达国际</w:t>
      </w:r>
    </w:p>
    <w:p w14:paraId="5A1BBCA6" w14:textId="32CD0EB3" w:rsidR="0087172E" w:rsidRDefault="00BB7F54">
      <w:pPr>
        <w:pStyle w:val="a3"/>
        <w:keepNext/>
        <w:jc w:val="left"/>
        <w:rPr>
          <w:rFonts w:ascii="宋体" w:eastAsia="宋体" w:hAnsi="宋体"/>
          <w:b/>
        </w:rPr>
      </w:pPr>
      <w:r>
        <w:rPr>
          <w:rFonts w:ascii="宋体" w:eastAsia="宋体" w:hAnsi="宋体"/>
          <w:b/>
        </w:rPr>
        <w:t>图表</w:t>
      </w:r>
      <w:r>
        <w:rPr>
          <w:rFonts w:ascii="宋体" w:eastAsia="宋体" w:hAnsi="宋体"/>
          <w:b/>
        </w:rPr>
        <w:t xml:space="preserve"> </w:t>
      </w:r>
      <w:r>
        <w:rPr>
          <w:rFonts w:ascii="宋体" w:eastAsia="宋体" w:hAnsi="宋体"/>
          <w:b/>
        </w:rPr>
        <w:fldChar w:fldCharType="begin"/>
      </w:r>
      <w:r>
        <w:rPr>
          <w:rFonts w:ascii="宋体" w:eastAsia="宋体" w:hAnsi="宋体"/>
          <w:b/>
        </w:rPr>
        <w:instrText xml:space="preserve"> SEQ </w:instrText>
      </w:r>
      <w:r>
        <w:rPr>
          <w:rFonts w:ascii="宋体" w:eastAsia="宋体" w:hAnsi="宋体"/>
          <w:b/>
        </w:rPr>
        <w:instrText>图表</w:instrText>
      </w:r>
      <w:r>
        <w:rPr>
          <w:rFonts w:ascii="宋体" w:eastAsia="宋体" w:hAnsi="宋体"/>
          <w:b/>
        </w:rPr>
        <w:instrText xml:space="preserve"> \* ARABIC </w:instrText>
      </w:r>
      <w:r>
        <w:rPr>
          <w:rFonts w:ascii="宋体" w:eastAsia="宋体" w:hAnsi="宋体"/>
          <w:b/>
        </w:rPr>
        <w:fldChar w:fldCharType="separate"/>
      </w:r>
      <w:r w:rsidR="00127060">
        <w:rPr>
          <w:rFonts w:ascii="宋体" w:eastAsia="宋体" w:hAnsi="宋体"/>
          <w:b/>
          <w:noProof/>
        </w:rPr>
        <w:t>2</w:t>
      </w:r>
      <w:r>
        <w:rPr>
          <w:rFonts w:ascii="宋体" w:eastAsia="宋体" w:hAnsi="宋体"/>
          <w:b/>
        </w:rPr>
        <w:fldChar w:fldCharType="end"/>
      </w:r>
      <w:r>
        <w:rPr>
          <w:rFonts w:ascii="宋体" w:eastAsia="宋体" w:hAnsi="宋体"/>
          <w:b/>
        </w:rPr>
        <w:t xml:space="preserve"> </w:t>
      </w:r>
      <w:r>
        <w:rPr>
          <w:rFonts w:ascii="宋体" w:eastAsia="宋体" w:hAnsi="宋体" w:hint="eastAsia"/>
          <w:b/>
        </w:rPr>
        <w:t>港交所美元兑人民币期货</w:t>
      </w:r>
      <w:r>
        <w:rPr>
          <w:rFonts w:ascii="宋体" w:eastAsia="宋体" w:hAnsi="宋体"/>
          <w:b/>
        </w:rPr>
        <w:t>CUSF</w:t>
      </w:r>
      <w:r w:rsidR="009F2447">
        <w:rPr>
          <w:rFonts w:ascii="宋体" w:eastAsia="宋体" w:hAnsi="宋体" w:hint="eastAsia"/>
          <w:b/>
        </w:rPr>
        <w:t>2501</w:t>
      </w:r>
      <w:r>
        <w:rPr>
          <w:rFonts w:ascii="宋体" w:eastAsia="宋体" w:hAnsi="宋体" w:hint="eastAsia"/>
          <w:b/>
        </w:rPr>
        <w:t>收盘价</w:t>
      </w:r>
    </w:p>
    <w:p w14:paraId="752101DF" w14:textId="6E5AF5E3" w:rsidR="0087172E" w:rsidRDefault="009F2447">
      <w:pPr>
        <w:spacing w:line="360" w:lineRule="auto"/>
        <w:jc w:val="center"/>
        <w:rPr>
          <w:rFonts w:ascii="宋体" w:hAnsi="宋体"/>
          <w:sz w:val="18"/>
          <w:szCs w:val="18"/>
        </w:rPr>
      </w:pPr>
      <w:r w:rsidRPr="009F2447">
        <w:rPr>
          <w:rFonts w:ascii="宋体" w:hAnsi="宋体"/>
          <w:noProof/>
          <w:sz w:val="18"/>
          <w:szCs w:val="18"/>
        </w:rPr>
        <w:drawing>
          <wp:inline distT="0" distB="0" distL="0" distR="0" wp14:anchorId="3297FC4D" wp14:editId="619A7493">
            <wp:extent cx="4590645" cy="2600960"/>
            <wp:effectExtent l="0" t="0" r="635" b="8890"/>
            <wp:docPr id="77936654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9366541" name=""/>
                    <pic:cNvPicPr/>
                  </pic:nvPicPr>
                  <pic:blipFill>
                    <a:blip r:embed="rId10"/>
                    <a:stretch>
                      <a:fillRect/>
                    </a:stretch>
                  </pic:blipFill>
                  <pic:spPr>
                    <a:xfrm>
                      <a:off x="0" y="0"/>
                      <a:ext cx="4600502" cy="2606545"/>
                    </a:xfrm>
                    <a:prstGeom prst="rect">
                      <a:avLst/>
                    </a:prstGeom>
                  </pic:spPr>
                </pic:pic>
              </a:graphicData>
            </a:graphic>
          </wp:inline>
        </w:drawing>
      </w:r>
    </w:p>
    <w:p w14:paraId="0E51B27D" w14:textId="77777777" w:rsidR="0087172E" w:rsidRDefault="00BB7F54">
      <w:pPr>
        <w:spacing w:line="360" w:lineRule="auto"/>
        <w:rPr>
          <w:rFonts w:ascii="宋体" w:hAnsi="宋体"/>
          <w:sz w:val="18"/>
          <w:szCs w:val="18"/>
        </w:rPr>
      </w:pPr>
      <w:r>
        <w:rPr>
          <w:rFonts w:ascii="宋体" w:hAnsi="宋体" w:hint="eastAsia"/>
          <w:sz w:val="18"/>
          <w:szCs w:val="18"/>
        </w:rPr>
        <w:t>资料来源：</w:t>
      </w:r>
      <w:r>
        <w:rPr>
          <w:rFonts w:ascii="宋体" w:hAnsi="宋体" w:hint="eastAsia"/>
          <w:sz w:val="18"/>
          <w:szCs w:val="18"/>
        </w:rPr>
        <w:t>Wind</w:t>
      </w:r>
      <w:r>
        <w:rPr>
          <w:rFonts w:ascii="宋体" w:hAnsi="宋体" w:hint="eastAsia"/>
          <w:sz w:val="18"/>
          <w:szCs w:val="18"/>
        </w:rPr>
        <w:t>，瑞达国际</w:t>
      </w:r>
    </w:p>
    <w:p w14:paraId="6F391D3B" w14:textId="5314CF48" w:rsidR="0087172E" w:rsidRDefault="00BB7F54">
      <w:pPr>
        <w:pStyle w:val="a3"/>
        <w:keepNext/>
        <w:jc w:val="left"/>
        <w:rPr>
          <w:rFonts w:ascii="宋体" w:eastAsia="宋体" w:hAnsi="宋体"/>
          <w:b/>
        </w:rPr>
      </w:pPr>
      <w:r>
        <w:rPr>
          <w:rFonts w:ascii="宋体" w:eastAsia="宋体" w:hAnsi="宋体"/>
          <w:b/>
        </w:rPr>
        <w:lastRenderedPageBreak/>
        <w:t>图表</w:t>
      </w:r>
      <w:r>
        <w:rPr>
          <w:rFonts w:ascii="宋体" w:eastAsia="宋体" w:hAnsi="宋体"/>
          <w:b/>
        </w:rPr>
        <w:t xml:space="preserve"> </w:t>
      </w:r>
      <w:r>
        <w:rPr>
          <w:rFonts w:ascii="宋体" w:eastAsia="宋体" w:hAnsi="宋体"/>
          <w:b/>
        </w:rPr>
        <w:fldChar w:fldCharType="begin"/>
      </w:r>
      <w:r>
        <w:rPr>
          <w:rFonts w:ascii="宋体" w:eastAsia="宋体" w:hAnsi="宋体"/>
          <w:b/>
        </w:rPr>
        <w:instrText xml:space="preserve"> SEQ </w:instrText>
      </w:r>
      <w:r>
        <w:rPr>
          <w:rFonts w:ascii="宋体" w:eastAsia="宋体" w:hAnsi="宋体"/>
          <w:b/>
        </w:rPr>
        <w:instrText>图表</w:instrText>
      </w:r>
      <w:r>
        <w:rPr>
          <w:rFonts w:ascii="宋体" w:eastAsia="宋体" w:hAnsi="宋体"/>
          <w:b/>
        </w:rPr>
        <w:instrText xml:space="preserve"> \* ARABIC </w:instrText>
      </w:r>
      <w:r>
        <w:rPr>
          <w:rFonts w:ascii="宋体" w:eastAsia="宋体" w:hAnsi="宋体"/>
          <w:b/>
        </w:rPr>
        <w:fldChar w:fldCharType="separate"/>
      </w:r>
      <w:r w:rsidR="00127060">
        <w:rPr>
          <w:rFonts w:ascii="宋体" w:eastAsia="宋体" w:hAnsi="宋体"/>
          <w:b/>
          <w:noProof/>
        </w:rPr>
        <w:t>3</w:t>
      </w:r>
      <w:r>
        <w:rPr>
          <w:rFonts w:ascii="宋体" w:eastAsia="宋体" w:hAnsi="宋体"/>
          <w:b/>
        </w:rPr>
        <w:fldChar w:fldCharType="end"/>
      </w:r>
      <w:r>
        <w:rPr>
          <w:rFonts w:ascii="宋体" w:eastAsia="宋体" w:hAnsi="宋体"/>
          <w:b/>
        </w:rPr>
        <w:t xml:space="preserve"> </w:t>
      </w:r>
      <w:r>
        <w:rPr>
          <w:rFonts w:ascii="宋体" w:eastAsia="宋体" w:hAnsi="宋体" w:hint="eastAsia"/>
          <w:b/>
        </w:rPr>
        <w:t>港交所美元兑人民币期货</w:t>
      </w:r>
      <w:r>
        <w:rPr>
          <w:rFonts w:ascii="宋体" w:eastAsia="宋体" w:hAnsi="宋体"/>
          <w:b/>
        </w:rPr>
        <w:t>CUSF</w:t>
      </w:r>
      <w:r>
        <w:rPr>
          <w:rFonts w:ascii="宋体" w:eastAsia="宋体" w:hAnsi="宋体" w:hint="eastAsia"/>
          <w:b/>
        </w:rPr>
        <w:t>涨跌幅（</w:t>
      </w:r>
      <w:r>
        <w:rPr>
          <w:rFonts w:ascii="宋体" w:eastAsia="宋体" w:hAnsi="宋体" w:hint="eastAsia"/>
          <w:b/>
        </w:rPr>
        <w:t>%</w:t>
      </w:r>
      <w:r>
        <w:rPr>
          <w:rFonts w:ascii="宋体" w:eastAsia="宋体" w:hAnsi="宋体" w:hint="eastAsia"/>
          <w:b/>
        </w:rPr>
        <w:t>）</w:t>
      </w:r>
    </w:p>
    <w:p w14:paraId="7D2346A2" w14:textId="11B3E11B" w:rsidR="0087172E" w:rsidRDefault="009F2447">
      <w:pPr>
        <w:spacing w:line="360" w:lineRule="auto"/>
        <w:jc w:val="center"/>
        <w:rPr>
          <w:rFonts w:ascii="宋体" w:hAnsi="宋体"/>
          <w:sz w:val="18"/>
          <w:szCs w:val="18"/>
        </w:rPr>
      </w:pPr>
      <w:r>
        <w:rPr>
          <w:rFonts w:ascii="宋体" w:hAnsi="宋体" w:hint="eastAsia"/>
          <w:noProof/>
          <w:sz w:val="18"/>
          <w:szCs w:val="18"/>
        </w:rPr>
        <w:drawing>
          <wp:inline distT="0" distB="0" distL="0" distR="0" wp14:anchorId="68320EC8" wp14:editId="18BD5FAB">
            <wp:extent cx="4497474" cy="2641600"/>
            <wp:effectExtent l="0" t="0" r="0" b="6350"/>
            <wp:docPr id="20110208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03055" cy="2644878"/>
                    </a:xfrm>
                    <a:prstGeom prst="rect">
                      <a:avLst/>
                    </a:prstGeom>
                    <a:noFill/>
                  </pic:spPr>
                </pic:pic>
              </a:graphicData>
            </a:graphic>
          </wp:inline>
        </w:drawing>
      </w:r>
    </w:p>
    <w:p w14:paraId="4D59ABC3" w14:textId="77777777" w:rsidR="0087172E" w:rsidRDefault="00BB7F54">
      <w:pPr>
        <w:spacing w:line="360" w:lineRule="auto"/>
        <w:rPr>
          <w:rFonts w:ascii="宋体" w:hAnsi="宋体"/>
          <w:sz w:val="18"/>
          <w:szCs w:val="18"/>
        </w:rPr>
      </w:pPr>
      <w:r>
        <w:rPr>
          <w:rFonts w:ascii="宋体" w:hAnsi="宋体" w:hint="eastAsia"/>
          <w:sz w:val="18"/>
          <w:szCs w:val="18"/>
        </w:rPr>
        <w:t>资料来源：</w:t>
      </w:r>
      <w:r>
        <w:rPr>
          <w:rFonts w:ascii="宋体" w:hAnsi="宋体" w:hint="eastAsia"/>
          <w:sz w:val="18"/>
          <w:szCs w:val="18"/>
        </w:rPr>
        <w:t>Wind</w:t>
      </w:r>
      <w:r>
        <w:rPr>
          <w:rFonts w:ascii="宋体" w:hAnsi="宋体" w:hint="eastAsia"/>
          <w:sz w:val="18"/>
          <w:szCs w:val="18"/>
        </w:rPr>
        <w:t>，瑞达国际</w:t>
      </w:r>
    </w:p>
    <w:p w14:paraId="041F3BE0" w14:textId="575D2B85" w:rsidR="0087172E" w:rsidRDefault="00BB7F54">
      <w:pPr>
        <w:pStyle w:val="a3"/>
        <w:keepNext/>
        <w:jc w:val="left"/>
        <w:rPr>
          <w:rFonts w:ascii="宋体" w:eastAsia="宋体" w:hAnsi="宋体"/>
          <w:b/>
        </w:rPr>
      </w:pPr>
      <w:r>
        <w:rPr>
          <w:rFonts w:ascii="宋体" w:eastAsia="宋体" w:hAnsi="宋体"/>
          <w:b/>
        </w:rPr>
        <w:t>图表</w:t>
      </w:r>
      <w:r>
        <w:rPr>
          <w:rFonts w:ascii="宋体" w:eastAsia="宋体" w:hAnsi="宋体"/>
          <w:b/>
        </w:rPr>
        <w:t xml:space="preserve"> </w:t>
      </w:r>
      <w:r>
        <w:rPr>
          <w:rFonts w:ascii="宋体" w:eastAsia="宋体" w:hAnsi="宋体"/>
          <w:b/>
        </w:rPr>
        <w:fldChar w:fldCharType="begin"/>
      </w:r>
      <w:r>
        <w:rPr>
          <w:rFonts w:ascii="宋体" w:eastAsia="宋体" w:hAnsi="宋体"/>
          <w:b/>
        </w:rPr>
        <w:instrText xml:space="preserve"> SEQ </w:instrText>
      </w:r>
      <w:r>
        <w:rPr>
          <w:rFonts w:ascii="宋体" w:eastAsia="宋体" w:hAnsi="宋体"/>
          <w:b/>
        </w:rPr>
        <w:instrText>图表</w:instrText>
      </w:r>
      <w:r>
        <w:rPr>
          <w:rFonts w:ascii="宋体" w:eastAsia="宋体" w:hAnsi="宋体"/>
          <w:b/>
        </w:rPr>
        <w:instrText xml:space="preserve"> \* ARABIC </w:instrText>
      </w:r>
      <w:r>
        <w:rPr>
          <w:rFonts w:ascii="宋体" w:eastAsia="宋体" w:hAnsi="宋体"/>
          <w:b/>
        </w:rPr>
        <w:fldChar w:fldCharType="separate"/>
      </w:r>
      <w:r w:rsidR="00127060">
        <w:rPr>
          <w:rFonts w:ascii="宋体" w:eastAsia="宋体" w:hAnsi="宋体"/>
          <w:b/>
          <w:noProof/>
        </w:rPr>
        <w:t>4</w:t>
      </w:r>
      <w:r>
        <w:rPr>
          <w:rFonts w:ascii="宋体" w:eastAsia="宋体" w:hAnsi="宋体"/>
          <w:b/>
        </w:rPr>
        <w:fldChar w:fldCharType="end"/>
      </w:r>
      <w:r>
        <w:rPr>
          <w:rFonts w:ascii="宋体" w:eastAsia="宋体" w:hAnsi="宋体"/>
          <w:b/>
        </w:rPr>
        <w:t xml:space="preserve"> </w:t>
      </w:r>
      <w:r>
        <w:rPr>
          <w:rFonts w:ascii="宋体" w:eastAsia="宋体" w:hAnsi="宋体" w:hint="eastAsia"/>
          <w:b/>
        </w:rPr>
        <w:t>新交所美元兑人民币期货</w:t>
      </w:r>
      <w:r>
        <w:rPr>
          <w:rFonts w:ascii="宋体" w:eastAsia="宋体" w:hAnsi="宋体"/>
          <w:b/>
        </w:rPr>
        <w:t>UC</w:t>
      </w:r>
      <w:r w:rsidR="009F2447">
        <w:rPr>
          <w:rFonts w:ascii="宋体" w:eastAsia="宋体" w:hAnsi="宋体" w:hint="eastAsia"/>
          <w:b/>
        </w:rPr>
        <w:t>F</w:t>
      </w:r>
      <w:r>
        <w:rPr>
          <w:rFonts w:ascii="宋体" w:eastAsia="宋体" w:hAnsi="宋体"/>
          <w:b/>
        </w:rPr>
        <w:t>2</w:t>
      </w:r>
      <w:r w:rsidR="009F2447">
        <w:rPr>
          <w:rFonts w:ascii="宋体" w:eastAsia="宋体" w:hAnsi="宋体" w:hint="eastAsia"/>
          <w:b/>
        </w:rPr>
        <w:t>5</w:t>
      </w:r>
      <w:r>
        <w:rPr>
          <w:rFonts w:ascii="宋体" w:eastAsia="宋体" w:hAnsi="宋体" w:hint="eastAsia"/>
          <w:b/>
        </w:rPr>
        <w:t>收盘价</w:t>
      </w:r>
    </w:p>
    <w:p w14:paraId="3D48A04C" w14:textId="24F3B048" w:rsidR="0087172E" w:rsidRDefault="009F2447">
      <w:pPr>
        <w:jc w:val="center"/>
      </w:pPr>
      <w:r w:rsidRPr="009F2447">
        <w:rPr>
          <w:noProof/>
        </w:rPr>
        <w:drawing>
          <wp:inline distT="0" distB="0" distL="0" distR="0" wp14:anchorId="33BE8516" wp14:editId="2934EA72">
            <wp:extent cx="4488774" cy="2540000"/>
            <wp:effectExtent l="0" t="0" r="7620" b="0"/>
            <wp:docPr id="165090546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0905463" name=""/>
                    <pic:cNvPicPr/>
                  </pic:nvPicPr>
                  <pic:blipFill>
                    <a:blip r:embed="rId12"/>
                    <a:stretch>
                      <a:fillRect/>
                    </a:stretch>
                  </pic:blipFill>
                  <pic:spPr>
                    <a:xfrm>
                      <a:off x="0" y="0"/>
                      <a:ext cx="4496083" cy="2544136"/>
                    </a:xfrm>
                    <a:prstGeom prst="rect">
                      <a:avLst/>
                    </a:prstGeom>
                  </pic:spPr>
                </pic:pic>
              </a:graphicData>
            </a:graphic>
          </wp:inline>
        </w:drawing>
      </w:r>
    </w:p>
    <w:p w14:paraId="263A45A0" w14:textId="77777777" w:rsidR="0087172E" w:rsidRDefault="00BB7F54">
      <w:pPr>
        <w:spacing w:line="360" w:lineRule="auto"/>
        <w:rPr>
          <w:rFonts w:ascii="宋体" w:hAnsi="宋体"/>
          <w:sz w:val="18"/>
          <w:szCs w:val="18"/>
        </w:rPr>
      </w:pPr>
      <w:r>
        <w:rPr>
          <w:rFonts w:ascii="宋体" w:hAnsi="宋体" w:hint="eastAsia"/>
          <w:sz w:val="18"/>
          <w:szCs w:val="18"/>
        </w:rPr>
        <w:t>资料来源：</w:t>
      </w:r>
      <w:r>
        <w:rPr>
          <w:rFonts w:ascii="宋体" w:hAnsi="宋体" w:hint="eastAsia"/>
          <w:sz w:val="18"/>
          <w:szCs w:val="18"/>
        </w:rPr>
        <w:t>Wind</w:t>
      </w:r>
      <w:r>
        <w:rPr>
          <w:rFonts w:ascii="宋体" w:hAnsi="宋体" w:hint="eastAsia"/>
          <w:sz w:val="18"/>
          <w:szCs w:val="18"/>
        </w:rPr>
        <w:t>，瑞达国际</w:t>
      </w:r>
    </w:p>
    <w:p w14:paraId="248DBF94" w14:textId="0AD38EDA" w:rsidR="0087172E" w:rsidRDefault="00BB7F54">
      <w:pPr>
        <w:pStyle w:val="a3"/>
        <w:keepNext/>
        <w:jc w:val="left"/>
        <w:rPr>
          <w:rFonts w:ascii="宋体" w:eastAsia="宋体" w:hAnsi="宋体"/>
          <w:b/>
        </w:rPr>
      </w:pPr>
      <w:r>
        <w:rPr>
          <w:rFonts w:ascii="宋体" w:eastAsia="宋体" w:hAnsi="宋体"/>
          <w:b/>
        </w:rPr>
        <w:lastRenderedPageBreak/>
        <w:t>图表</w:t>
      </w:r>
      <w:r>
        <w:rPr>
          <w:rFonts w:ascii="宋体" w:eastAsia="宋体" w:hAnsi="宋体"/>
          <w:b/>
        </w:rPr>
        <w:t xml:space="preserve"> </w:t>
      </w:r>
      <w:r>
        <w:rPr>
          <w:rFonts w:ascii="宋体" w:eastAsia="宋体" w:hAnsi="宋体"/>
          <w:b/>
        </w:rPr>
        <w:fldChar w:fldCharType="begin"/>
      </w:r>
      <w:r>
        <w:rPr>
          <w:rFonts w:ascii="宋体" w:eastAsia="宋体" w:hAnsi="宋体"/>
          <w:b/>
        </w:rPr>
        <w:instrText xml:space="preserve"> SEQ </w:instrText>
      </w:r>
      <w:r>
        <w:rPr>
          <w:rFonts w:ascii="宋体" w:eastAsia="宋体" w:hAnsi="宋体"/>
          <w:b/>
        </w:rPr>
        <w:instrText>图表</w:instrText>
      </w:r>
      <w:r>
        <w:rPr>
          <w:rFonts w:ascii="宋体" w:eastAsia="宋体" w:hAnsi="宋体"/>
          <w:b/>
        </w:rPr>
        <w:instrText xml:space="preserve"> \* ARABIC </w:instrText>
      </w:r>
      <w:r>
        <w:rPr>
          <w:rFonts w:ascii="宋体" w:eastAsia="宋体" w:hAnsi="宋体"/>
          <w:b/>
        </w:rPr>
        <w:fldChar w:fldCharType="separate"/>
      </w:r>
      <w:r w:rsidR="00127060">
        <w:rPr>
          <w:rFonts w:ascii="宋体" w:eastAsia="宋体" w:hAnsi="宋体"/>
          <w:b/>
          <w:noProof/>
        </w:rPr>
        <w:t>5</w:t>
      </w:r>
      <w:r>
        <w:rPr>
          <w:rFonts w:ascii="宋体" w:eastAsia="宋体" w:hAnsi="宋体"/>
          <w:b/>
        </w:rPr>
        <w:fldChar w:fldCharType="end"/>
      </w:r>
      <w:r>
        <w:rPr>
          <w:rFonts w:ascii="宋体" w:eastAsia="宋体" w:hAnsi="宋体"/>
          <w:b/>
        </w:rPr>
        <w:t xml:space="preserve"> </w:t>
      </w:r>
      <w:r>
        <w:rPr>
          <w:rFonts w:ascii="宋体" w:eastAsia="宋体" w:hAnsi="宋体" w:hint="eastAsia"/>
          <w:b/>
        </w:rPr>
        <w:t>新交所美元兑人民币期货</w:t>
      </w:r>
      <w:r>
        <w:rPr>
          <w:rFonts w:ascii="宋体" w:eastAsia="宋体" w:hAnsi="宋体"/>
          <w:b/>
        </w:rPr>
        <w:t>UC</w:t>
      </w:r>
      <w:r>
        <w:rPr>
          <w:rFonts w:ascii="宋体" w:eastAsia="宋体" w:hAnsi="宋体" w:hint="eastAsia"/>
          <w:b/>
        </w:rPr>
        <w:t>涨跌幅（</w:t>
      </w:r>
      <w:r>
        <w:rPr>
          <w:rFonts w:ascii="宋体" w:eastAsia="宋体" w:hAnsi="宋体" w:hint="eastAsia"/>
          <w:b/>
        </w:rPr>
        <w:t>%</w:t>
      </w:r>
      <w:r>
        <w:rPr>
          <w:rFonts w:ascii="宋体" w:eastAsia="宋体" w:hAnsi="宋体" w:hint="eastAsia"/>
          <w:b/>
        </w:rPr>
        <w:t>）</w:t>
      </w:r>
    </w:p>
    <w:p w14:paraId="6CFB49EF" w14:textId="160CCE36" w:rsidR="0087172E" w:rsidRDefault="009F2447">
      <w:pPr>
        <w:jc w:val="center"/>
      </w:pPr>
      <w:r>
        <w:rPr>
          <w:noProof/>
        </w:rPr>
        <w:drawing>
          <wp:inline distT="0" distB="0" distL="0" distR="0" wp14:anchorId="14645DE4" wp14:editId="703B7B24">
            <wp:extent cx="4466468" cy="2743200"/>
            <wp:effectExtent l="0" t="0" r="0" b="0"/>
            <wp:docPr id="119739069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470959" cy="2745958"/>
                    </a:xfrm>
                    <a:prstGeom prst="rect">
                      <a:avLst/>
                    </a:prstGeom>
                    <a:noFill/>
                  </pic:spPr>
                </pic:pic>
              </a:graphicData>
            </a:graphic>
          </wp:inline>
        </w:drawing>
      </w:r>
    </w:p>
    <w:p w14:paraId="7F50465D" w14:textId="77777777" w:rsidR="0087172E" w:rsidRDefault="00BB7F54">
      <w:pPr>
        <w:spacing w:line="360" w:lineRule="auto"/>
        <w:rPr>
          <w:rFonts w:ascii="宋体" w:hAnsi="宋体"/>
          <w:sz w:val="18"/>
          <w:szCs w:val="18"/>
        </w:rPr>
      </w:pPr>
      <w:r>
        <w:rPr>
          <w:rFonts w:ascii="宋体" w:hAnsi="宋体" w:hint="eastAsia"/>
          <w:sz w:val="18"/>
          <w:szCs w:val="18"/>
        </w:rPr>
        <w:t>资料来源：</w:t>
      </w:r>
      <w:r>
        <w:rPr>
          <w:rFonts w:ascii="宋体" w:hAnsi="宋体" w:hint="eastAsia"/>
          <w:sz w:val="18"/>
          <w:szCs w:val="18"/>
        </w:rPr>
        <w:t>Wind</w:t>
      </w:r>
      <w:r>
        <w:rPr>
          <w:rFonts w:ascii="宋体" w:hAnsi="宋体" w:hint="eastAsia"/>
          <w:sz w:val="18"/>
          <w:szCs w:val="18"/>
        </w:rPr>
        <w:t>，瑞达国际</w:t>
      </w:r>
    </w:p>
    <w:p w14:paraId="45A85765" w14:textId="7472487C" w:rsidR="0087172E" w:rsidRDefault="00BB7F54">
      <w:pPr>
        <w:pStyle w:val="a3"/>
        <w:keepNext/>
        <w:jc w:val="left"/>
        <w:rPr>
          <w:rFonts w:ascii="宋体" w:eastAsia="宋体" w:hAnsi="宋体"/>
          <w:b/>
        </w:rPr>
      </w:pPr>
      <w:r>
        <w:rPr>
          <w:rFonts w:ascii="宋体" w:eastAsia="宋体" w:hAnsi="宋体"/>
          <w:b/>
        </w:rPr>
        <w:t>图表</w:t>
      </w:r>
      <w:r>
        <w:rPr>
          <w:rFonts w:ascii="宋体" w:eastAsia="宋体" w:hAnsi="宋体"/>
          <w:b/>
        </w:rPr>
        <w:t xml:space="preserve"> </w:t>
      </w:r>
      <w:r>
        <w:rPr>
          <w:rFonts w:ascii="宋体" w:eastAsia="宋体" w:hAnsi="宋体"/>
          <w:b/>
        </w:rPr>
        <w:fldChar w:fldCharType="begin"/>
      </w:r>
      <w:r>
        <w:rPr>
          <w:rFonts w:ascii="宋体" w:eastAsia="宋体" w:hAnsi="宋体"/>
          <w:b/>
        </w:rPr>
        <w:instrText xml:space="preserve"> SEQ </w:instrText>
      </w:r>
      <w:r>
        <w:rPr>
          <w:rFonts w:ascii="宋体" w:eastAsia="宋体" w:hAnsi="宋体"/>
          <w:b/>
        </w:rPr>
        <w:instrText>图表</w:instrText>
      </w:r>
      <w:r>
        <w:rPr>
          <w:rFonts w:ascii="宋体" w:eastAsia="宋体" w:hAnsi="宋体"/>
          <w:b/>
        </w:rPr>
        <w:instrText xml:space="preserve"> \* ARABIC </w:instrText>
      </w:r>
      <w:r>
        <w:rPr>
          <w:rFonts w:ascii="宋体" w:eastAsia="宋体" w:hAnsi="宋体"/>
          <w:b/>
        </w:rPr>
        <w:fldChar w:fldCharType="separate"/>
      </w:r>
      <w:r w:rsidR="00127060">
        <w:rPr>
          <w:rFonts w:ascii="宋体" w:eastAsia="宋体" w:hAnsi="宋体"/>
          <w:b/>
          <w:noProof/>
        </w:rPr>
        <w:t>6</w:t>
      </w:r>
      <w:r>
        <w:rPr>
          <w:rFonts w:ascii="宋体" w:eastAsia="宋体" w:hAnsi="宋体"/>
          <w:b/>
        </w:rPr>
        <w:fldChar w:fldCharType="end"/>
      </w:r>
      <w:r>
        <w:rPr>
          <w:rFonts w:ascii="宋体" w:eastAsia="宋体" w:hAnsi="宋体"/>
          <w:b/>
        </w:rPr>
        <w:t xml:space="preserve"> </w:t>
      </w:r>
      <w:r>
        <w:rPr>
          <w:rFonts w:ascii="宋体" w:eastAsia="宋体" w:hAnsi="宋体" w:hint="eastAsia"/>
          <w:b/>
        </w:rPr>
        <w:t>在岸、离岸人民币及价差</w:t>
      </w:r>
    </w:p>
    <w:p w14:paraId="662D9009" w14:textId="2D89F363" w:rsidR="0087172E" w:rsidRDefault="009F2447">
      <w:pPr>
        <w:spacing w:beforeLines="50" w:before="156" w:line="312" w:lineRule="auto"/>
        <w:jc w:val="center"/>
        <w:rPr>
          <w:rFonts w:ascii="微软雅黑" w:eastAsia="微软雅黑" w:hAnsi="微软雅黑"/>
          <w:b/>
          <w:bCs/>
          <w:sz w:val="28"/>
          <w:szCs w:val="28"/>
        </w:rPr>
      </w:pPr>
      <w:r>
        <w:rPr>
          <w:rFonts w:ascii="微软雅黑" w:eastAsia="微软雅黑" w:hAnsi="微软雅黑" w:hint="eastAsia"/>
          <w:b/>
          <w:bCs/>
          <w:noProof/>
          <w:sz w:val="28"/>
          <w:szCs w:val="28"/>
        </w:rPr>
        <w:drawing>
          <wp:inline distT="0" distB="0" distL="0" distR="0" wp14:anchorId="781E9903" wp14:editId="31D58838">
            <wp:extent cx="4406402" cy="2201510"/>
            <wp:effectExtent l="0" t="0" r="0" b="8890"/>
            <wp:docPr id="1509189142"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451497" cy="2224040"/>
                    </a:xfrm>
                    <a:prstGeom prst="rect">
                      <a:avLst/>
                    </a:prstGeom>
                    <a:noFill/>
                  </pic:spPr>
                </pic:pic>
              </a:graphicData>
            </a:graphic>
          </wp:inline>
        </w:drawing>
      </w:r>
    </w:p>
    <w:p w14:paraId="7CFB9B02" w14:textId="77777777" w:rsidR="0087172E" w:rsidRDefault="00BB7F54">
      <w:pPr>
        <w:spacing w:line="360" w:lineRule="auto"/>
        <w:rPr>
          <w:rFonts w:ascii="宋体" w:hAnsi="宋体"/>
          <w:sz w:val="18"/>
          <w:szCs w:val="18"/>
        </w:rPr>
      </w:pPr>
      <w:r>
        <w:rPr>
          <w:rFonts w:ascii="宋体" w:hAnsi="宋体" w:hint="eastAsia"/>
          <w:sz w:val="18"/>
          <w:szCs w:val="18"/>
        </w:rPr>
        <w:t>资料来源：</w:t>
      </w:r>
      <w:r>
        <w:rPr>
          <w:rFonts w:ascii="宋体" w:hAnsi="宋体" w:hint="eastAsia"/>
          <w:sz w:val="18"/>
          <w:szCs w:val="18"/>
        </w:rPr>
        <w:t>Wind</w:t>
      </w:r>
      <w:r>
        <w:rPr>
          <w:rFonts w:ascii="宋体" w:hAnsi="宋体" w:hint="eastAsia"/>
          <w:sz w:val="18"/>
          <w:szCs w:val="18"/>
        </w:rPr>
        <w:t>，瑞达国际</w:t>
      </w:r>
    </w:p>
    <w:p w14:paraId="5B769196" w14:textId="77777777" w:rsidR="0087172E" w:rsidRDefault="00BB7F54">
      <w:pPr>
        <w:numPr>
          <w:ilvl w:val="0"/>
          <w:numId w:val="1"/>
        </w:numPr>
        <w:spacing w:beforeLines="50" w:before="156" w:line="312" w:lineRule="auto"/>
        <w:rPr>
          <w:rFonts w:ascii="微软雅黑" w:eastAsia="微软雅黑" w:hAnsi="微软雅黑"/>
          <w:b/>
          <w:bCs/>
          <w:sz w:val="28"/>
          <w:szCs w:val="28"/>
        </w:rPr>
      </w:pPr>
      <w:r>
        <w:rPr>
          <w:rFonts w:ascii="微软雅黑" w:eastAsia="微软雅黑" w:hAnsi="微软雅黑" w:hint="eastAsia"/>
          <w:b/>
          <w:bCs/>
          <w:sz w:val="28"/>
          <w:szCs w:val="28"/>
        </w:rPr>
        <w:t>后市展望</w:t>
      </w:r>
    </w:p>
    <w:p w14:paraId="6EBC1D0D" w14:textId="48E572E5" w:rsidR="0087172E" w:rsidRDefault="00BB7F54">
      <w:pPr>
        <w:spacing w:line="312" w:lineRule="auto"/>
        <w:ind w:firstLine="420"/>
        <w:rPr>
          <w:rFonts w:ascii="宋体" w:hAnsi="宋体" w:cs="宋体"/>
        </w:rPr>
      </w:pPr>
      <w:r>
        <w:rPr>
          <w:rFonts w:ascii="宋体" w:hAnsi="宋体" w:cs="宋体" w:hint="eastAsia"/>
        </w:rPr>
        <w:t>上周</w:t>
      </w:r>
      <w:r w:rsidR="00301549" w:rsidRPr="00301549">
        <w:rPr>
          <w:rFonts w:ascii="宋体" w:hAnsi="宋体" w:cs="宋体" w:hint="eastAsia"/>
        </w:rPr>
        <w:t>美国CPI数据显示，通胀基本符合市场预期，但较10月略有上升，主要受到食品和能源等波动性较大的项目的影响。尽管如此，市场仍预计美联储将在</w:t>
      </w:r>
      <w:r w:rsidR="00301549">
        <w:rPr>
          <w:rFonts w:ascii="宋体" w:hAnsi="宋体" w:cs="宋体" w:hint="eastAsia"/>
        </w:rPr>
        <w:t>本</w:t>
      </w:r>
      <w:r w:rsidR="00301549" w:rsidRPr="00301549">
        <w:rPr>
          <w:rFonts w:ascii="宋体" w:hAnsi="宋体" w:cs="宋体" w:hint="eastAsia"/>
        </w:rPr>
        <w:t>周再次降息，原因包括作为典型的粘性通胀因素的住房成本（如租金），录得自2021年7月以来最小的增幅。此外，11月非农就业数据显示，永久性失业人数呈上升趋势，与职位空缺和辞职人数下降相一致。同时，上周失业救济申请人数有所增加</w:t>
      </w:r>
      <w:r w:rsidR="00301549">
        <w:rPr>
          <w:rFonts w:ascii="宋体" w:hAnsi="宋体" w:cs="宋体" w:hint="eastAsia"/>
        </w:rPr>
        <w:t>，</w:t>
      </w:r>
      <w:r w:rsidR="00301549" w:rsidRPr="00301549">
        <w:rPr>
          <w:rFonts w:ascii="宋体" w:hAnsi="宋体" w:cs="宋体" w:hint="eastAsia"/>
        </w:rPr>
        <w:t>整体表明美国劳动力市场仍在降温，进一步支持了美联储降息的预期</w:t>
      </w:r>
      <w:r>
        <w:rPr>
          <w:rFonts w:ascii="宋体" w:hAnsi="宋体" w:cs="宋体" w:hint="eastAsia"/>
        </w:rPr>
        <w:t>。</w:t>
      </w:r>
      <w:r>
        <w:rPr>
          <w:rFonts w:ascii="宋体" w:hAnsi="宋体" w:cs="宋体" w:hint="eastAsia"/>
          <w:kern w:val="0"/>
        </w:rPr>
        <w:t>据</w:t>
      </w:r>
      <w:r>
        <w:rPr>
          <w:rFonts w:ascii="宋体" w:hAnsi="宋体" w:cs="宋体" w:hint="eastAsia"/>
          <w:kern w:val="0"/>
        </w:rPr>
        <w:t>CME</w:t>
      </w:r>
      <w:r>
        <w:rPr>
          <w:rFonts w:ascii="宋体" w:hAnsi="宋体" w:cs="宋体" w:hint="eastAsia"/>
          <w:kern w:val="0"/>
        </w:rPr>
        <w:t>工具显示，美联储在</w:t>
      </w:r>
      <w:r>
        <w:rPr>
          <w:rFonts w:ascii="宋体" w:hAnsi="宋体" w:cs="宋体" w:hint="eastAsia"/>
          <w:kern w:val="0"/>
        </w:rPr>
        <w:t>12</w:t>
      </w:r>
      <w:r>
        <w:rPr>
          <w:rFonts w:ascii="宋体" w:hAnsi="宋体" w:cs="宋体" w:hint="eastAsia"/>
          <w:kern w:val="0"/>
        </w:rPr>
        <w:t>月</w:t>
      </w:r>
      <w:r>
        <w:rPr>
          <w:rFonts w:ascii="宋体" w:hAnsi="宋体" w:cs="宋体" w:hint="eastAsia"/>
          <w:kern w:val="0"/>
        </w:rPr>
        <w:t>17-18</w:t>
      </w:r>
      <w:r>
        <w:rPr>
          <w:rFonts w:ascii="宋体" w:hAnsi="宋体" w:cs="宋体" w:hint="eastAsia"/>
          <w:kern w:val="0"/>
        </w:rPr>
        <w:t>日的会议上降息</w:t>
      </w:r>
      <w:r>
        <w:rPr>
          <w:rFonts w:ascii="宋体" w:hAnsi="宋体" w:cs="宋体" w:hint="eastAsia"/>
          <w:kern w:val="0"/>
        </w:rPr>
        <w:t>25</w:t>
      </w:r>
      <w:r>
        <w:rPr>
          <w:rFonts w:ascii="宋体" w:hAnsi="宋体" w:cs="宋体" w:hint="eastAsia"/>
          <w:kern w:val="0"/>
        </w:rPr>
        <w:t>个基点的可能性</w:t>
      </w:r>
      <w:r w:rsidR="00301549">
        <w:rPr>
          <w:rFonts w:ascii="宋体" w:hAnsi="宋体" w:cs="宋体" w:hint="eastAsia"/>
          <w:kern w:val="0"/>
        </w:rPr>
        <w:t>接近97</w:t>
      </w:r>
      <w:r>
        <w:rPr>
          <w:rFonts w:ascii="宋体" w:hAnsi="宋体" w:cs="宋体" w:hint="eastAsia"/>
          <w:kern w:val="0"/>
        </w:rPr>
        <w:t>%</w:t>
      </w:r>
      <w:r>
        <w:rPr>
          <w:rFonts w:ascii="宋体" w:hAnsi="宋体" w:cs="宋体" w:hint="eastAsia"/>
          <w:kern w:val="0"/>
        </w:rPr>
        <w:t>。</w:t>
      </w:r>
      <w:r>
        <w:rPr>
          <w:rFonts w:ascii="宋体" w:hAnsi="宋体" w:cs="宋体" w:hint="eastAsia"/>
        </w:rPr>
        <w:t>本周三美联储</w:t>
      </w:r>
      <w:r w:rsidR="00301549">
        <w:rPr>
          <w:rFonts w:ascii="宋体" w:hAnsi="宋体" w:cs="宋体" w:hint="eastAsia"/>
        </w:rPr>
        <w:t>开始为期两天的利率会议，为</w:t>
      </w:r>
      <w:r>
        <w:rPr>
          <w:rFonts w:ascii="宋体" w:hAnsi="宋体" w:cs="宋体" w:hint="eastAsia"/>
        </w:rPr>
        <w:t>后续行动提供更多指引，需持续关注。</w:t>
      </w:r>
    </w:p>
    <w:p w14:paraId="41B37BB3" w14:textId="0153FA0E" w:rsidR="0087172E" w:rsidRDefault="00127060" w:rsidP="00127060">
      <w:pPr>
        <w:spacing w:line="312" w:lineRule="auto"/>
        <w:ind w:firstLine="420"/>
        <w:rPr>
          <w:rFonts w:ascii="宋体" w:hAnsi="宋体" w:cs="宋体"/>
        </w:rPr>
      </w:pPr>
      <w:r>
        <w:rPr>
          <w:rFonts w:ascii="宋体" w:hAnsi="宋体" w:hint="eastAsia"/>
          <w:bCs/>
          <w:szCs w:val="21"/>
        </w:rPr>
        <w:lastRenderedPageBreak/>
        <w:t>1</w:t>
      </w:r>
      <w:r>
        <w:rPr>
          <w:rFonts w:ascii="宋体" w:hAnsi="宋体"/>
          <w:bCs/>
          <w:szCs w:val="21"/>
        </w:rPr>
        <w:t>2</w:t>
      </w:r>
      <w:r>
        <w:rPr>
          <w:rFonts w:ascii="宋体" w:hAnsi="宋体" w:hint="eastAsia"/>
          <w:bCs/>
          <w:szCs w:val="21"/>
        </w:rPr>
        <w:t>月1</w:t>
      </w:r>
      <w:r>
        <w:rPr>
          <w:rFonts w:ascii="宋体" w:hAnsi="宋体"/>
          <w:bCs/>
          <w:szCs w:val="21"/>
        </w:rPr>
        <w:t>1</w:t>
      </w:r>
      <w:r>
        <w:rPr>
          <w:rFonts w:ascii="宋体" w:hAnsi="宋体" w:hint="eastAsia"/>
          <w:bCs/>
          <w:szCs w:val="21"/>
        </w:rPr>
        <w:t>日，中央经济工作会议中指出接下来政策重点是稳住楼市股市，</w:t>
      </w:r>
      <w:r w:rsidRPr="00CA1024">
        <w:rPr>
          <w:rFonts w:ascii="宋体" w:hAnsi="宋体"/>
          <w:bCs/>
          <w:szCs w:val="21"/>
        </w:rPr>
        <w:t>稳定预期</w:t>
      </w:r>
      <w:r w:rsidRPr="004A4047">
        <w:rPr>
          <w:rFonts w:ascii="宋体" w:hAnsi="宋体"/>
          <w:bCs/>
          <w:szCs w:val="21"/>
        </w:rPr>
        <w:t>，大力提振消费，促进科技创新与新质生产力发展。</w:t>
      </w:r>
      <w:r>
        <w:rPr>
          <w:rFonts w:ascii="宋体" w:hAnsi="宋体"/>
          <w:bCs/>
          <w:szCs w:val="21"/>
        </w:rPr>
        <w:t>明年</w:t>
      </w:r>
      <w:r w:rsidRPr="00CA1024">
        <w:rPr>
          <w:rFonts w:ascii="宋体" w:hAnsi="宋体"/>
          <w:bCs/>
          <w:szCs w:val="21"/>
        </w:rPr>
        <w:t>首次实施“更加积极的财政政策”</w:t>
      </w:r>
      <w:r>
        <w:rPr>
          <w:rFonts w:ascii="宋体" w:hAnsi="宋体" w:hint="eastAsia"/>
          <w:bCs/>
          <w:szCs w:val="21"/>
        </w:rPr>
        <w:t>，叠加</w:t>
      </w:r>
      <w:r w:rsidRPr="00A92E8E">
        <w:rPr>
          <w:rFonts w:ascii="宋体" w:hAnsi="宋体" w:cs="宋体" w:hint="eastAsia"/>
        </w:rPr>
        <w:t>“实施适度宽松的货币政策”</w:t>
      </w:r>
      <w:r>
        <w:rPr>
          <w:rFonts w:ascii="宋体" w:hAnsi="宋体" w:cs="宋体" w:hint="eastAsia"/>
        </w:rPr>
        <w:t>，政策力度持续加大，</w:t>
      </w:r>
      <w:r w:rsidRPr="00A92E8E">
        <w:rPr>
          <w:rFonts w:ascii="宋体" w:hAnsi="宋体" w:cs="宋体" w:hint="eastAsia"/>
        </w:rPr>
        <w:t>我国经济基本面向好，因此短期人民币兑美元总体平稳，中长期影响需进一步观察特朗普新政实施效果，预计美元人民币波动范围7.25-7.30。</w:t>
      </w:r>
    </w:p>
    <w:p w14:paraId="1D9D6529" w14:textId="77777777" w:rsidR="0087172E" w:rsidRDefault="0087172E">
      <w:pPr>
        <w:spacing w:line="312" w:lineRule="auto"/>
        <w:ind w:firstLine="420"/>
        <w:rPr>
          <w:rFonts w:ascii="宋体" w:hAnsi="宋体" w:cs="宋体"/>
        </w:rPr>
      </w:pPr>
    </w:p>
    <w:p w14:paraId="3A3E9549" w14:textId="77777777" w:rsidR="0087172E" w:rsidRDefault="0087172E">
      <w:pPr>
        <w:spacing w:line="312" w:lineRule="auto"/>
        <w:ind w:firstLine="420"/>
        <w:rPr>
          <w:rFonts w:ascii="宋体" w:hAnsi="宋体" w:cs="宋体"/>
        </w:rPr>
      </w:pPr>
    </w:p>
    <w:p w14:paraId="0DF1DEA0" w14:textId="77777777" w:rsidR="0087172E" w:rsidRDefault="00BB7F54">
      <w:pPr>
        <w:spacing w:before="172" w:line="417" w:lineRule="exact"/>
        <w:rPr>
          <w:rFonts w:ascii="微软雅黑" w:eastAsia="微软雅黑" w:hAnsi="微软雅黑" w:cs="微软雅黑"/>
          <w:sz w:val="20"/>
        </w:rPr>
      </w:pPr>
      <w:r>
        <w:rPr>
          <w:rFonts w:ascii="微软雅黑" w:eastAsia="微软雅黑" w:hAnsi="微软雅黑" w:cs="微软雅黑"/>
          <w:b/>
          <w:bCs/>
          <w:color w:val="036EB8"/>
          <w:spacing w:val="19"/>
          <w:sz w:val="28"/>
          <w:szCs w:val="28"/>
        </w:rPr>
        <w:t xml:space="preserve"> </w:t>
      </w:r>
      <w:r>
        <w:rPr>
          <w:rFonts w:ascii="微软雅黑" w:eastAsia="微软雅黑" w:hAnsi="微软雅黑" w:cs="微软雅黑"/>
          <w:color w:val="CE393F"/>
          <w:spacing w:val="8"/>
          <w:position w:val="2"/>
          <w:sz w:val="40"/>
          <w:szCs w:val="40"/>
        </w:rPr>
        <w:t>△</w:t>
      </w:r>
      <w:r>
        <w:rPr>
          <w:rFonts w:ascii="微软雅黑" w:eastAsia="微软雅黑" w:hAnsi="微软雅黑" w:cs="微软雅黑"/>
          <w:color w:val="CE393F"/>
          <w:spacing w:val="-38"/>
          <w:position w:val="2"/>
          <w:sz w:val="40"/>
          <w:szCs w:val="40"/>
        </w:rPr>
        <w:t xml:space="preserve"> </w:t>
      </w:r>
      <w:r>
        <w:rPr>
          <w:rFonts w:ascii="微软雅黑" w:eastAsia="微软雅黑" w:hAnsi="微软雅黑" w:cs="微软雅黑"/>
          <w:spacing w:val="8"/>
          <w:position w:val="2"/>
          <w:sz w:val="20"/>
        </w:rPr>
        <w:t>免责声明</w:t>
      </w:r>
    </w:p>
    <w:p w14:paraId="12F65015" w14:textId="77777777" w:rsidR="0087172E" w:rsidRDefault="00BB7F54">
      <w:pPr>
        <w:spacing w:before="63" w:line="193" w:lineRule="auto"/>
        <w:ind w:left="340" w:right="706" w:firstLine="379"/>
        <w:rPr>
          <w:rFonts w:ascii="微软雅黑" w:eastAsia="微软雅黑" w:hAnsi="微软雅黑" w:cs="微软雅黑"/>
          <w:color w:val="898989"/>
          <w:spacing w:val="-8"/>
          <w:sz w:val="18"/>
          <w:szCs w:val="18"/>
        </w:rPr>
      </w:pPr>
      <w:r>
        <w:rPr>
          <w:rFonts w:ascii="微软雅黑" w:eastAsia="微软雅黑" w:hAnsi="微软雅黑" w:cs="微软雅黑"/>
          <w:color w:val="898989"/>
          <w:spacing w:val="3"/>
          <w:sz w:val="18"/>
          <w:szCs w:val="18"/>
        </w:rPr>
        <w:t>此报告由瑞达国际所编制。本报告采用之资料及意见均相信可靠及准确</w:t>
      </w:r>
      <w:r>
        <w:rPr>
          <w:rFonts w:ascii="微软雅黑" w:eastAsia="微软雅黑" w:hAnsi="微软雅黑" w:cs="微软雅黑"/>
          <w:color w:val="898989"/>
          <w:spacing w:val="2"/>
          <w:sz w:val="18"/>
          <w:szCs w:val="18"/>
        </w:rPr>
        <w:t>，但本公司并不对各分析或有关资料之可</w:t>
      </w:r>
      <w:r>
        <w:rPr>
          <w:rFonts w:ascii="微软雅黑" w:eastAsia="微软雅黑" w:hAnsi="微软雅黑" w:cs="微软雅黑"/>
          <w:color w:val="898989"/>
          <w:spacing w:val="3"/>
          <w:sz w:val="18"/>
          <w:szCs w:val="18"/>
        </w:rPr>
        <w:t>靠性及准确性作出全面性保证。本报告只供客户或读者作参考之用，客户或读者不应完全依靠本报告内容作为投</w:t>
      </w:r>
      <w:r>
        <w:rPr>
          <w:rFonts w:ascii="微软雅黑" w:eastAsia="微软雅黑" w:hAnsi="微软雅黑" w:cs="微软雅黑"/>
          <w:color w:val="898989"/>
          <w:spacing w:val="2"/>
          <w:sz w:val="18"/>
          <w:szCs w:val="18"/>
        </w:rPr>
        <w:t>资准</w:t>
      </w:r>
      <w:r>
        <w:rPr>
          <w:rFonts w:ascii="微软雅黑" w:eastAsia="微软雅黑" w:hAnsi="微软雅黑" w:cs="微软雅黑"/>
          <w:color w:val="898989"/>
          <w:spacing w:val="-8"/>
          <w:sz w:val="18"/>
          <w:szCs w:val="18"/>
        </w:rPr>
        <w:t>则。</w:t>
      </w:r>
    </w:p>
    <w:p w14:paraId="0E6AF2B3" w14:textId="77777777" w:rsidR="0087172E" w:rsidRDefault="00BB7F54">
      <w:pPr>
        <w:spacing w:before="63" w:line="193" w:lineRule="auto"/>
        <w:ind w:left="340" w:right="706" w:firstLine="379"/>
      </w:pPr>
      <w:r>
        <w:rPr>
          <w:rFonts w:ascii="微软雅黑" w:eastAsia="微软雅黑" w:hAnsi="微软雅黑" w:cs="微软雅黑"/>
          <w:color w:val="898989"/>
          <w:spacing w:val="3"/>
          <w:sz w:val="18"/>
          <w:szCs w:val="18"/>
        </w:rPr>
        <w:t>本报告之资料及意见如有任何更改，恕不另行通知。本报告并非及并无意图</w:t>
      </w:r>
      <w:r>
        <w:rPr>
          <w:rFonts w:ascii="微软雅黑" w:eastAsia="微软雅黑" w:hAnsi="微软雅黑" w:cs="微软雅黑"/>
          <w:color w:val="898989"/>
          <w:spacing w:val="2"/>
          <w:sz w:val="18"/>
          <w:szCs w:val="18"/>
        </w:rPr>
        <w:t>构成任何作价或招揽进行买卖本报告</w:t>
      </w:r>
      <w:r>
        <w:rPr>
          <w:rFonts w:ascii="微软雅黑" w:eastAsia="微软雅黑" w:hAnsi="微软雅黑" w:cs="微软雅黑"/>
          <w:color w:val="898989"/>
          <w:sz w:val="18"/>
          <w:szCs w:val="18"/>
        </w:rPr>
        <w:t xml:space="preserve"> </w:t>
      </w:r>
      <w:r>
        <w:rPr>
          <w:rFonts w:ascii="微软雅黑" w:eastAsia="微软雅黑" w:hAnsi="微软雅黑" w:cs="微软雅黑"/>
          <w:color w:val="898989"/>
          <w:spacing w:val="2"/>
          <w:sz w:val="18"/>
          <w:szCs w:val="18"/>
        </w:rPr>
        <w:t>提及的商品。本公司不会对任何因依靠本报告作出任何买卖而引致之任何损失承担任</w:t>
      </w:r>
      <w:r>
        <w:rPr>
          <w:rFonts w:ascii="微软雅黑" w:eastAsia="微软雅黑" w:hAnsi="微软雅黑" w:cs="微软雅黑"/>
          <w:color w:val="898989"/>
          <w:spacing w:val="1"/>
          <w:sz w:val="18"/>
          <w:szCs w:val="18"/>
        </w:rPr>
        <w:t>何责任。</w:t>
      </w:r>
    </w:p>
    <w:p w14:paraId="37ED71ED" w14:textId="77777777" w:rsidR="0087172E" w:rsidRDefault="0087172E">
      <w:pPr>
        <w:spacing w:before="34" w:line="569" w:lineRule="exact"/>
        <w:ind w:firstLine="6421"/>
      </w:pPr>
    </w:p>
    <w:p w14:paraId="2B387414" w14:textId="77777777" w:rsidR="0087172E" w:rsidRDefault="0087172E">
      <w:pPr>
        <w:spacing w:before="34" w:line="569" w:lineRule="exact"/>
      </w:pPr>
    </w:p>
    <w:p w14:paraId="2FC9FB15" w14:textId="77777777" w:rsidR="0087172E" w:rsidRDefault="00BB7F54">
      <w:pPr>
        <w:spacing w:line="3052" w:lineRule="exact"/>
        <w:jc w:val="center"/>
      </w:pPr>
      <w:r>
        <w:rPr>
          <w:noProof/>
          <w:position w:val="-61"/>
        </w:rPr>
        <w:drawing>
          <wp:inline distT="0" distB="0" distL="0" distR="0" wp14:anchorId="2C0B5275" wp14:editId="49672526">
            <wp:extent cx="1936115" cy="1938020"/>
            <wp:effectExtent l="0" t="0" r="6985" b="5080"/>
            <wp:docPr id="54" name="IM 54"/>
            <wp:cNvGraphicFramePr/>
            <a:graphic xmlns:a="http://schemas.openxmlformats.org/drawingml/2006/main">
              <a:graphicData uri="http://schemas.openxmlformats.org/drawingml/2006/picture">
                <pic:pic xmlns:pic="http://schemas.openxmlformats.org/drawingml/2006/picture">
                  <pic:nvPicPr>
                    <pic:cNvPr id="54" name="IM 54"/>
                    <pic:cNvPicPr/>
                  </pic:nvPicPr>
                  <pic:blipFill>
                    <a:blip r:embed="rId15"/>
                    <a:stretch>
                      <a:fillRect/>
                    </a:stretch>
                  </pic:blipFill>
                  <pic:spPr>
                    <a:xfrm>
                      <a:off x="0" y="0"/>
                      <a:ext cx="1936488" cy="1938179"/>
                    </a:xfrm>
                    <a:prstGeom prst="rect">
                      <a:avLst/>
                    </a:prstGeom>
                  </pic:spPr>
                </pic:pic>
              </a:graphicData>
            </a:graphic>
          </wp:inline>
        </w:drawing>
      </w:r>
    </w:p>
    <w:p w14:paraId="72B229F8" w14:textId="77777777" w:rsidR="0087172E" w:rsidRDefault="0087172E">
      <w:pPr>
        <w:pStyle w:val="a4"/>
        <w:spacing w:line="371" w:lineRule="auto"/>
        <w:jc w:val="center"/>
      </w:pPr>
    </w:p>
    <w:p w14:paraId="38010B07" w14:textId="77777777" w:rsidR="0087172E" w:rsidRDefault="00BB7F54">
      <w:pPr>
        <w:spacing w:before="103" w:line="191" w:lineRule="auto"/>
        <w:jc w:val="center"/>
        <w:rPr>
          <w:rFonts w:ascii="微软雅黑" w:eastAsia="微软雅黑" w:hAnsi="微软雅黑" w:cs="微软雅黑"/>
          <w:sz w:val="24"/>
          <w:szCs w:val="24"/>
        </w:rPr>
      </w:pPr>
      <w:r>
        <w:rPr>
          <w:rFonts w:ascii="微软雅黑" w:eastAsia="微软雅黑" w:hAnsi="微软雅黑" w:cs="微软雅黑"/>
          <w:spacing w:val="7"/>
          <w:sz w:val="24"/>
          <w:szCs w:val="24"/>
        </w:rPr>
        <w:t>24</w:t>
      </w:r>
      <w:r>
        <w:rPr>
          <w:rFonts w:ascii="微软雅黑" w:eastAsia="微软雅黑" w:hAnsi="微软雅黑" w:cs="微软雅黑"/>
          <w:spacing w:val="7"/>
          <w:sz w:val="24"/>
          <w:szCs w:val="24"/>
        </w:rPr>
        <w:t>小时客服电话：</w:t>
      </w:r>
      <w:r>
        <w:rPr>
          <w:rFonts w:ascii="微软雅黑" w:eastAsia="微软雅黑" w:hAnsi="微软雅黑" w:cs="微软雅黑"/>
          <w:spacing w:val="7"/>
          <w:sz w:val="24"/>
          <w:szCs w:val="24"/>
        </w:rPr>
        <w:t xml:space="preserve"> 00852</w:t>
      </w:r>
      <w:r>
        <w:rPr>
          <w:rFonts w:ascii="微软雅黑" w:eastAsia="微软雅黑" w:hAnsi="微软雅黑" w:cs="微软雅黑"/>
          <w:spacing w:val="-33"/>
          <w:sz w:val="24"/>
          <w:szCs w:val="24"/>
        </w:rPr>
        <w:t xml:space="preserve"> </w:t>
      </w:r>
      <w:r>
        <w:rPr>
          <w:rFonts w:ascii="微软雅黑" w:eastAsia="微软雅黑" w:hAnsi="微软雅黑" w:cs="微软雅黑"/>
          <w:spacing w:val="7"/>
          <w:sz w:val="24"/>
          <w:szCs w:val="24"/>
        </w:rPr>
        <w:t>-</w:t>
      </w:r>
      <w:r>
        <w:rPr>
          <w:rFonts w:ascii="微软雅黑" w:eastAsia="微软雅黑" w:hAnsi="微软雅黑" w:cs="微软雅黑"/>
          <w:spacing w:val="-37"/>
          <w:sz w:val="24"/>
          <w:szCs w:val="24"/>
        </w:rPr>
        <w:t xml:space="preserve"> </w:t>
      </w:r>
      <w:r>
        <w:rPr>
          <w:rFonts w:ascii="微软雅黑" w:eastAsia="微软雅黑" w:hAnsi="微软雅黑" w:cs="微软雅黑"/>
          <w:spacing w:val="7"/>
          <w:sz w:val="24"/>
          <w:szCs w:val="24"/>
        </w:rPr>
        <w:t>25342000/86</w:t>
      </w:r>
      <w:r>
        <w:rPr>
          <w:rFonts w:ascii="微软雅黑" w:eastAsia="微软雅黑" w:hAnsi="微软雅黑" w:cs="微软雅黑"/>
          <w:spacing w:val="-36"/>
          <w:sz w:val="24"/>
          <w:szCs w:val="24"/>
        </w:rPr>
        <w:t xml:space="preserve"> </w:t>
      </w:r>
      <w:r>
        <w:rPr>
          <w:rFonts w:ascii="微软雅黑" w:eastAsia="微软雅黑" w:hAnsi="微软雅黑" w:cs="微软雅黑"/>
          <w:spacing w:val="7"/>
          <w:sz w:val="24"/>
          <w:szCs w:val="24"/>
        </w:rPr>
        <w:t>-</w:t>
      </w:r>
      <w:r>
        <w:rPr>
          <w:rFonts w:ascii="微软雅黑" w:eastAsia="微软雅黑" w:hAnsi="微软雅黑" w:cs="微软雅黑"/>
          <w:spacing w:val="-26"/>
          <w:sz w:val="24"/>
          <w:szCs w:val="24"/>
        </w:rPr>
        <w:t xml:space="preserve"> </w:t>
      </w:r>
      <w:r>
        <w:rPr>
          <w:rFonts w:ascii="微软雅黑" w:eastAsia="微软雅黑" w:hAnsi="微软雅黑" w:cs="微软雅黑"/>
          <w:spacing w:val="7"/>
          <w:sz w:val="24"/>
          <w:szCs w:val="24"/>
        </w:rPr>
        <w:t>13603059885</w:t>
      </w:r>
    </w:p>
    <w:p w14:paraId="1B10CFCE" w14:textId="77777777" w:rsidR="0087172E" w:rsidRDefault="00BB7F54">
      <w:pPr>
        <w:spacing w:before="233" w:line="175" w:lineRule="auto"/>
        <w:jc w:val="center"/>
        <w:rPr>
          <w:rFonts w:ascii="微软雅黑" w:eastAsia="微软雅黑" w:hAnsi="微软雅黑" w:cs="微软雅黑"/>
          <w:sz w:val="24"/>
          <w:szCs w:val="24"/>
        </w:rPr>
      </w:pPr>
      <w:r>
        <w:rPr>
          <w:rFonts w:ascii="微软雅黑" w:eastAsia="微软雅黑" w:hAnsi="微软雅黑" w:cs="微软雅黑"/>
          <w:spacing w:val="5"/>
          <w:sz w:val="24"/>
          <w:szCs w:val="24"/>
        </w:rPr>
        <w:t>24</w:t>
      </w:r>
      <w:r>
        <w:rPr>
          <w:rFonts w:ascii="微软雅黑" w:eastAsia="微软雅黑" w:hAnsi="微软雅黑" w:cs="微软雅黑"/>
          <w:spacing w:val="5"/>
          <w:sz w:val="24"/>
          <w:szCs w:val="24"/>
        </w:rPr>
        <w:t>小时传真电话：</w:t>
      </w:r>
      <w:r>
        <w:rPr>
          <w:rFonts w:ascii="微软雅黑" w:eastAsia="微软雅黑" w:hAnsi="微软雅黑" w:cs="微软雅黑"/>
          <w:spacing w:val="5"/>
          <w:sz w:val="24"/>
          <w:szCs w:val="24"/>
        </w:rPr>
        <w:t xml:space="preserve"> 00852</w:t>
      </w:r>
      <w:r>
        <w:rPr>
          <w:rFonts w:ascii="微软雅黑" w:eastAsia="微软雅黑" w:hAnsi="微软雅黑" w:cs="微软雅黑"/>
          <w:spacing w:val="-32"/>
          <w:sz w:val="24"/>
          <w:szCs w:val="24"/>
        </w:rPr>
        <w:t xml:space="preserve"> </w:t>
      </w:r>
      <w:r>
        <w:rPr>
          <w:rFonts w:ascii="微软雅黑" w:eastAsia="微软雅黑" w:hAnsi="微软雅黑" w:cs="微软雅黑"/>
          <w:spacing w:val="5"/>
          <w:sz w:val="24"/>
          <w:szCs w:val="24"/>
        </w:rPr>
        <w:t>-</w:t>
      </w:r>
      <w:r>
        <w:rPr>
          <w:rFonts w:ascii="微软雅黑" w:eastAsia="微软雅黑" w:hAnsi="微软雅黑" w:cs="微软雅黑"/>
          <w:spacing w:val="-38"/>
          <w:sz w:val="24"/>
          <w:szCs w:val="24"/>
        </w:rPr>
        <w:t xml:space="preserve"> </w:t>
      </w:r>
      <w:r>
        <w:rPr>
          <w:rFonts w:ascii="微软雅黑" w:eastAsia="微软雅黑" w:hAnsi="微软雅黑" w:cs="微软雅黑"/>
          <w:spacing w:val="5"/>
          <w:sz w:val="24"/>
          <w:szCs w:val="24"/>
        </w:rPr>
        <w:t>25632368</w:t>
      </w:r>
    </w:p>
    <w:p w14:paraId="6F00D784" w14:textId="77777777" w:rsidR="0087172E" w:rsidRDefault="00BB7F54">
      <w:pPr>
        <w:spacing w:before="258" w:line="190" w:lineRule="auto"/>
        <w:jc w:val="center"/>
        <w:rPr>
          <w:rFonts w:ascii="微软雅黑" w:eastAsia="微软雅黑" w:hAnsi="微软雅黑" w:cs="微软雅黑"/>
          <w:sz w:val="24"/>
          <w:szCs w:val="24"/>
        </w:rPr>
      </w:pPr>
      <w:r>
        <w:rPr>
          <w:rFonts w:ascii="微软雅黑" w:eastAsia="微软雅黑" w:hAnsi="微软雅黑" w:cs="微软雅黑"/>
          <w:spacing w:val="13"/>
          <w:sz w:val="24"/>
          <w:szCs w:val="24"/>
        </w:rPr>
        <w:t>客服邮箱：</w:t>
      </w:r>
      <w:r>
        <w:rPr>
          <w:rFonts w:ascii="微软雅黑" w:eastAsia="微软雅黑" w:hAnsi="微软雅黑" w:cs="微软雅黑"/>
          <w:spacing w:val="13"/>
          <w:sz w:val="24"/>
          <w:szCs w:val="24"/>
        </w:rPr>
        <w:t xml:space="preserve"> </w:t>
      </w:r>
      <w:r>
        <w:rPr>
          <w:rFonts w:ascii="微软雅黑" w:eastAsia="微软雅黑" w:hAnsi="微软雅黑" w:cs="微软雅黑"/>
          <w:sz w:val="24"/>
          <w:szCs w:val="24"/>
        </w:rPr>
        <w:t>cs</w:t>
      </w:r>
      <w:r>
        <w:rPr>
          <w:rFonts w:ascii="微软雅黑" w:eastAsia="微软雅黑" w:hAnsi="微软雅黑" w:cs="微软雅黑"/>
          <w:spacing w:val="13"/>
          <w:sz w:val="24"/>
          <w:szCs w:val="24"/>
        </w:rPr>
        <w:t>@</w:t>
      </w:r>
      <w:r>
        <w:rPr>
          <w:rFonts w:ascii="微软雅黑" w:eastAsia="微软雅黑" w:hAnsi="微软雅黑" w:cs="微软雅黑"/>
          <w:sz w:val="24"/>
          <w:szCs w:val="24"/>
        </w:rPr>
        <w:t>ruida</w:t>
      </w:r>
      <w:r>
        <w:rPr>
          <w:rFonts w:ascii="微软雅黑" w:eastAsia="微软雅黑" w:hAnsi="微软雅黑" w:cs="微软雅黑"/>
          <w:spacing w:val="13"/>
          <w:sz w:val="24"/>
          <w:szCs w:val="24"/>
        </w:rPr>
        <w:t>-</w:t>
      </w:r>
      <w:r>
        <w:rPr>
          <w:rFonts w:ascii="微软雅黑" w:eastAsia="微软雅黑" w:hAnsi="微软雅黑" w:cs="微软雅黑"/>
          <w:spacing w:val="-29"/>
          <w:sz w:val="24"/>
          <w:szCs w:val="24"/>
        </w:rPr>
        <w:t xml:space="preserve"> </w:t>
      </w:r>
      <w:r>
        <w:rPr>
          <w:rFonts w:ascii="微软雅黑" w:eastAsia="微软雅黑" w:hAnsi="微软雅黑" w:cs="微软雅黑"/>
          <w:sz w:val="24"/>
          <w:szCs w:val="24"/>
        </w:rPr>
        <w:t>int</w:t>
      </w:r>
      <w:r>
        <w:rPr>
          <w:rFonts w:ascii="微软雅黑" w:eastAsia="微软雅黑" w:hAnsi="微软雅黑" w:cs="微软雅黑"/>
          <w:spacing w:val="-28"/>
          <w:sz w:val="24"/>
          <w:szCs w:val="24"/>
        </w:rPr>
        <w:t xml:space="preserve"> </w:t>
      </w:r>
      <w:r>
        <w:rPr>
          <w:rFonts w:ascii="微软雅黑" w:eastAsia="微软雅黑" w:hAnsi="微软雅黑" w:cs="微软雅黑"/>
          <w:spacing w:val="13"/>
          <w:sz w:val="24"/>
          <w:szCs w:val="24"/>
        </w:rPr>
        <w:t>.</w:t>
      </w:r>
      <w:r>
        <w:rPr>
          <w:rFonts w:ascii="微软雅黑" w:eastAsia="微软雅黑" w:hAnsi="微软雅黑" w:cs="微软雅黑"/>
          <w:spacing w:val="-38"/>
          <w:sz w:val="24"/>
          <w:szCs w:val="24"/>
        </w:rPr>
        <w:t xml:space="preserve"> </w:t>
      </w:r>
      <w:r>
        <w:rPr>
          <w:rFonts w:ascii="微软雅黑" w:eastAsia="微软雅黑" w:hAnsi="微软雅黑" w:cs="微软雅黑"/>
          <w:sz w:val="24"/>
          <w:szCs w:val="24"/>
        </w:rPr>
        <w:t>com</w:t>
      </w:r>
    </w:p>
    <w:p w14:paraId="0E58E050" w14:textId="77777777" w:rsidR="0087172E" w:rsidRDefault="00BB7F54">
      <w:pPr>
        <w:spacing w:before="234" w:line="192" w:lineRule="auto"/>
        <w:jc w:val="center"/>
        <w:rPr>
          <w:rFonts w:ascii="微软雅黑" w:eastAsia="微软雅黑" w:hAnsi="微软雅黑" w:cs="微软雅黑"/>
          <w:sz w:val="24"/>
          <w:szCs w:val="24"/>
        </w:rPr>
      </w:pPr>
      <w:r>
        <w:rPr>
          <w:rFonts w:ascii="微软雅黑" w:eastAsia="微软雅黑" w:hAnsi="微软雅黑" w:cs="微软雅黑"/>
          <w:spacing w:val="8"/>
          <w:sz w:val="24"/>
          <w:szCs w:val="24"/>
        </w:rPr>
        <w:t>客服</w:t>
      </w:r>
      <w:r>
        <w:rPr>
          <w:rFonts w:ascii="微软雅黑" w:eastAsia="微软雅黑" w:hAnsi="微软雅黑" w:cs="微软雅黑"/>
          <w:sz w:val="24"/>
          <w:szCs w:val="24"/>
        </w:rPr>
        <w:t>QQ</w:t>
      </w:r>
      <w:r>
        <w:rPr>
          <w:rFonts w:ascii="微软雅黑" w:eastAsia="微软雅黑" w:hAnsi="微软雅黑" w:cs="微软雅黑"/>
          <w:spacing w:val="8"/>
          <w:sz w:val="24"/>
          <w:szCs w:val="24"/>
        </w:rPr>
        <w:t>：</w:t>
      </w:r>
      <w:r>
        <w:rPr>
          <w:rFonts w:ascii="微软雅黑" w:eastAsia="微软雅黑" w:hAnsi="微软雅黑" w:cs="微软雅黑"/>
          <w:spacing w:val="8"/>
          <w:sz w:val="24"/>
          <w:szCs w:val="24"/>
        </w:rPr>
        <w:t xml:space="preserve"> 203195058/29384</w:t>
      </w:r>
      <w:r>
        <w:rPr>
          <w:rFonts w:ascii="微软雅黑" w:eastAsia="微软雅黑" w:hAnsi="微软雅黑" w:cs="微软雅黑"/>
          <w:spacing w:val="7"/>
          <w:sz w:val="24"/>
          <w:szCs w:val="24"/>
        </w:rPr>
        <w:t>72186</w:t>
      </w:r>
    </w:p>
    <w:p w14:paraId="02A20C32" w14:textId="77777777" w:rsidR="0087172E" w:rsidRDefault="00BB7F54">
      <w:pPr>
        <w:spacing w:before="234" w:line="176" w:lineRule="auto"/>
        <w:jc w:val="center"/>
        <w:rPr>
          <w:rFonts w:ascii="微软雅黑" w:eastAsia="微软雅黑" w:hAnsi="微软雅黑" w:cs="微软雅黑"/>
          <w:sz w:val="24"/>
          <w:szCs w:val="24"/>
        </w:rPr>
      </w:pPr>
      <w:r>
        <w:rPr>
          <w:rFonts w:ascii="微软雅黑" w:eastAsia="微软雅黑" w:hAnsi="微软雅黑" w:cs="微软雅黑"/>
          <w:spacing w:val="21"/>
          <w:sz w:val="24"/>
          <w:szCs w:val="24"/>
        </w:rPr>
        <w:lastRenderedPageBreak/>
        <w:t>网址：</w:t>
      </w:r>
      <w:r>
        <w:rPr>
          <w:rFonts w:ascii="微软雅黑" w:eastAsia="微软雅黑" w:hAnsi="微软雅黑" w:cs="微软雅黑"/>
          <w:sz w:val="24"/>
          <w:szCs w:val="24"/>
        </w:rPr>
        <w:t>www</w:t>
      </w:r>
      <w:r>
        <w:rPr>
          <w:rFonts w:ascii="微软雅黑" w:eastAsia="微软雅黑" w:hAnsi="微软雅黑" w:cs="微软雅黑"/>
          <w:spacing w:val="21"/>
          <w:sz w:val="24"/>
          <w:szCs w:val="24"/>
        </w:rPr>
        <w:t>.</w:t>
      </w:r>
      <w:r>
        <w:rPr>
          <w:rFonts w:ascii="微软雅黑" w:eastAsia="微软雅黑" w:hAnsi="微软雅黑" w:cs="微软雅黑"/>
          <w:spacing w:val="-22"/>
          <w:sz w:val="24"/>
          <w:szCs w:val="24"/>
        </w:rPr>
        <w:t xml:space="preserve"> </w:t>
      </w:r>
      <w:r>
        <w:rPr>
          <w:rFonts w:ascii="微软雅黑" w:eastAsia="微软雅黑" w:hAnsi="微软雅黑" w:cs="微软雅黑"/>
          <w:sz w:val="24"/>
          <w:szCs w:val="24"/>
        </w:rPr>
        <w:t>ruida</w:t>
      </w:r>
      <w:r>
        <w:rPr>
          <w:rFonts w:ascii="微软雅黑" w:eastAsia="微软雅黑" w:hAnsi="微软雅黑" w:cs="微软雅黑"/>
          <w:spacing w:val="21"/>
          <w:sz w:val="24"/>
          <w:szCs w:val="24"/>
        </w:rPr>
        <w:t>-</w:t>
      </w:r>
      <w:r>
        <w:rPr>
          <w:rFonts w:ascii="微软雅黑" w:eastAsia="微软雅黑" w:hAnsi="微软雅黑" w:cs="微软雅黑"/>
          <w:spacing w:val="-28"/>
          <w:sz w:val="24"/>
          <w:szCs w:val="24"/>
        </w:rPr>
        <w:t xml:space="preserve"> </w:t>
      </w:r>
      <w:r>
        <w:rPr>
          <w:rFonts w:ascii="微软雅黑" w:eastAsia="微软雅黑" w:hAnsi="微软雅黑" w:cs="微软雅黑"/>
          <w:sz w:val="24"/>
          <w:szCs w:val="24"/>
        </w:rPr>
        <w:t>int</w:t>
      </w:r>
      <w:r>
        <w:rPr>
          <w:rFonts w:ascii="微软雅黑" w:eastAsia="微软雅黑" w:hAnsi="微软雅黑" w:cs="微软雅黑"/>
          <w:spacing w:val="-28"/>
          <w:sz w:val="24"/>
          <w:szCs w:val="24"/>
        </w:rPr>
        <w:t xml:space="preserve"> </w:t>
      </w:r>
      <w:r>
        <w:rPr>
          <w:rFonts w:ascii="微软雅黑" w:eastAsia="微软雅黑" w:hAnsi="微软雅黑" w:cs="微软雅黑"/>
          <w:spacing w:val="21"/>
          <w:sz w:val="24"/>
          <w:szCs w:val="24"/>
        </w:rPr>
        <w:t>.</w:t>
      </w:r>
      <w:r>
        <w:rPr>
          <w:rFonts w:ascii="微软雅黑" w:eastAsia="微软雅黑" w:hAnsi="微软雅黑" w:cs="微软雅黑"/>
          <w:spacing w:val="-38"/>
          <w:sz w:val="24"/>
          <w:szCs w:val="24"/>
        </w:rPr>
        <w:t xml:space="preserve"> </w:t>
      </w:r>
      <w:r>
        <w:rPr>
          <w:rFonts w:ascii="微软雅黑" w:eastAsia="微软雅黑" w:hAnsi="微软雅黑" w:cs="微软雅黑"/>
          <w:sz w:val="24"/>
          <w:szCs w:val="24"/>
        </w:rPr>
        <w:t>com</w:t>
      </w:r>
    </w:p>
    <w:p w14:paraId="1DBA974F" w14:textId="77777777" w:rsidR="0087172E" w:rsidRDefault="00BB7F54">
      <w:pPr>
        <w:spacing w:before="253" w:line="177" w:lineRule="auto"/>
        <w:jc w:val="center"/>
        <w:rPr>
          <w:rFonts w:ascii="微软雅黑" w:eastAsia="微软雅黑" w:hAnsi="微软雅黑" w:cs="微软雅黑"/>
          <w:sz w:val="24"/>
          <w:szCs w:val="24"/>
        </w:rPr>
      </w:pPr>
      <w:r>
        <w:rPr>
          <w:rFonts w:ascii="微软雅黑" w:eastAsia="微软雅黑" w:hAnsi="微软雅黑" w:cs="微软雅黑"/>
          <w:spacing w:val="16"/>
          <w:sz w:val="24"/>
          <w:szCs w:val="24"/>
        </w:rPr>
        <w:t>地址</w:t>
      </w:r>
      <w:r>
        <w:rPr>
          <w:rFonts w:ascii="微软雅黑" w:eastAsia="微软雅黑" w:hAnsi="微软雅黑" w:cs="微软雅黑"/>
          <w:spacing w:val="16"/>
          <w:sz w:val="24"/>
          <w:szCs w:val="24"/>
        </w:rPr>
        <w:t>:</w:t>
      </w:r>
      <w:r>
        <w:rPr>
          <w:rFonts w:ascii="微软雅黑" w:eastAsia="微软雅黑" w:hAnsi="微软雅黑" w:cs="微软雅黑"/>
          <w:spacing w:val="45"/>
          <w:w w:val="101"/>
          <w:sz w:val="24"/>
          <w:szCs w:val="24"/>
        </w:rPr>
        <w:t xml:space="preserve"> </w:t>
      </w:r>
      <w:r>
        <w:rPr>
          <w:rFonts w:ascii="微软雅黑" w:eastAsia="微软雅黑" w:hAnsi="微软雅黑" w:cs="微软雅黑"/>
          <w:spacing w:val="16"/>
          <w:sz w:val="24"/>
          <w:szCs w:val="24"/>
        </w:rPr>
        <w:t>香港湾仔菲林明道</w:t>
      </w:r>
      <w:r>
        <w:rPr>
          <w:rFonts w:ascii="微软雅黑" w:eastAsia="微软雅黑" w:hAnsi="微软雅黑" w:cs="微软雅黑"/>
          <w:spacing w:val="16"/>
          <w:sz w:val="24"/>
          <w:szCs w:val="24"/>
        </w:rPr>
        <w:t>8</w:t>
      </w:r>
      <w:r>
        <w:rPr>
          <w:rFonts w:ascii="微软雅黑" w:eastAsia="微软雅黑" w:hAnsi="微软雅黑" w:cs="微软雅黑"/>
          <w:spacing w:val="16"/>
          <w:sz w:val="24"/>
          <w:szCs w:val="24"/>
        </w:rPr>
        <w:t>号大同大厦</w:t>
      </w:r>
      <w:r>
        <w:rPr>
          <w:rFonts w:ascii="微软雅黑" w:eastAsia="微软雅黑" w:hAnsi="微软雅黑" w:cs="微软雅黑"/>
          <w:spacing w:val="16"/>
          <w:sz w:val="24"/>
          <w:szCs w:val="24"/>
        </w:rPr>
        <w:t>17</w:t>
      </w:r>
      <w:r>
        <w:rPr>
          <w:rFonts w:ascii="微软雅黑" w:eastAsia="微软雅黑" w:hAnsi="微软雅黑" w:cs="微软雅黑"/>
          <w:spacing w:val="16"/>
          <w:sz w:val="24"/>
          <w:szCs w:val="24"/>
        </w:rPr>
        <w:t>楼</w:t>
      </w:r>
      <w:r>
        <w:rPr>
          <w:rFonts w:ascii="微软雅黑" w:eastAsia="微软雅黑" w:hAnsi="微软雅黑" w:cs="微软雅黑"/>
          <w:spacing w:val="16"/>
          <w:sz w:val="24"/>
          <w:szCs w:val="24"/>
        </w:rPr>
        <w:t>05</w:t>
      </w:r>
      <w:r>
        <w:rPr>
          <w:rFonts w:ascii="微软雅黑" w:eastAsia="微软雅黑" w:hAnsi="微软雅黑" w:cs="微软雅黑"/>
          <w:spacing w:val="-36"/>
          <w:sz w:val="24"/>
          <w:szCs w:val="24"/>
        </w:rPr>
        <w:t xml:space="preserve"> </w:t>
      </w:r>
      <w:r>
        <w:rPr>
          <w:rFonts w:ascii="微软雅黑" w:eastAsia="微软雅黑" w:hAnsi="微软雅黑" w:cs="微软雅黑"/>
          <w:spacing w:val="16"/>
          <w:sz w:val="24"/>
          <w:szCs w:val="24"/>
        </w:rPr>
        <w:t>-</w:t>
      </w:r>
      <w:r>
        <w:rPr>
          <w:rFonts w:ascii="微软雅黑" w:eastAsia="微软雅黑" w:hAnsi="微软雅黑" w:cs="微软雅黑"/>
          <w:spacing w:val="-36"/>
          <w:sz w:val="24"/>
          <w:szCs w:val="24"/>
        </w:rPr>
        <w:t xml:space="preserve"> </w:t>
      </w:r>
      <w:r>
        <w:rPr>
          <w:rFonts w:ascii="微软雅黑" w:eastAsia="微软雅黑" w:hAnsi="微软雅黑" w:cs="微软雅黑"/>
          <w:spacing w:val="16"/>
          <w:sz w:val="24"/>
          <w:szCs w:val="24"/>
        </w:rPr>
        <w:t>06</w:t>
      </w:r>
      <w:r>
        <w:rPr>
          <w:rFonts w:ascii="微软雅黑" w:eastAsia="微软雅黑" w:hAnsi="微软雅黑" w:cs="微软雅黑"/>
          <w:spacing w:val="16"/>
          <w:sz w:val="24"/>
          <w:szCs w:val="24"/>
        </w:rPr>
        <w:t>室</w:t>
      </w:r>
    </w:p>
    <w:p w14:paraId="1A4B6D92" w14:textId="77777777" w:rsidR="0087172E" w:rsidRDefault="0087172E">
      <w:pPr>
        <w:spacing w:line="312" w:lineRule="auto"/>
        <w:ind w:firstLine="420"/>
      </w:pPr>
    </w:p>
    <w:sectPr w:rsidR="0087172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C41107" w14:textId="77777777" w:rsidR="00BB7F54" w:rsidRDefault="00BB7F54" w:rsidP="00127060">
      <w:r>
        <w:separator/>
      </w:r>
    </w:p>
  </w:endnote>
  <w:endnote w:type="continuationSeparator" w:id="0">
    <w:p w14:paraId="3290687B" w14:textId="77777777" w:rsidR="00BB7F54" w:rsidRDefault="00BB7F54" w:rsidP="001270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0256C7" w14:textId="77777777" w:rsidR="00BB7F54" w:rsidRDefault="00BB7F54" w:rsidP="00127060">
      <w:r>
        <w:separator/>
      </w:r>
    </w:p>
  </w:footnote>
  <w:footnote w:type="continuationSeparator" w:id="0">
    <w:p w14:paraId="76299D2A" w14:textId="77777777" w:rsidR="00BB7F54" w:rsidRDefault="00BB7F54" w:rsidP="0012706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C4574F"/>
    <w:multiLevelType w:val="multilevel"/>
    <w:tmpl w:val="5EC4574F"/>
    <w:lvl w:ilvl="0">
      <w:start w:val="1"/>
      <w:numFmt w:val="bullet"/>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4"/>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B08"/>
    <w:rsid w:val="000038D2"/>
    <w:rsid w:val="00011E90"/>
    <w:rsid w:val="00015CEB"/>
    <w:rsid w:val="00016329"/>
    <w:rsid w:val="000218EC"/>
    <w:rsid w:val="00027E72"/>
    <w:rsid w:val="000301E2"/>
    <w:rsid w:val="000328C5"/>
    <w:rsid w:val="000447DD"/>
    <w:rsid w:val="000658CB"/>
    <w:rsid w:val="00066060"/>
    <w:rsid w:val="00072AF7"/>
    <w:rsid w:val="0007552B"/>
    <w:rsid w:val="000A0A52"/>
    <w:rsid w:val="000A1B52"/>
    <w:rsid w:val="000A1C34"/>
    <w:rsid w:val="000A1E80"/>
    <w:rsid w:val="000A6E63"/>
    <w:rsid w:val="000B3BF6"/>
    <w:rsid w:val="000B4160"/>
    <w:rsid w:val="000B6102"/>
    <w:rsid w:val="000B7B1E"/>
    <w:rsid w:val="000C405D"/>
    <w:rsid w:val="000D138F"/>
    <w:rsid w:val="000D41E0"/>
    <w:rsid w:val="000D4E7F"/>
    <w:rsid w:val="000D5473"/>
    <w:rsid w:val="000D59E5"/>
    <w:rsid w:val="00115730"/>
    <w:rsid w:val="00127060"/>
    <w:rsid w:val="001470E8"/>
    <w:rsid w:val="001573DE"/>
    <w:rsid w:val="00182FB2"/>
    <w:rsid w:val="00197E1F"/>
    <w:rsid w:val="00197E3E"/>
    <w:rsid w:val="001A59DE"/>
    <w:rsid w:val="001B6505"/>
    <w:rsid w:val="001C7A4C"/>
    <w:rsid w:val="001D5BF6"/>
    <w:rsid w:val="001F0B8B"/>
    <w:rsid w:val="001F4E90"/>
    <w:rsid w:val="0021694A"/>
    <w:rsid w:val="00220075"/>
    <w:rsid w:val="00220B10"/>
    <w:rsid w:val="00223E72"/>
    <w:rsid w:val="00227DE4"/>
    <w:rsid w:val="002348D9"/>
    <w:rsid w:val="002617AF"/>
    <w:rsid w:val="00263BE6"/>
    <w:rsid w:val="00266134"/>
    <w:rsid w:val="0028572C"/>
    <w:rsid w:val="002A79EF"/>
    <w:rsid w:val="002C346F"/>
    <w:rsid w:val="002C6293"/>
    <w:rsid w:val="002C7B4F"/>
    <w:rsid w:val="002D1AA3"/>
    <w:rsid w:val="002E39E8"/>
    <w:rsid w:val="002F6580"/>
    <w:rsid w:val="00300223"/>
    <w:rsid w:val="00301549"/>
    <w:rsid w:val="00312B57"/>
    <w:rsid w:val="00341353"/>
    <w:rsid w:val="00357828"/>
    <w:rsid w:val="0036506F"/>
    <w:rsid w:val="00371BC0"/>
    <w:rsid w:val="00377B85"/>
    <w:rsid w:val="00392306"/>
    <w:rsid w:val="003A2616"/>
    <w:rsid w:val="003D2210"/>
    <w:rsid w:val="003D3AF3"/>
    <w:rsid w:val="003D3DB8"/>
    <w:rsid w:val="003E1D2F"/>
    <w:rsid w:val="003E5930"/>
    <w:rsid w:val="004012E4"/>
    <w:rsid w:val="004023AC"/>
    <w:rsid w:val="00414D5B"/>
    <w:rsid w:val="00416F99"/>
    <w:rsid w:val="00431962"/>
    <w:rsid w:val="00434A8A"/>
    <w:rsid w:val="00447802"/>
    <w:rsid w:val="00456C36"/>
    <w:rsid w:val="00456F4B"/>
    <w:rsid w:val="00462568"/>
    <w:rsid w:val="00472C1A"/>
    <w:rsid w:val="004855D9"/>
    <w:rsid w:val="004A483B"/>
    <w:rsid w:val="004A5DEA"/>
    <w:rsid w:val="004C131F"/>
    <w:rsid w:val="004D283C"/>
    <w:rsid w:val="004D75A9"/>
    <w:rsid w:val="004E22E6"/>
    <w:rsid w:val="004F0C55"/>
    <w:rsid w:val="004F16E7"/>
    <w:rsid w:val="00505DD6"/>
    <w:rsid w:val="00511152"/>
    <w:rsid w:val="0055205C"/>
    <w:rsid w:val="00574E1F"/>
    <w:rsid w:val="00583AD9"/>
    <w:rsid w:val="005D591B"/>
    <w:rsid w:val="006206E8"/>
    <w:rsid w:val="00621D14"/>
    <w:rsid w:val="00624E74"/>
    <w:rsid w:val="006938C5"/>
    <w:rsid w:val="006A2C2A"/>
    <w:rsid w:val="006A35D1"/>
    <w:rsid w:val="006C158F"/>
    <w:rsid w:val="006E2C2D"/>
    <w:rsid w:val="0071470E"/>
    <w:rsid w:val="0072465D"/>
    <w:rsid w:val="00730110"/>
    <w:rsid w:val="007348A2"/>
    <w:rsid w:val="00746E5A"/>
    <w:rsid w:val="00762BC0"/>
    <w:rsid w:val="00772ADA"/>
    <w:rsid w:val="00777880"/>
    <w:rsid w:val="00781600"/>
    <w:rsid w:val="00792E03"/>
    <w:rsid w:val="007A5815"/>
    <w:rsid w:val="007B10D1"/>
    <w:rsid w:val="007C0CD5"/>
    <w:rsid w:val="007D60FF"/>
    <w:rsid w:val="007E4414"/>
    <w:rsid w:val="007F6420"/>
    <w:rsid w:val="00804540"/>
    <w:rsid w:val="0083623C"/>
    <w:rsid w:val="00852D32"/>
    <w:rsid w:val="00853402"/>
    <w:rsid w:val="00854449"/>
    <w:rsid w:val="008575F1"/>
    <w:rsid w:val="0087172E"/>
    <w:rsid w:val="00882F85"/>
    <w:rsid w:val="00886C14"/>
    <w:rsid w:val="00887911"/>
    <w:rsid w:val="008A1FB2"/>
    <w:rsid w:val="008A2B9D"/>
    <w:rsid w:val="008B0DD1"/>
    <w:rsid w:val="008B5D1D"/>
    <w:rsid w:val="008B7950"/>
    <w:rsid w:val="008C13E8"/>
    <w:rsid w:val="008C2303"/>
    <w:rsid w:val="0090054A"/>
    <w:rsid w:val="00915D99"/>
    <w:rsid w:val="00916F88"/>
    <w:rsid w:val="00921AD3"/>
    <w:rsid w:val="009425B7"/>
    <w:rsid w:val="00950AA4"/>
    <w:rsid w:val="009624AE"/>
    <w:rsid w:val="00965238"/>
    <w:rsid w:val="0097610B"/>
    <w:rsid w:val="009821C1"/>
    <w:rsid w:val="00982EB3"/>
    <w:rsid w:val="00984FF0"/>
    <w:rsid w:val="009866FF"/>
    <w:rsid w:val="009927F3"/>
    <w:rsid w:val="009A75FC"/>
    <w:rsid w:val="009C0504"/>
    <w:rsid w:val="009C3D02"/>
    <w:rsid w:val="009D1C60"/>
    <w:rsid w:val="009D3BE6"/>
    <w:rsid w:val="009D594C"/>
    <w:rsid w:val="009E58E4"/>
    <w:rsid w:val="009F2447"/>
    <w:rsid w:val="00A00F94"/>
    <w:rsid w:val="00A3670A"/>
    <w:rsid w:val="00A3724E"/>
    <w:rsid w:val="00A37AF9"/>
    <w:rsid w:val="00A46DE2"/>
    <w:rsid w:val="00A618F2"/>
    <w:rsid w:val="00A77350"/>
    <w:rsid w:val="00A84ED5"/>
    <w:rsid w:val="00A87B55"/>
    <w:rsid w:val="00A959A4"/>
    <w:rsid w:val="00AA73C1"/>
    <w:rsid w:val="00AA7E59"/>
    <w:rsid w:val="00AB2BF2"/>
    <w:rsid w:val="00AB77E4"/>
    <w:rsid w:val="00AB7FCB"/>
    <w:rsid w:val="00AC23F7"/>
    <w:rsid w:val="00AF4AA5"/>
    <w:rsid w:val="00B20497"/>
    <w:rsid w:val="00B21983"/>
    <w:rsid w:val="00B61147"/>
    <w:rsid w:val="00B62126"/>
    <w:rsid w:val="00B71877"/>
    <w:rsid w:val="00B73C28"/>
    <w:rsid w:val="00B770FE"/>
    <w:rsid w:val="00B874B7"/>
    <w:rsid w:val="00B87C9E"/>
    <w:rsid w:val="00B91814"/>
    <w:rsid w:val="00BA0B26"/>
    <w:rsid w:val="00BB7F54"/>
    <w:rsid w:val="00BD0804"/>
    <w:rsid w:val="00BD65EE"/>
    <w:rsid w:val="00BE7495"/>
    <w:rsid w:val="00BF0672"/>
    <w:rsid w:val="00C12E3E"/>
    <w:rsid w:val="00C34E83"/>
    <w:rsid w:val="00C46144"/>
    <w:rsid w:val="00C47469"/>
    <w:rsid w:val="00C670BC"/>
    <w:rsid w:val="00C77777"/>
    <w:rsid w:val="00CA3BCB"/>
    <w:rsid w:val="00CB2110"/>
    <w:rsid w:val="00CD3D78"/>
    <w:rsid w:val="00CD7080"/>
    <w:rsid w:val="00CD788A"/>
    <w:rsid w:val="00CE4FC7"/>
    <w:rsid w:val="00CE5ABB"/>
    <w:rsid w:val="00CF65DD"/>
    <w:rsid w:val="00D0319E"/>
    <w:rsid w:val="00D03363"/>
    <w:rsid w:val="00D104E8"/>
    <w:rsid w:val="00D12EAC"/>
    <w:rsid w:val="00D13805"/>
    <w:rsid w:val="00D22BF7"/>
    <w:rsid w:val="00D3039F"/>
    <w:rsid w:val="00D32B08"/>
    <w:rsid w:val="00D46F69"/>
    <w:rsid w:val="00D521AE"/>
    <w:rsid w:val="00D63942"/>
    <w:rsid w:val="00D63AF2"/>
    <w:rsid w:val="00D66AEE"/>
    <w:rsid w:val="00D72D1D"/>
    <w:rsid w:val="00D906DE"/>
    <w:rsid w:val="00D96A08"/>
    <w:rsid w:val="00DA3C42"/>
    <w:rsid w:val="00DB2849"/>
    <w:rsid w:val="00DB70AE"/>
    <w:rsid w:val="00DD3375"/>
    <w:rsid w:val="00E07DDD"/>
    <w:rsid w:val="00E23901"/>
    <w:rsid w:val="00E2570F"/>
    <w:rsid w:val="00E37F6F"/>
    <w:rsid w:val="00E4628F"/>
    <w:rsid w:val="00E600C5"/>
    <w:rsid w:val="00E615E8"/>
    <w:rsid w:val="00E62C39"/>
    <w:rsid w:val="00E72BE2"/>
    <w:rsid w:val="00E8480F"/>
    <w:rsid w:val="00EB0DF5"/>
    <w:rsid w:val="00EC0693"/>
    <w:rsid w:val="00EC7330"/>
    <w:rsid w:val="00ED03AD"/>
    <w:rsid w:val="00ED78EE"/>
    <w:rsid w:val="00EF470E"/>
    <w:rsid w:val="00EF4EA3"/>
    <w:rsid w:val="00EF6715"/>
    <w:rsid w:val="00F13C7E"/>
    <w:rsid w:val="00F15BF4"/>
    <w:rsid w:val="00F16626"/>
    <w:rsid w:val="00F33658"/>
    <w:rsid w:val="00F40887"/>
    <w:rsid w:val="00F42487"/>
    <w:rsid w:val="00F56F48"/>
    <w:rsid w:val="00F73349"/>
    <w:rsid w:val="00F75A3D"/>
    <w:rsid w:val="00F772C1"/>
    <w:rsid w:val="00F858FD"/>
    <w:rsid w:val="00F868F7"/>
    <w:rsid w:val="00F94497"/>
    <w:rsid w:val="00F95B17"/>
    <w:rsid w:val="00FB693A"/>
    <w:rsid w:val="00FB72A5"/>
    <w:rsid w:val="00FC30F3"/>
    <w:rsid w:val="00FD467E"/>
    <w:rsid w:val="00FF4A95"/>
    <w:rsid w:val="1C782A98"/>
    <w:rsid w:val="29B670DF"/>
    <w:rsid w:val="2AC5334C"/>
    <w:rsid w:val="42BF647C"/>
    <w:rsid w:val="4C575977"/>
    <w:rsid w:val="642A77A1"/>
    <w:rsid w:val="729D3834"/>
    <w:rsid w:val="72D66D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BFC5DA"/>
  <w15:docId w15:val="{8884AC53-4006-4A7C-A7B9-649060A54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rPr>
      <w:rFonts w:asciiTheme="majorHAnsi" w:eastAsia="黑体" w:hAnsiTheme="majorHAnsi" w:cstheme="majorBidi"/>
      <w:sz w:val="20"/>
    </w:rPr>
  </w:style>
  <w:style w:type="paragraph" w:styleId="a4">
    <w:name w:val="Body Text"/>
    <w:basedOn w:val="a"/>
    <w:link w:val="a5"/>
    <w:autoRedefine/>
    <w:semiHidden/>
    <w:qFormat/>
    <w:pPr>
      <w:widowControl/>
      <w:kinsoku w:val="0"/>
      <w:autoSpaceDE w:val="0"/>
      <w:autoSpaceDN w:val="0"/>
      <w:adjustRightInd w:val="0"/>
      <w:snapToGrid w:val="0"/>
      <w:jc w:val="left"/>
      <w:textAlignment w:val="baseline"/>
    </w:pPr>
    <w:rPr>
      <w:rFonts w:ascii="Arial" w:eastAsia="Arial" w:hAnsi="Arial" w:cs="Arial"/>
      <w:snapToGrid w:val="0"/>
      <w:color w:val="000000"/>
      <w:kern w:val="0"/>
      <w:szCs w:val="21"/>
      <w:lang w:eastAsia="en-US"/>
    </w:rPr>
  </w:style>
  <w:style w:type="paragraph" w:styleId="a6">
    <w:name w:val="footer"/>
    <w:basedOn w:val="a"/>
    <w:link w:val="a7"/>
    <w:uiPriority w:val="99"/>
    <w:unhideWhenUsed/>
    <w:pPr>
      <w:tabs>
        <w:tab w:val="center" w:pos="4153"/>
        <w:tab w:val="right" w:pos="8306"/>
      </w:tabs>
      <w:snapToGrid w:val="0"/>
      <w:jc w:val="left"/>
    </w:pPr>
    <w:rPr>
      <w:sz w:val="18"/>
      <w:szCs w:val="18"/>
    </w:rPr>
  </w:style>
  <w:style w:type="paragraph" w:styleId="a8">
    <w:name w:val="header"/>
    <w:basedOn w:val="a"/>
    <w:link w:val="a9"/>
    <w:uiPriority w:val="99"/>
    <w:unhideWhenUsed/>
    <w:pPr>
      <w:pBdr>
        <w:bottom w:val="single" w:sz="6" w:space="1" w:color="auto"/>
      </w:pBdr>
      <w:tabs>
        <w:tab w:val="center" w:pos="4153"/>
        <w:tab w:val="right" w:pos="8306"/>
      </w:tabs>
      <w:snapToGrid w:val="0"/>
      <w:jc w:val="center"/>
    </w:pPr>
    <w:rPr>
      <w:sz w:val="18"/>
      <w:szCs w:val="18"/>
    </w:rPr>
  </w:style>
  <w:style w:type="table" w:styleId="aa">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basedOn w:val="a0"/>
    <w:uiPriority w:val="22"/>
    <w:qFormat/>
    <w:rPr>
      <w:b/>
      <w:bCs/>
    </w:rPr>
  </w:style>
  <w:style w:type="paragraph" w:styleId="ac">
    <w:name w:val="List Paragraph"/>
    <w:basedOn w:val="a"/>
    <w:uiPriority w:val="34"/>
    <w:qFormat/>
    <w:pPr>
      <w:ind w:firstLineChars="200" w:firstLine="420"/>
    </w:pPr>
  </w:style>
  <w:style w:type="character" w:customStyle="1" w:styleId="a9">
    <w:name w:val="页眉 字符"/>
    <w:basedOn w:val="a0"/>
    <w:link w:val="a8"/>
    <w:uiPriority w:val="99"/>
    <w:rPr>
      <w:rFonts w:ascii="Times New Roman" w:eastAsia="宋体" w:hAnsi="Times New Roman" w:cs="Times New Roman"/>
      <w:sz w:val="18"/>
      <w:szCs w:val="18"/>
    </w:rPr>
  </w:style>
  <w:style w:type="character" w:customStyle="1" w:styleId="a7">
    <w:name w:val="页脚 字符"/>
    <w:basedOn w:val="a0"/>
    <w:link w:val="a6"/>
    <w:uiPriority w:val="99"/>
    <w:rPr>
      <w:rFonts w:ascii="Times New Roman" w:eastAsia="宋体" w:hAnsi="Times New Roman" w:cs="Times New Roman"/>
      <w:sz w:val="18"/>
      <w:szCs w:val="18"/>
    </w:rPr>
  </w:style>
  <w:style w:type="character" w:customStyle="1" w:styleId="a5">
    <w:name w:val="正文文本 字符"/>
    <w:basedOn w:val="a0"/>
    <w:link w:val="a4"/>
    <w:semiHidden/>
    <w:qFormat/>
    <w:rPr>
      <w:rFonts w:ascii="Arial" w:eastAsia="Arial" w:hAnsi="Arial" w:cs="Arial"/>
      <w:snapToGrid w:val="0"/>
      <w:color w:val="000000"/>
      <w:kern w:val="0"/>
      <w:szCs w:val="21"/>
      <w:lang w:eastAsia="en-US"/>
    </w:rPr>
  </w:style>
  <w:style w:type="character" w:customStyle="1" w:styleId="w-text-emphasis">
    <w:name w:val="w-text-emphasis"/>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E2B990-DB10-43AD-A849-E5A89BDCB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6</Pages>
  <Words>332</Words>
  <Characters>1898</Characters>
  <Application>Microsoft Office Word</Application>
  <DocSecurity>0</DocSecurity>
  <Lines>15</Lines>
  <Paragraphs>4</Paragraphs>
  <ScaleCrop>false</ScaleCrop>
  <Company/>
  <LinksUpToDate>false</LinksUpToDate>
  <CharactersWithSpaces>2226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MSI</dc:creator>
  <cp:lastModifiedBy>MSI</cp:lastModifiedBy>
  <cp:revision>144</cp:revision>
  <cp:lastPrinted>2024-12-17T02:23:00Z</cp:lastPrinted>
  <dcterms:created xsi:type="dcterms:W3CDTF">2024-07-23T06:19:00Z</dcterms:created>
  <dcterms:modified xsi:type="dcterms:W3CDTF">2024-12-17T02:24:00Z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0916914D11034FEA980AFD71C0947664_12</vt:lpwstr>
  </property>
</Properties>
</file>