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115A1A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E55D02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3F1B2F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174179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9372C5" w:rsidRDefault="004D48C6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美国三大股指全线收跌，道指跌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0.61%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43449.9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4D48C6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指数跌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0.39%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6050.61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4D48C6">
        <w:rPr>
          <w:rFonts w:ascii="微软雅黑" w:eastAsia="微软雅黑" w:hAnsi="微软雅黑" w:cs="微软雅黑"/>
          <w:spacing w:val="12"/>
          <w:lang w:eastAsia="zh-CN"/>
        </w:rPr>
        <w:t>0.32%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20109.06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点。其中，道指录得连续九日连跌，创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1978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月以来最长连跌。美元指数涨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0.08%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106.95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，非美货币多数上涨，离岸人民币对美元涨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47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7.2880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。国际油价全线下跌，</w:t>
      </w:r>
      <w:proofErr w:type="gramStart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0.67%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69.82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0.78%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73.33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桶。国际贵金属期货小幅收跌，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0.24%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2663.5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0.18%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31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LME</w:t>
      </w:r>
      <w:proofErr w:type="gramStart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期铜跌</w:t>
      </w:r>
      <w:proofErr w:type="gramEnd"/>
      <w:r w:rsidRPr="004D48C6">
        <w:rPr>
          <w:rFonts w:ascii="微软雅黑" w:eastAsia="微软雅黑" w:hAnsi="微软雅黑" w:cs="微软雅黑"/>
          <w:spacing w:val="12"/>
          <w:lang w:eastAsia="zh-CN"/>
        </w:rPr>
        <w:t>0.62%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9006.5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吨。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原糖期货跌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4.16%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19.82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棉花期货跌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0.56%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68.67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Pr="006B4BE7" w:rsidRDefault="00115A1A" w:rsidP="006B4BE7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6B4BE7" w:rsidRPr="006B4BE7" w:rsidRDefault="00B95A11" w:rsidP="0048502E">
      <w:pPr>
        <w:spacing w:before="103" w:line="257" w:lineRule="auto"/>
        <w:ind w:right="584"/>
        <w:jc w:val="both"/>
        <w:rPr>
          <w:rFonts w:eastAsiaTheme="minorEastAsia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4B4E03D2" wp14:editId="00FAE8CF">
            <wp:extent cx="6573520" cy="4191635"/>
            <wp:effectExtent l="0" t="0" r="17780" b="18415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4D48C6" w:rsidRPr="004D48C6" w:rsidRDefault="004D48C6" w:rsidP="004D48C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【近期哈马斯与以色列的种种发言似乎都显示双方有“松口”的征兆。根据以色列及阿拉伯媒体援引消息人士的话报道称，目前各方谈判取得一定的进展，但同时双方间分歧尚未得到明确解决。】</w:t>
      </w:r>
    </w:p>
    <w:p w:rsidR="004D48C6" w:rsidRPr="004D48C6" w:rsidRDefault="004D48C6" w:rsidP="004D48C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【美国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月工业产出环比降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0.1%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0.3%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，前值从降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0.3%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修正为降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0.4%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；制造业产出环比升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0.2%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0.5%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，前值从降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0.5%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修正为降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0.7%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。】</w:t>
      </w:r>
    </w:p>
    <w:p w:rsidR="004D48C6" w:rsidRPr="004D48C6" w:rsidRDefault="004D48C6" w:rsidP="004D48C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【美国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月零售销售环比升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0.7%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0.5%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，前值从升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0.4%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修正为升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0.5%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。】</w:t>
      </w:r>
    </w:p>
    <w:p w:rsidR="00DE289B" w:rsidRDefault="004D48C6" w:rsidP="004D48C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【加拿大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CPI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同比升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1.9%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2.0%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2.0%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；环比持平，预期升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0.1%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，前值升</w:t>
      </w:r>
      <w:r w:rsidRPr="004D48C6">
        <w:rPr>
          <w:rFonts w:ascii="微软雅黑" w:eastAsia="微软雅黑" w:hAnsi="微软雅黑" w:cs="微软雅黑"/>
          <w:color w:val="auto"/>
          <w:spacing w:val="4"/>
          <w:lang w:eastAsia="zh-CN"/>
        </w:rPr>
        <w:t>0.4%</w:t>
      </w:r>
      <w:r w:rsidRPr="004D48C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。】</w:t>
      </w:r>
    </w:p>
    <w:p w:rsidR="00DB08A6" w:rsidRDefault="00DB08A6" w:rsidP="002F37CD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:rsidR="009372C5" w:rsidRDefault="00115A1A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134"/>
        <w:gridCol w:w="6524"/>
      </w:tblGrid>
      <w:tr w:rsidR="009372C5" w:rsidTr="00214344">
        <w:trPr>
          <w:trHeight w:val="620"/>
        </w:trPr>
        <w:tc>
          <w:tcPr>
            <w:tcW w:w="2865" w:type="dxa"/>
            <w:gridSpan w:val="2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数据/事件</w:t>
            </w:r>
          </w:p>
        </w:tc>
      </w:tr>
      <w:tr w:rsidR="001604D9" w:rsidTr="002731E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04D9" w:rsidRDefault="001D4A6A" w:rsidP="00B95A11">
            <w:pPr>
              <w:pStyle w:val="TableText"/>
              <w:ind w:firstLine="392"/>
              <w:rPr>
                <w:lang w:eastAsia="zh-CN"/>
              </w:rPr>
            </w:pPr>
            <w:r>
              <w:t>2024/12/</w:t>
            </w:r>
            <w:r w:rsidR="003F1B2F">
              <w:t>1</w:t>
            </w:r>
            <w:r w:rsidR="004D48C6">
              <w:t>8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:rsidR="001604D9" w:rsidRPr="00853C1D" w:rsidRDefault="006B4BE7" w:rsidP="004D48C6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</w:t>
            </w:r>
            <w:r w:rsidR="004D48C6">
              <w:rPr>
                <w:lang w:eastAsia="zh-CN"/>
              </w:rPr>
              <w:t>5</w:t>
            </w:r>
            <w:r w:rsidR="00942C9E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942C9E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1604D9" w:rsidRDefault="004D48C6" w:rsidP="00DE289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4D48C6">
              <w:rPr>
                <w:rFonts w:hint="eastAsia"/>
                <w:b w:val="0"/>
                <w:lang w:eastAsia="zh-CN"/>
              </w:rPr>
              <w:t>英国</w:t>
            </w:r>
            <w:r w:rsidRPr="004D48C6">
              <w:rPr>
                <w:b w:val="0"/>
                <w:lang w:eastAsia="zh-CN"/>
              </w:rPr>
              <w:t>11</w:t>
            </w:r>
            <w:r w:rsidRPr="004D48C6">
              <w:rPr>
                <w:rFonts w:hint="eastAsia"/>
                <w:b w:val="0"/>
                <w:lang w:eastAsia="zh-CN"/>
              </w:rPr>
              <w:t>月</w:t>
            </w:r>
            <w:r w:rsidRPr="004D48C6">
              <w:rPr>
                <w:b w:val="0"/>
                <w:lang w:eastAsia="zh-CN"/>
              </w:rPr>
              <w:t>CPI</w:t>
            </w:r>
            <w:r w:rsidRPr="004D48C6">
              <w:rPr>
                <w:rFonts w:hint="eastAsia"/>
                <w:b w:val="0"/>
                <w:lang w:eastAsia="zh-CN"/>
              </w:rPr>
              <w:t>月率</w:t>
            </w:r>
          </w:p>
        </w:tc>
      </w:tr>
      <w:tr w:rsidR="001604D9" w:rsidTr="00214344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3EAFF"/>
          </w:tcPr>
          <w:p w:rsidR="001604D9" w:rsidRDefault="00F674C2" w:rsidP="00DE289B">
            <w:pPr>
              <w:pStyle w:val="TableText"/>
              <w:ind w:firstLine="392"/>
              <w:rPr>
                <w:lang w:eastAsia="zh-CN"/>
              </w:rPr>
            </w:pPr>
            <w:r>
              <w:t>2024/12/</w:t>
            </w:r>
            <w:r w:rsidR="003F1B2F">
              <w:t>1</w:t>
            </w:r>
            <w:r w:rsidR="004D48C6">
              <w:t>8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3EAFF"/>
          </w:tcPr>
          <w:p w:rsidR="001604D9" w:rsidRPr="00853C1D" w:rsidRDefault="003F1B2F" w:rsidP="00B95A11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</w:t>
            </w:r>
            <w:r w:rsidR="004D48C6">
              <w:rPr>
                <w:lang w:eastAsia="zh-CN"/>
              </w:rPr>
              <w:t>5</w:t>
            </w:r>
            <w:r w:rsidR="00DE289B">
              <w:rPr>
                <w:lang w:eastAsia="zh-CN"/>
              </w:rPr>
              <w:t>:</w:t>
            </w:r>
            <w:r w:rsidR="00B95A11"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D3EAFF"/>
          </w:tcPr>
          <w:p w:rsidR="009E11E4" w:rsidRDefault="004D48C6" w:rsidP="001604D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4D48C6">
              <w:rPr>
                <w:rFonts w:hint="eastAsia"/>
                <w:b w:val="0"/>
                <w:lang w:eastAsia="zh-CN"/>
              </w:rPr>
              <w:t>英国</w:t>
            </w:r>
            <w:r w:rsidRPr="004D48C6">
              <w:rPr>
                <w:b w:val="0"/>
                <w:lang w:eastAsia="zh-CN"/>
              </w:rPr>
              <w:t>11</w:t>
            </w:r>
            <w:r w:rsidRPr="004D48C6">
              <w:rPr>
                <w:rFonts w:hint="eastAsia"/>
                <w:b w:val="0"/>
                <w:lang w:eastAsia="zh-CN"/>
              </w:rPr>
              <w:t>月零售物价指数月率</w:t>
            </w:r>
          </w:p>
        </w:tc>
      </w:tr>
      <w:tr w:rsidR="001604D9" w:rsidTr="00214344">
        <w:trPr>
          <w:trHeight w:val="618"/>
        </w:trPr>
        <w:tc>
          <w:tcPr>
            <w:tcW w:w="1731" w:type="dxa"/>
            <w:tcBorders>
              <w:top w:val="nil"/>
            </w:tcBorders>
            <w:shd w:val="clear" w:color="auto" w:fill="auto"/>
          </w:tcPr>
          <w:p w:rsidR="001604D9" w:rsidRPr="00853C1D" w:rsidRDefault="005D2A13" w:rsidP="001604D9">
            <w:pPr>
              <w:pStyle w:val="TableText"/>
              <w:ind w:firstLine="392"/>
              <w:rPr>
                <w:lang w:eastAsia="zh-CN"/>
              </w:rPr>
            </w:pPr>
            <w:r>
              <w:t>2024/12/</w:t>
            </w:r>
            <w:r w:rsidR="003F1B2F">
              <w:t>1</w:t>
            </w:r>
            <w:r w:rsidR="004D48C6">
              <w:t>8</w:t>
            </w:r>
          </w:p>
        </w:tc>
        <w:tc>
          <w:tcPr>
            <w:tcW w:w="1134" w:type="dxa"/>
            <w:shd w:val="clear" w:color="auto" w:fill="auto"/>
          </w:tcPr>
          <w:p w:rsidR="001604D9" w:rsidRPr="00853C1D" w:rsidRDefault="00B95A11" w:rsidP="00B95A11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18</w:t>
            </w:r>
            <w:r w:rsidR="001604D9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DE289B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882A0E" w:rsidRPr="00853C1D" w:rsidRDefault="004D48C6" w:rsidP="00DE289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4D48C6">
              <w:rPr>
                <w:rFonts w:hint="eastAsia"/>
                <w:b w:val="0"/>
                <w:lang w:eastAsia="zh-CN"/>
              </w:rPr>
              <w:t>欧元区</w:t>
            </w:r>
            <w:r w:rsidRPr="004D48C6">
              <w:rPr>
                <w:b w:val="0"/>
                <w:lang w:eastAsia="zh-CN"/>
              </w:rPr>
              <w:t>11</w:t>
            </w:r>
            <w:r w:rsidRPr="004D48C6">
              <w:rPr>
                <w:rFonts w:hint="eastAsia"/>
                <w:b w:val="0"/>
                <w:lang w:eastAsia="zh-CN"/>
              </w:rPr>
              <w:t>月</w:t>
            </w:r>
            <w:r w:rsidRPr="004D48C6">
              <w:rPr>
                <w:b w:val="0"/>
                <w:lang w:eastAsia="zh-CN"/>
              </w:rPr>
              <w:t>CPI</w:t>
            </w:r>
            <w:r w:rsidRPr="004D48C6">
              <w:rPr>
                <w:rFonts w:hint="eastAsia"/>
                <w:b w:val="0"/>
                <w:lang w:eastAsia="zh-CN"/>
              </w:rPr>
              <w:t>年率终值</w:t>
            </w:r>
          </w:p>
        </w:tc>
      </w:tr>
      <w:tr w:rsidR="001604D9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1604D9" w:rsidRDefault="005D2A13" w:rsidP="003F1B2F">
            <w:pPr>
              <w:pStyle w:val="TableText"/>
              <w:ind w:firstLine="392"/>
              <w:rPr>
                <w:lang w:eastAsia="zh-CN"/>
              </w:rPr>
            </w:pPr>
            <w:r>
              <w:t>2024/12/</w:t>
            </w:r>
            <w:r w:rsidR="004D48C6">
              <w:t>18</w:t>
            </w:r>
          </w:p>
        </w:tc>
        <w:tc>
          <w:tcPr>
            <w:tcW w:w="1134" w:type="dxa"/>
            <w:shd w:val="clear" w:color="auto" w:fill="D3EAFF"/>
          </w:tcPr>
          <w:p w:rsidR="001604D9" w:rsidRDefault="00B95A11" w:rsidP="005D2A13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18</w:t>
            </w:r>
            <w:r w:rsidR="00F674C2">
              <w:rPr>
                <w:rFonts w:hint="eastAsia"/>
                <w:lang w:eastAsia="zh-CN"/>
              </w:rPr>
              <w:t>:</w:t>
            </w:r>
            <w:r w:rsidR="005D2A13">
              <w:rPr>
                <w:lang w:eastAsia="zh-CN"/>
              </w:rPr>
              <w:t>0</w:t>
            </w:r>
            <w:r w:rsidR="00F674C2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882A0E" w:rsidRPr="000334A3" w:rsidRDefault="004D48C6" w:rsidP="003F1B2F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4D48C6">
              <w:rPr>
                <w:rFonts w:hint="eastAsia"/>
                <w:b w:val="0"/>
                <w:lang w:eastAsia="zh-CN"/>
              </w:rPr>
              <w:t>欧元区</w:t>
            </w:r>
            <w:r w:rsidRPr="004D48C6">
              <w:rPr>
                <w:b w:val="0"/>
                <w:lang w:eastAsia="zh-CN"/>
              </w:rPr>
              <w:t>11</w:t>
            </w:r>
            <w:r w:rsidRPr="004D48C6">
              <w:rPr>
                <w:rFonts w:hint="eastAsia"/>
                <w:b w:val="0"/>
                <w:lang w:eastAsia="zh-CN"/>
              </w:rPr>
              <w:t>月</w:t>
            </w:r>
            <w:r w:rsidRPr="004D48C6">
              <w:rPr>
                <w:b w:val="0"/>
                <w:lang w:eastAsia="zh-CN"/>
              </w:rPr>
              <w:t>CPI</w:t>
            </w:r>
            <w:r w:rsidRPr="004D48C6">
              <w:rPr>
                <w:rFonts w:hint="eastAsia"/>
                <w:b w:val="0"/>
                <w:lang w:eastAsia="zh-CN"/>
              </w:rPr>
              <w:t>月率终值</w:t>
            </w:r>
          </w:p>
        </w:tc>
      </w:tr>
      <w:tr w:rsidR="005D2A13" w:rsidTr="005D2A13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:rsidR="005D2A13" w:rsidRDefault="005D2A13" w:rsidP="001604D9">
            <w:pPr>
              <w:pStyle w:val="TableText"/>
              <w:ind w:firstLine="392"/>
            </w:pPr>
            <w:r>
              <w:t>2024/12/</w:t>
            </w:r>
            <w:r w:rsidR="004D48C6">
              <w:t>18</w:t>
            </w:r>
          </w:p>
        </w:tc>
        <w:tc>
          <w:tcPr>
            <w:tcW w:w="1134" w:type="dxa"/>
            <w:shd w:val="clear" w:color="auto" w:fill="FFFFFF" w:themeFill="background1"/>
          </w:tcPr>
          <w:p w:rsidR="005D2A13" w:rsidRDefault="00B95A11" w:rsidP="003F1B2F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21</w:t>
            </w:r>
            <w:r w:rsidR="005D2A13">
              <w:rPr>
                <w:rFonts w:hint="eastAsia"/>
                <w:lang w:eastAsia="zh-CN"/>
              </w:rPr>
              <w:t>:</w:t>
            </w:r>
            <w:r w:rsidR="003F1B2F">
              <w:rPr>
                <w:lang w:eastAsia="zh-CN"/>
              </w:rPr>
              <w:t>3</w:t>
            </w:r>
            <w:r w:rsidR="005D2A13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FFFFFF" w:themeFill="background1"/>
          </w:tcPr>
          <w:p w:rsidR="005D2A13" w:rsidRPr="005D2A13" w:rsidRDefault="004D48C6" w:rsidP="00F674C2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4D48C6">
              <w:rPr>
                <w:rFonts w:hint="eastAsia"/>
                <w:b w:val="0"/>
                <w:lang w:eastAsia="zh-CN"/>
              </w:rPr>
              <w:t>美国</w:t>
            </w:r>
            <w:r w:rsidRPr="004D48C6">
              <w:rPr>
                <w:b w:val="0"/>
                <w:lang w:eastAsia="zh-CN"/>
              </w:rPr>
              <w:t>11</w:t>
            </w:r>
            <w:r w:rsidRPr="004D48C6">
              <w:rPr>
                <w:rFonts w:hint="eastAsia"/>
                <w:b w:val="0"/>
                <w:lang w:eastAsia="zh-CN"/>
              </w:rPr>
              <w:t>月新屋开工</w:t>
            </w:r>
            <w:proofErr w:type="gramStart"/>
            <w:r w:rsidRPr="004D48C6">
              <w:rPr>
                <w:rFonts w:hint="eastAsia"/>
                <w:b w:val="0"/>
                <w:lang w:eastAsia="zh-CN"/>
              </w:rPr>
              <w:t>总数年化</w:t>
            </w:r>
            <w:proofErr w:type="gramEnd"/>
          </w:p>
        </w:tc>
      </w:tr>
      <w:tr w:rsidR="006B4BE7" w:rsidTr="006B4BE7">
        <w:trPr>
          <w:trHeight w:val="618"/>
        </w:trPr>
        <w:tc>
          <w:tcPr>
            <w:tcW w:w="1731" w:type="dxa"/>
            <w:shd w:val="clear" w:color="auto" w:fill="D3EAFF"/>
          </w:tcPr>
          <w:p w:rsidR="006B4BE7" w:rsidRDefault="004D48C6" w:rsidP="004D48C6">
            <w:pPr>
              <w:pStyle w:val="TableText"/>
              <w:ind w:firstLine="392"/>
            </w:pPr>
            <w:r>
              <w:t>2024/12/19</w:t>
            </w:r>
          </w:p>
        </w:tc>
        <w:tc>
          <w:tcPr>
            <w:tcW w:w="1134" w:type="dxa"/>
            <w:shd w:val="clear" w:color="auto" w:fill="D3EAFF"/>
          </w:tcPr>
          <w:p w:rsidR="006B4BE7" w:rsidRDefault="004D48C6" w:rsidP="004D48C6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03</w:t>
            </w:r>
            <w:r w:rsidR="006B4BE7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D3EAFF"/>
          </w:tcPr>
          <w:p w:rsidR="006B4BE7" w:rsidRPr="003F1B2F" w:rsidRDefault="004D48C6" w:rsidP="006B4BE7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4D48C6">
              <w:rPr>
                <w:rFonts w:hint="eastAsia"/>
                <w:b w:val="0"/>
                <w:lang w:eastAsia="zh-CN"/>
              </w:rPr>
              <w:t>美联储公布利率决议和经济预期摘要</w:t>
            </w:r>
          </w:p>
        </w:tc>
      </w:tr>
    </w:tbl>
    <w:p w:rsidR="00882A0E" w:rsidRDefault="00882A0E" w:rsidP="00942C9E">
      <w:pPr>
        <w:spacing w:before="102" w:line="257" w:lineRule="auto"/>
        <w:ind w:right="646" w:firstLineChars="200" w:firstLine="420"/>
        <w:jc w:val="both"/>
        <w:rPr>
          <w:lang w:eastAsia="zh-CN"/>
        </w:rPr>
      </w:pPr>
    </w:p>
    <w:p w:rsidR="009372C5" w:rsidRDefault="00174179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4pt;height:14.4pt">
            <v:imagedata r:id="rId13" o:title=""/>
          </v:shape>
        </w:pict>
      </w:r>
      <w:r w:rsidR="00115A1A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115A1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134CBA" w:rsidRPr="00134CBA" w:rsidRDefault="00134CBA" w:rsidP="00134CBA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美元指数涨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0.08%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106.95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，非美货币多数上涨，欧元兑美元跌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0.18%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1.0491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0.14%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1.2710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，澳元兑美元跌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0.53%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0.6337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0.44%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153.47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134CBA">
        <w:rPr>
          <w:rFonts w:ascii="MS Gothic" w:eastAsia="MS Gothic" w:hAnsi="MS Gothic" w:cs="MS Gothic" w:hint="eastAsia"/>
          <w:spacing w:val="12"/>
          <w:lang w:eastAsia="zh-CN"/>
        </w:rPr>
        <w:t>​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昨日因美国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月零售销售数据好于预期，这得益于汽车和线上消费的回升，显示出经济基本面保持韧性，美元小幅走高。然而，由于美国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月制造业产出低于预期，同时美国国债收益率在早盘上涨后转而下跌，</w:t>
      </w:r>
      <w:proofErr w:type="gramStart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美元涨幅</w:t>
      </w:r>
      <w:proofErr w:type="gramEnd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受限。市场预计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17-18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日美联储会议上降息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个基点的可能性为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95%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。欧元区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ZEW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经济现况指数低于前值。此外，欧元区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月季调</w:t>
      </w:r>
      <w:proofErr w:type="gramStart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后贸易帐</w:t>
      </w:r>
      <w:proofErr w:type="gramEnd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顺差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61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亿欧元，为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2023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月以来最小顺差。欧元在经济和出口疲软下承压。日元在周二适度反弹，此前周一曾跌至两周半低点，引发市场猜测，日元进一步走弱可能促使日本当局进行口头干预，并施压日本央行提高利率。然而，由于市场预计日本央行将在周四会议上维持利率不变，日元的上行空间可能有限。</w:t>
      </w:r>
    </w:p>
    <w:p w:rsidR="00882A0E" w:rsidRPr="00882A0E" w:rsidRDefault="00134CBA" w:rsidP="00134CBA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34CBA">
        <w:rPr>
          <w:rFonts w:ascii="MS Gothic" w:eastAsia="MS Gothic" w:hAnsi="MS Gothic" w:cs="MS Gothic" w:hint="eastAsia"/>
          <w:spacing w:val="12"/>
          <w:lang w:eastAsia="zh-CN"/>
        </w:rPr>
        <w:t>​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展望未来，随着美国即将进入新一届政府时期，无论是美联储的政策不再像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月时那样鸽派，还是新兴市场和发达市场持续面临的挑战，美元作为避险货币的地位将得到支撑，市场预计短期内很难对抗美元的强势以及美国经济的卓越表现，美元有望继续保持坚挺。</w:t>
      </w:r>
    </w:p>
    <w:p w:rsidR="009372C5" w:rsidRPr="00C07FA3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:rsidR="009372C5" w:rsidRPr="00C07FA3" w:rsidRDefault="001757BA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lastRenderedPageBreak/>
        <w:drawing>
          <wp:inline distT="0" distB="0" distL="0" distR="0" wp14:anchorId="57D473B3" wp14:editId="3074BC7A">
            <wp:extent cx="6573520" cy="3302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882A0E" w:rsidRDefault="00882A0E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:rsidR="009372C5" w:rsidRPr="00EE7376" w:rsidRDefault="003879E8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17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proofErr w:type="gramStart"/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3879E8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0.39%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，至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6050.61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3879E8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主力合约下跌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0.4%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6052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点。美股三大股指全线收跌，道指连跌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日。经济数据方面，美国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月零售销售环比升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0.7%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，预期升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0.5%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，前值从升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0.4%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修正为升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0.5%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。消费者支出依旧强劲，支撑美元汇率走高。货币政策层面，周四凌晨，美联储将公布利率决议，市场普遍预计将降息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个基点，但投资者对会后政策声明可能呈现出鹰派态度表示担忧。整体来看，在美联储公布利率决议前，投资者态度较为谨慎，同时，对鹰派降息的担忧，也抑制市场做多情绪。策略上，建议暂时观望。</w:t>
      </w:r>
    </w:p>
    <w:p w:rsidR="009372C5" w:rsidRPr="00EE7376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3：S&amp;P500走势图</w:t>
      </w:r>
      <w:r w:rsidRPr="00EE7376">
        <w:rPr>
          <w:rFonts w:ascii="新宋体" w:eastAsia="新宋体" w:hAnsi="新宋体"/>
          <w:b/>
          <w:lang w:eastAsia="zh-CN"/>
        </w:rPr>
        <w:br w:type="textWrapping" w:clear="all"/>
      </w:r>
      <w:r w:rsidR="003879E8" w:rsidRPr="00284DF4">
        <w:rPr>
          <w:rFonts w:ascii="新宋体" w:eastAsia="新宋体" w:hAnsi="新宋体"/>
          <w:b/>
          <w:noProof/>
        </w:rPr>
        <w:drawing>
          <wp:inline distT="0" distB="0" distL="0" distR="0" wp14:anchorId="6A5D6E63" wp14:editId="1D60C6A0">
            <wp:extent cx="6045200" cy="1544320"/>
            <wp:effectExtent l="0" t="0" r="0" b="0"/>
            <wp:docPr id="15" name="图片 15" descr="C:\Users\Administrator\Documents\WeChat Files\wxid_vkxlzo0vqu7s22\FileStorage\Temp\1734482221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3448222127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55" cy="154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Pr="00EE7376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C125FF" w:rsidRDefault="00C125F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Pr="00EE7376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5D2A13" w:rsidRDefault="003879E8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17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0.69%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13422.84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期指主力合约上涨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0.74%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13412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点。海外方面，本周全球多家央行将公布利率决议，市场普遍预计美联储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将降息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个基点，但对美联储会后声明可能呈现出鹰派态度抱有担忧。国内方面，经济基本面，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月房地产市场销售及景气度有所好转；工业增长较上月加快；</w:t>
      </w:r>
      <w:proofErr w:type="gramStart"/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社零受到</w:t>
      </w:r>
      <w:proofErr w:type="gramEnd"/>
      <w:r w:rsidRPr="003879E8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月高基数和以旧换新政策效应边际递减影响大幅回落；固定资产投资保持平稳。结合此前的通胀和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数据，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月经济基本面相较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月份有进一步修复，但整体力度相对较缓。整体来看，海外美联储预计再度降息，虽然市场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年降息次数仍有分歧，但短期来看外部环境对国内市场的压制减弱。国内年底相关会议已经落地，市场短期暂时处于数据与政策空窗期，在此情况下股指预计维持震荡格局，从长期来看，政策对经济起到托底，随着明年相关政策的逐步落地，经济有望企稳回升，并推动投资者信心回暖。策略上，建议中长线回调逢低布局，谨慎追高。</w:t>
      </w:r>
    </w:p>
    <w:p w:rsidR="009372C5" w:rsidRPr="00C07FA3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4：富时中国A50走势图</w:t>
      </w:r>
    </w:p>
    <w:p w:rsidR="009372C5" w:rsidRDefault="003879E8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284DF4">
        <w:rPr>
          <w:rFonts w:ascii="新宋体" w:eastAsia="新宋体" w:hAnsi="新宋体"/>
          <w:noProof/>
        </w:rPr>
        <w:drawing>
          <wp:inline distT="0" distB="0" distL="0" distR="0" wp14:anchorId="389DAE8E" wp14:editId="143E5541">
            <wp:extent cx="6085840" cy="1625600"/>
            <wp:effectExtent l="0" t="0" r="0" b="0"/>
            <wp:docPr id="16" name="图片 16" descr="C:\Users\Administrator\Documents\WeChat Files\wxid_vkxlzo0vqu7s22\FileStorage\Temp\1734482188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3448218897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02" cy="16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BD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574708" w:rsidRDefault="00574708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br w:type="page"/>
      </w:r>
    </w:p>
    <w:p w:rsidR="009372C5" w:rsidRDefault="00115A1A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铜</w:t>
      </w:r>
    </w:p>
    <w:p w:rsidR="009372C5" w:rsidRPr="00CB2E6B" w:rsidRDefault="003879E8" w:rsidP="006B4BE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铜震荡偏弱，报收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4.148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-1.03%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。国际方面，美国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月零售销售月率录得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0.7%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，为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月以来新高，市场预期增长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0.5%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。国内方面，中美金融工作组举行第七次会议，双方就中美经济金融形势与货币政策、金融稳定与监管、国际金融治理、证券与资本市场、反洗钱与反恐怖融资，以及其他双方关心的金融政策议题进行了专业、务实、坦诚和建设性的沟通。库存方面，截至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17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272450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-175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94058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-325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29976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+5334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吨。美元美债方面，美元指数维持高位震荡，最终收涨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0.088%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106.95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。美债收益率基本持平，盘中触及一个月来的高点，</w:t>
      </w:r>
      <w:proofErr w:type="gramStart"/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4.266%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3879E8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3879E8">
        <w:rPr>
          <w:rFonts w:ascii="微软雅黑" w:eastAsia="微软雅黑" w:hAnsi="微软雅黑" w:cs="微软雅黑"/>
          <w:spacing w:val="12"/>
          <w:lang w:eastAsia="zh-CN"/>
        </w:rPr>
        <w:t>4.403%</w:t>
      </w:r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3879E8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铜主力合约轻仓震荡交易，仅供参考。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:rsidR="006B4BE7" w:rsidRDefault="003879E8">
      <w:pPr>
        <w:spacing w:before="103" w:line="256" w:lineRule="auto"/>
        <w:ind w:right="743"/>
        <w:jc w:val="both"/>
      </w:pPr>
      <w:r>
        <w:rPr>
          <w:noProof/>
        </w:rPr>
        <w:drawing>
          <wp:inline distT="0" distB="0" distL="0" distR="0" wp14:anchorId="77198DDF" wp14:editId="2A64A497">
            <wp:extent cx="6096000" cy="22148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C2B" w:rsidRDefault="00115A1A" w:rsidP="002D3C2B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:rsidR="00376CF6" w:rsidRDefault="00376CF6" w:rsidP="002D3C2B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Pr="002D3C2B" w:rsidRDefault="00115A1A" w:rsidP="002D3C2B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:rsidR="00C125FF" w:rsidRPr="00C125FF" w:rsidRDefault="00134CBA" w:rsidP="00574708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美国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月工业</w:t>
      </w:r>
      <w:proofErr w:type="gramStart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产出环</w:t>
      </w:r>
      <w:proofErr w:type="gramEnd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比降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0.1%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，预期升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前值降</w:t>
      </w:r>
      <w:proofErr w:type="gramEnd"/>
      <w:r w:rsidRPr="00134CBA">
        <w:rPr>
          <w:rFonts w:ascii="微软雅黑" w:eastAsia="微软雅黑" w:hAnsi="微软雅黑" w:cs="微软雅黑"/>
          <w:spacing w:val="12"/>
          <w:lang w:eastAsia="zh-CN"/>
        </w:rPr>
        <w:t>0.4%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；制造业</w:t>
      </w:r>
      <w:proofErr w:type="gramStart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产出环</w:t>
      </w:r>
      <w:proofErr w:type="gramEnd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比升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，预期升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0.5%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前值降</w:t>
      </w:r>
      <w:proofErr w:type="gramEnd"/>
      <w:r w:rsidRPr="00134CBA">
        <w:rPr>
          <w:rFonts w:ascii="微软雅黑" w:eastAsia="微软雅黑" w:hAnsi="微软雅黑" w:cs="微软雅黑"/>
          <w:spacing w:val="12"/>
          <w:lang w:eastAsia="zh-CN"/>
        </w:rPr>
        <w:t>0.7%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。，整体工业及制造业数据有所回升或暗示美国商品需求逐步企稳。美国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月零售销售环比升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0.7%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，预期升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0.5%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，前值从升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0.4%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修正为升</w:t>
      </w:r>
      <w:r w:rsidRPr="00134CBA">
        <w:rPr>
          <w:rFonts w:ascii="微软雅黑" w:eastAsia="微软雅黑" w:hAnsi="微软雅黑" w:cs="微软雅黑"/>
          <w:spacing w:val="12"/>
          <w:lang w:eastAsia="zh-CN"/>
        </w:rPr>
        <w:t>0.5%</w:t>
      </w:r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，整体零售数据再次上涨同样体现消费者支出有增无减。往后看，短期内美国经济数据持续走强或进一步限制未来美联储的降息空间，利率预期走高或给予美元指数及美债收益率一定支撑，贵金属价格受</w:t>
      </w:r>
      <w:proofErr w:type="gramStart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强美元</w:t>
      </w:r>
      <w:proofErr w:type="gramEnd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基调及避险情绪回落等影响或持续承压。操作上建议，日内轻</w:t>
      </w:r>
      <w:proofErr w:type="gramStart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仓试空</w:t>
      </w:r>
      <w:proofErr w:type="gramEnd"/>
      <w:r w:rsidRPr="00134CBA">
        <w:rPr>
          <w:rFonts w:ascii="微软雅黑" w:eastAsia="微软雅黑" w:hAnsi="微软雅黑" w:cs="微软雅黑" w:hint="eastAsia"/>
          <w:spacing w:val="12"/>
          <w:lang w:eastAsia="zh-CN"/>
        </w:rPr>
        <w:t>，请投资者注意风险控制</w:t>
      </w:r>
      <w:bookmarkStart w:id="0" w:name="_GoBack"/>
      <w:bookmarkEnd w:id="0"/>
    </w:p>
    <w:p w:rsidR="009372C5" w:rsidRDefault="00115A1A" w:rsidP="0039436B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6：COMEX黄金日线走势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:rsidR="009372C5" w:rsidRDefault="005D2A13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5D2A13">
        <w:rPr>
          <w:rFonts w:ascii="微软雅黑" w:eastAsia="微软雅黑" w:hAnsi="微软雅黑" w:cs="微软雅黑"/>
          <w:noProof/>
          <w:spacing w:val="12"/>
          <w:sz w:val="24"/>
          <w:szCs w:val="24"/>
          <w:lang w:eastAsia="zh-CN"/>
        </w:rPr>
        <w:lastRenderedPageBreak/>
        <w:drawing>
          <wp:inline distT="0" distB="0" distL="0" distR="0">
            <wp:extent cx="6429375" cy="3671598"/>
            <wp:effectExtent l="0" t="0" r="0" b="5080"/>
            <wp:docPr id="24" name="图片 24" descr="C:\Users\Administrator\Documents\WeChat Files\wxid_vkxlzo0vqu7s22\FileStorage\Temp\1733446995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vkxlzo0vqu7s22\FileStorage\Temp\173344699544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46" cy="367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13" w:rsidRDefault="00115A1A" w:rsidP="0092329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892B66" w:rsidRDefault="00892B6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DE289B" w:rsidRDefault="00DB2737" w:rsidP="00DB2737">
      <w:pPr>
        <w:spacing w:before="103" w:line="256" w:lineRule="auto"/>
        <w:ind w:right="743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美国能源信息署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(EIA)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公布的数据显示，截至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日当周美国商业原油库存减少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142.5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万桶至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4.22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亿桶，预期减少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90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万桶；</w:t>
      </w:r>
      <w:proofErr w:type="gramStart"/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库欣原油</w:t>
      </w:r>
      <w:proofErr w:type="gramEnd"/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库存减少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129.8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万桶至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2289.4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万桶；汽油库存增加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508.6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万桶，精炼油库存增加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323.5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万桶；美国战略石油储备（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SPR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）库存增加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72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万桶至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3.925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亿桶。美国炼厂加工总量平均每天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1665.9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万桶，比前一周减少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25.1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万桶；炼油厂开工率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92.4%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，比前一周下降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0.9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个百分点。上周美国原油进口量平均每天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598.4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万桶，比前一周减少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130.6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万桶，成品油日均进口量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154.6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桶，比前一周增长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6.7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万桶。美国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数据表现温和，美联储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月降息概率升高，欧洲央行如期降息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个基点，美元指数震荡上行；中国表示将实行适度宽松货币政策提振经济预期。欧佩克联盟部长级会议延长额外减产举措至明年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月份。以色列连续空袭叙利亚，并表示做好对伊朗核设施可能发动袭击的准备，欧美将对俄罗斯原油出口加强制裁，地缘局势有所反复。欧佩克下调全球原油需求增长预估，国际能源署预计明年供应仍较充足。整体上，欧佩克联盟推迟增产及欧美加强制裁俄罗斯支撑市场，全球经济放缓压制需求前景，短线原油期价呈现宽幅震荡。纽约商品期货交易所（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NYMEX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）的西德克萨斯中质原油（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WTI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）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proofErr w:type="gramStart"/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合约周度</w:t>
      </w:r>
      <w:proofErr w:type="gramEnd"/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支撑位：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68.7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；压力位：</w:t>
      </w:r>
      <w:r w:rsidRPr="00DB2737">
        <w:rPr>
          <w:rFonts w:ascii="微软雅黑" w:eastAsia="微软雅黑" w:hAnsi="微软雅黑" w:cs="微软雅黑"/>
          <w:spacing w:val="7"/>
          <w:lang w:eastAsia="zh-CN"/>
        </w:rPr>
        <w:t>72</w:t>
      </w:r>
      <w:r w:rsidRPr="00DB273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:rsidR="009372C5" w:rsidRDefault="00115A1A">
      <w:pPr>
        <w:spacing w:before="103" w:line="256" w:lineRule="auto"/>
        <w:ind w:right="743" w:firstLineChars="200" w:firstLine="448"/>
        <w:jc w:val="both"/>
        <w:rPr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7：原油（WTI）走势</w:t>
      </w:r>
      <w:r w:rsidRPr="0092329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:rsidR="009372C5" w:rsidRDefault="00DB2737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82E586B" wp14:editId="7502AB81">
            <wp:extent cx="6217920" cy="32308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30E" w:rsidRDefault="00115A1A" w:rsidP="0036330E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7E07D2">
        <w:rPr>
          <w:rFonts w:ascii="微软雅黑" w:eastAsia="微软雅黑" w:hAnsi="微软雅黑" w:cs="微软雅黑" w:hint="eastAsia"/>
          <w:spacing w:val="7"/>
          <w:lang w:eastAsia="zh-CN"/>
        </w:rPr>
        <w:t>Wind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:rsidR="00383E15" w:rsidRDefault="00383E15" w:rsidP="00383E15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br w:type="page"/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ICE原糖</w:t>
      </w:r>
      <w:bookmarkStart w:id="1" w:name="OLE_LINK4"/>
      <w:bookmarkStart w:id="2" w:name="OLE_LINK3"/>
    </w:p>
    <w:bookmarkEnd w:id="1"/>
    <w:bookmarkEnd w:id="2"/>
    <w:p w:rsidR="00383E15" w:rsidRDefault="004D48C6" w:rsidP="004D48C6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）原糖期货周二大幅下挫，因本币贬值和供应前景良好促使巴西生产商大举抛售。交投最活跃的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proofErr w:type="gramStart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收盘收跌</w:t>
      </w:r>
      <w:proofErr w:type="gramEnd"/>
      <w:r w:rsidRPr="004D48C6">
        <w:rPr>
          <w:rFonts w:ascii="微软雅黑" w:eastAsia="微软雅黑" w:hAnsi="微软雅黑" w:cs="微软雅黑"/>
          <w:spacing w:val="12"/>
          <w:lang w:eastAsia="zh-CN"/>
        </w:rPr>
        <w:t>0.84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4.1%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19.84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美分。据巴西蔗糖工业协会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Unica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称，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月下半月巴西中南部地区压榨甘蔗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2035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万吨，同比下滑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15.2%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；产糖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108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万吨，同比下滑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23%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；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月下半月糖厂使用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44.89%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的甘蔗比例产糖，低于去年同期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46.54%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；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24/25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榨季截至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日中南部累计压榨甘蔗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6.02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亿吨，同比下滑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2.75%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，累计产糖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3936.1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万吨，同比下滑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3.72%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。以上数据可以看出，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月下半月巴西产糖量同比降幅持续，不过双周糖产量大于预期，数据相对利空糖市。</w:t>
      </w:r>
      <w:proofErr w:type="gramStart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22.0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18.0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383E15" w:rsidRDefault="00383E15" w:rsidP="00383E15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val="zh-CN" w:eastAsia="zh-CN"/>
        </w:rPr>
        <w:t>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8：ICE原糖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383E15" w:rsidRDefault="004D48C6" w:rsidP="00383E15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167120" cy="1808480"/>
            <wp:effectExtent l="0" t="0" r="5080" b="1270"/>
            <wp:docPr id="18" name="图片 18" descr="QQ截图2024121808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 descr="QQ截图202412180805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15" w:rsidRDefault="00383E15" w:rsidP="00383E1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383E15" w:rsidRDefault="00383E15" w:rsidP="00383E15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383E15" w:rsidRDefault="00383E15" w:rsidP="00383E15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432AF"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Pr="005432A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:rsidR="00383E15" w:rsidRPr="003966F3" w:rsidRDefault="004D48C6" w:rsidP="004D48C6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棉花期货周二触及近一个月低点，受美元走强和其他商品市场人气低迷打压。交投最活跃的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期棉收跌</w:t>
      </w:r>
      <w:proofErr w:type="gramEnd"/>
      <w:r w:rsidRPr="004D48C6">
        <w:rPr>
          <w:rFonts w:ascii="微软雅黑" w:eastAsia="微软雅黑" w:hAnsi="微软雅黑" w:cs="微软雅黑"/>
          <w:spacing w:val="12"/>
          <w:lang w:eastAsia="zh-CN"/>
        </w:rPr>
        <w:t>0.37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0.54%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4D48C6">
        <w:rPr>
          <w:rFonts w:ascii="微软雅黑" w:eastAsia="微软雅黑" w:hAnsi="微软雅黑" w:cs="微软雅黑"/>
          <w:spacing w:val="12"/>
          <w:lang w:eastAsia="zh-CN"/>
        </w:rPr>
        <w:t>68.69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磅。美国农业部发布全球棉花供需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月报告，报告显示，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年度全球棉花产量预测值为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2555.9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万吨，较上年度调增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96.1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万吨。全球消费调增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31.8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万吨至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2521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万吨，全球期末库存调增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40.5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万吨至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1655.1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万吨。</w:t>
      </w:r>
      <w:r w:rsidRPr="004D48C6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4D48C6">
        <w:rPr>
          <w:rFonts w:ascii="微软雅黑" w:eastAsia="微软雅黑" w:hAnsi="微软雅黑" w:cs="微软雅黑" w:hint="eastAsia"/>
          <w:spacing w:val="12"/>
          <w:lang w:eastAsia="zh-CN"/>
        </w:rPr>
        <w:t>年度全球棉花产量、消费及期末库存预估均调增，报告相对利空棉市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:rsidR="00383E15" w:rsidRDefault="00383E15" w:rsidP="00383E15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val="zh-CN" w:eastAsia="zh-CN"/>
        </w:rPr>
        <w:t>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9：ICE棉花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383E15" w:rsidRPr="002F3AE4" w:rsidRDefault="004D48C6" w:rsidP="00383E15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238240" cy="2194560"/>
            <wp:effectExtent l="0" t="0" r="0" b="0"/>
            <wp:docPr id="17" name="图片 17" descr="QQ截图2024121808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4" descr="QQ截图202412180806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15" w:rsidRDefault="00383E15" w:rsidP="00383E1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383E15" w:rsidRPr="00383E15" w:rsidRDefault="00383E1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pStyle w:val="a3"/>
        <w:spacing w:line="371" w:lineRule="auto"/>
        <w:jc w:val="center"/>
      </w:pPr>
    </w:p>
    <w:p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4"/>
      <w:footerReference w:type="default" r:id="rId25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2F4" w:rsidRDefault="009142F4">
      <w:r>
        <w:separator/>
      </w:r>
    </w:p>
  </w:endnote>
  <w:endnote w:type="continuationSeparator" w:id="0">
    <w:p w:rsidR="009142F4" w:rsidRDefault="00914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34CBA">
                            <w:rPr>
                              <w:noProof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134CBA">
                      <w:rPr>
                        <w:noProof/>
                        <w:sz w:val="28"/>
                        <w:szCs w:val="28"/>
                      </w:rPr>
                      <w:t>10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2F4" w:rsidRDefault="009142F4">
      <w:r>
        <w:separator/>
      </w:r>
    </w:p>
  </w:footnote>
  <w:footnote w:type="continuationSeparator" w:id="0">
    <w:p w:rsidR="009142F4" w:rsidRDefault="00914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oNotDisplayPageBoundaries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59F9"/>
    <w:rsid w:val="0001628C"/>
    <w:rsid w:val="00017EDD"/>
    <w:rsid w:val="000204B8"/>
    <w:rsid w:val="00024574"/>
    <w:rsid w:val="000334A3"/>
    <w:rsid w:val="00033BB5"/>
    <w:rsid w:val="00035942"/>
    <w:rsid w:val="0003640D"/>
    <w:rsid w:val="00046CE1"/>
    <w:rsid w:val="0005072F"/>
    <w:rsid w:val="000509AC"/>
    <w:rsid w:val="00050CFF"/>
    <w:rsid w:val="00051B15"/>
    <w:rsid w:val="00054993"/>
    <w:rsid w:val="0005517D"/>
    <w:rsid w:val="00060769"/>
    <w:rsid w:val="000619C0"/>
    <w:rsid w:val="00064BC6"/>
    <w:rsid w:val="000667A6"/>
    <w:rsid w:val="00066E2D"/>
    <w:rsid w:val="000673AE"/>
    <w:rsid w:val="00070328"/>
    <w:rsid w:val="00072F2D"/>
    <w:rsid w:val="0007380E"/>
    <w:rsid w:val="00073F83"/>
    <w:rsid w:val="000767B0"/>
    <w:rsid w:val="0007723D"/>
    <w:rsid w:val="000844E7"/>
    <w:rsid w:val="00084D4F"/>
    <w:rsid w:val="000854BE"/>
    <w:rsid w:val="00086701"/>
    <w:rsid w:val="00087580"/>
    <w:rsid w:val="000876B8"/>
    <w:rsid w:val="000901B5"/>
    <w:rsid w:val="00091702"/>
    <w:rsid w:val="00094104"/>
    <w:rsid w:val="00097D7E"/>
    <w:rsid w:val="000A2EA5"/>
    <w:rsid w:val="000A43C7"/>
    <w:rsid w:val="000A785F"/>
    <w:rsid w:val="000B2865"/>
    <w:rsid w:val="000C024B"/>
    <w:rsid w:val="000C0428"/>
    <w:rsid w:val="000C448C"/>
    <w:rsid w:val="000C5FCD"/>
    <w:rsid w:val="000D2226"/>
    <w:rsid w:val="000F2E96"/>
    <w:rsid w:val="000F434E"/>
    <w:rsid w:val="001031A8"/>
    <w:rsid w:val="00104BEA"/>
    <w:rsid w:val="00106677"/>
    <w:rsid w:val="001072C6"/>
    <w:rsid w:val="00107653"/>
    <w:rsid w:val="001106DA"/>
    <w:rsid w:val="001113FA"/>
    <w:rsid w:val="001123C4"/>
    <w:rsid w:val="001136D4"/>
    <w:rsid w:val="00115A1A"/>
    <w:rsid w:val="001177BF"/>
    <w:rsid w:val="00121521"/>
    <w:rsid w:val="0012299F"/>
    <w:rsid w:val="00123C21"/>
    <w:rsid w:val="00126F9A"/>
    <w:rsid w:val="001304A2"/>
    <w:rsid w:val="001312E0"/>
    <w:rsid w:val="001344EC"/>
    <w:rsid w:val="00134CBA"/>
    <w:rsid w:val="00135663"/>
    <w:rsid w:val="00135780"/>
    <w:rsid w:val="001357C4"/>
    <w:rsid w:val="00136308"/>
    <w:rsid w:val="001431C1"/>
    <w:rsid w:val="00143C3D"/>
    <w:rsid w:val="00145998"/>
    <w:rsid w:val="00147CC0"/>
    <w:rsid w:val="00151103"/>
    <w:rsid w:val="00151392"/>
    <w:rsid w:val="00151399"/>
    <w:rsid w:val="00153957"/>
    <w:rsid w:val="00153A31"/>
    <w:rsid w:val="00154A99"/>
    <w:rsid w:val="001571D8"/>
    <w:rsid w:val="001604D9"/>
    <w:rsid w:val="00160602"/>
    <w:rsid w:val="00161170"/>
    <w:rsid w:val="00162475"/>
    <w:rsid w:val="00166ADC"/>
    <w:rsid w:val="00166D93"/>
    <w:rsid w:val="00170A77"/>
    <w:rsid w:val="00170F25"/>
    <w:rsid w:val="00174179"/>
    <w:rsid w:val="001757BA"/>
    <w:rsid w:val="0018099E"/>
    <w:rsid w:val="0018153B"/>
    <w:rsid w:val="00181D4B"/>
    <w:rsid w:val="00182628"/>
    <w:rsid w:val="00183A7D"/>
    <w:rsid w:val="00186A80"/>
    <w:rsid w:val="0019366B"/>
    <w:rsid w:val="001A270F"/>
    <w:rsid w:val="001A33CE"/>
    <w:rsid w:val="001A37B9"/>
    <w:rsid w:val="001A38E1"/>
    <w:rsid w:val="001A3FA7"/>
    <w:rsid w:val="001A4594"/>
    <w:rsid w:val="001A6891"/>
    <w:rsid w:val="001B07DA"/>
    <w:rsid w:val="001B08CC"/>
    <w:rsid w:val="001B28F2"/>
    <w:rsid w:val="001B64C1"/>
    <w:rsid w:val="001C07A0"/>
    <w:rsid w:val="001C1BA8"/>
    <w:rsid w:val="001C43DE"/>
    <w:rsid w:val="001C4D7E"/>
    <w:rsid w:val="001C5971"/>
    <w:rsid w:val="001C6BEE"/>
    <w:rsid w:val="001D1E76"/>
    <w:rsid w:val="001D33C6"/>
    <w:rsid w:val="001D3DB1"/>
    <w:rsid w:val="001D4A6A"/>
    <w:rsid w:val="001E0DE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772A"/>
    <w:rsid w:val="002112AA"/>
    <w:rsid w:val="002140F5"/>
    <w:rsid w:val="00214344"/>
    <w:rsid w:val="00216CCD"/>
    <w:rsid w:val="00216D52"/>
    <w:rsid w:val="00220006"/>
    <w:rsid w:val="00223327"/>
    <w:rsid w:val="00225E7B"/>
    <w:rsid w:val="0023048F"/>
    <w:rsid w:val="0023156A"/>
    <w:rsid w:val="00231B7B"/>
    <w:rsid w:val="00232C2F"/>
    <w:rsid w:val="0023500F"/>
    <w:rsid w:val="00236717"/>
    <w:rsid w:val="00242605"/>
    <w:rsid w:val="00243413"/>
    <w:rsid w:val="002435AC"/>
    <w:rsid w:val="00244725"/>
    <w:rsid w:val="00245B4A"/>
    <w:rsid w:val="00252E31"/>
    <w:rsid w:val="002538FF"/>
    <w:rsid w:val="002555E2"/>
    <w:rsid w:val="00257DA5"/>
    <w:rsid w:val="00257E05"/>
    <w:rsid w:val="00262C5F"/>
    <w:rsid w:val="0026300C"/>
    <w:rsid w:val="00263CA6"/>
    <w:rsid w:val="002640C5"/>
    <w:rsid w:val="00265E4D"/>
    <w:rsid w:val="00267E6D"/>
    <w:rsid w:val="002731E2"/>
    <w:rsid w:val="0027702B"/>
    <w:rsid w:val="00277450"/>
    <w:rsid w:val="0028035B"/>
    <w:rsid w:val="0029035C"/>
    <w:rsid w:val="002912FA"/>
    <w:rsid w:val="002932DF"/>
    <w:rsid w:val="002944E3"/>
    <w:rsid w:val="002A070E"/>
    <w:rsid w:val="002A118F"/>
    <w:rsid w:val="002A226B"/>
    <w:rsid w:val="002A3C64"/>
    <w:rsid w:val="002A410A"/>
    <w:rsid w:val="002A444F"/>
    <w:rsid w:val="002A5CD3"/>
    <w:rsid w:val="002C1437"/>
    <w:rsid w:val="002C3500"/>
    <w:rsid w:val="002C4D45"/>
    <w:rsid w:val="002D025F"/>
    <w:rsid w:val="002D3C2B"/>
    <w:rsid w:val="002D58E7"/>
    <w:rsid w:val="002D743C"/>
    <w:rsid w:val="002E09B8"/>
    <w:rsid w:val="002E2398"/>
    <w:rsid w:val="002E6964"/>
    <w:rsid w:val="002E7C56"/>
    <w:rsid w:val="002F37CD"/>
    <w:rsid w:val="002F3AE4"/>
    <w:rsid w:val="002F3D66"/>
    <w:rsid w:val="002F5E03"/>
    <w:rsid w:val="003008B4"/>
    <w:rsid w:val="00301C72"/>
    <w:rsid w:val="003020F8"/>
    <w:rsid w:val="00302F79"/>
    <w:rsid w:val="00303AE0"/>
    <w:rsid w:val="00306B08"/>
    <w:rsid w:val="00307252"/>
    <w:rsid w:val="003101C5"/>
    <w:rsid w:val="00314805"/>
    <w:rsid w:val="0031740A"/>
    <w:rsid w:val="00322591"/>
    <w:rsid w:val="00330895"/>
    <w:rsid w:val="0033158E"/>
    <w:rsid w:val="00333BD2"/>
    <w:rsid w:val="00345B22"/>
    <w:rsid w:val="003476C9"/>
    <w:rsid w:val="00347E74"/>
    <w:rsid w:val="0035249F"/>
    <w:rsid w:val="003541E5"/>
    <w:rsid w:val="00354223"/>
    <w:rsid w:val="003574A5"/>
    <w:rsid w:val="00357C26"/>
    <w:rsid w:val="0036147E"/>
    <w:rsid w:val="0036330E"/>
    <w:rsid w:val="00364B5D"/>
    <w:rsid w:val="00367A97"/>
    <w:rsid w:val="00367E46"/>
    <w:rsid w:val="003711C6"/>
    <w:rsid w:val="00376CF6"/>
    <w:rsid w:val="00380D4C"/>
    <w:rsid w:val="003812E8"/>
    <w:rsid w:val="00382260"/>
    <w:rsid w:val="00382ABC"/>
    <w:rsid w:val="00383E15"/>
    <w:rsid w:val="0038561C"/>
    <w:rsid w:val="0038605D"/>
    <w:rsid w:val="003879E8"/>
    <w:rsid w:val="00387E18"/>
    <w:rsid w:val="00387F1E"/>
    <w:rsid w:val="00390E0E"/>
    <w:rsid w:val="0039196A"/>
    <w:rsid w:val="0039436B"/>
    <w:rsid w:val="00394C16"/>
    <w:rsid w:val="003960C5"/>
    <w:rsid w:val="003966F3"/>
    <w:rsid w:val="00397C7F"/>
    <w:rsid w:val="00397F61"/>
    <w:rsid w:val="003A0146"/>
    <w:rsid w:val="003A2867"/>
    <w:rsid w:val="003A32F7"/>
    <w:rsid w:val="003A7EC7"/>
    <w:rsid w:val="003A7FFD"/>
    <w:rsid w:val="003B0E76"/>
    <w:rsid w:val="003C2FFD"/>
    <w:rsid w:val="003C3D25"/>
    <w:rsid w:val="003C4F4F"/>
    <w:rsid w:val="003C56B9"/>
    <w:rsid w:val="003D0C08"/>
    <w:rsid w:val="003D2051"/>
    <w:rsid w:val="003D21ED"/>
    <w:rsid w:val="003D4B4A"/>
    <w:rsid w:val="003D543B"/>
    <w:rsid w:val="003E08AD"/>
    <w:rsid w:val="003E1480"/>
    <w:rsid w:val="003E3292"/>
    <w:rsid w:val="003E36F9"/>
    <w:rsid w:val="003F0F5C"/>
    <w:rsid w:val="003F1B2F"/>
    <w:rsid w:val="003F2FC7"/>
    <w:rsid w:val="003F34C7"/>
    <w:rsid w:val="003F584B"/>
    <w:rsid w:val="003F7560"/>
    <w:rsid w:val="00400A1E"/>
    <w:rsid w:val="00404E57"/>
    <w:rsid w:val="00404EFC"/>
    <w:rsid w:val="0040662E"/>
    <w:rsid w:val="0041303C"/>
    <w:rsid w:val="004135DD"/>
    <w:rsid w:val="00413BB1"/>
    <w:rsid w:val="00413CAD"/>
    <w:rsid w:val="004165E1"/>
    <w:rsid w:val="004179BA"/>
    <w:rsid w:val="0042016F"/>
    <w:rsid w:val="00421423"/>
    <w:rsid w:val="00421C61"/>
    <w:rsid w:val="00423BF0"/>
    <w:rsid w:val="004240B3"/>
    <w:rsid w:val="004302E0"/>
    <w:rsid w:val="00430790"/>
    <w:rsid w:val="00431D98"/>
    <w:rsid w:val="0043483D"/>
    <w:rsid w:val="00434DFC"/>
    <w:rsid w:val="0044022E"/>
    <w:rsid w:val="00440543"/>
    <w:rsid w:val="0044318F"/>
    <w:rsid w:val="0044483C"/>
    <w:rsid w:val="00445FE3"/>
    <w:rsid w:val="0045019C"/>
    <w:rsid w:val="00457120"/>
    <w:rsid w:val="004633AA"/>
    <w:rsid w:val="00463708"/>
    <w:rsid w:val="00465155"/>
    <w:rsid w:val="00465848"/>
    <w:rsid w:val="004702E6"/>
    <w:rsid w:val="00470BA8"/>
    <w:rsid w:val="0047361A"/>
    <w:rsid w:val="004736D4"/>
    <w:rsid w:val="00474BF2"/>
    <w:rsid w:val="00475C38"/>
    <w:rsid w:val="00476EEA"/>
    <w:rsid w:val="004800A9"/>
    <w:rsid w:val="004830E1"/>
    <w:rsid w:val="00484C55"/>
    <w:rsid w:val="0048502E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1416"/>
    <w:rsid w:val="004B1974"/>
    <w:rsid w:val="004B236D"/>
    <w:rsid w:val="004B68EE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72AF"/>
    <w:rsid w:val="004D7761"/>
    <w:rsid w:val="004E0863"/>
    <w:rsid w:val="004E2B5C"/>
    <w:rsid w:val="004E3ED0"/>
    <w:rsid w:val="004E3F95"/>
    <w:rsid w:val="004E4B78"/>
    <w:rsid w:val="004E69F8"/>
    <w:rsid w:val="004F0E48"/>
    <w:rsid w:val="004F11FA"/>
    <w:rsid w:val="004F3F05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272B5"/>
    <w:rsid w:val="005334EE"/>
    <w:rsid w:val="005340E9"/>
    <w:rsid w:val="00534524"/>
    <w:rsid w:val="00534F09"/>
    <w:rsid w:val="00536675"/>
    <w:rsid w:val="00536FAC"/>
    <w:rsid w:val="00537254"/>
    <w:rsid w:val="00537B5B"/>
    <w:rsid w:val="0054186C"/>
    <w:rsid w:val="005432AF"/>
    <w:rsid w:val="005459F9"/>
    <w:rsid w:val="00547495"/>
    <w:rsid w:val="00551B08"/>
    <w:rsid w:val="0055304C"/>
    <w:rsid w:val="005561AE"/>
    <w:rsid w:val="0057124A"/>
    <w:rsid w:val="00574708"/>
    <w:rsid w:val="00575A07"/>
    <w:rsid w:val="00575B83"/>
    <w:rsid w:val="00576331"/>
    <w:rsid w:val="00576E52"/>
    <w:rsid w:val="00583B82"/>
    <w:rsid w:val="0059047A"/>
    <w:rsid w:val="00593490"/>
    <w:rsid w:val="00594946"/>
    <w:rsid w:val="00595DB3"/>
    <w:rsid w:val="00595EF2"/>
    <w:rsid w:val="00596CB5"/>
    <w:rsid w:val="00597406"/>
    <w:rsid w:val="005A34DB"/>
    <w:rsid w:val="005A6DDA"/>
    <w:rsid w:val="005A76DF"/>
    <w:rsid w:val="005B1F3A"/>
    <w:rsid w:val="005B30E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5C2D"/>
    <w:rsid w:val="005D5DCE"/>
    <w:rsid w:val="005D61F5"/>
    <w:rsid w:val="005E12E7"/>
    <w:rsid w:val="005E2060"/>
    <w:rsid w:val="005E38C6"/>
    <w:rsid w:val="005E5F4F"/>
    <w:rsid w:val="005F1EB2"/>
    <w:rsid w:val="005F4937"/>
    <w:rsid w:val="005F4A09"/>
    <w:rsid w:val="005F7926"/>
    <w:rsid w:val="005F7A56"/>
    <w:rsid w:val="005F7D1A"/>
    <w:rsid w:val="00605112"/>
    <w:rsid w:val="00605270"/>
    <w:rsid w:val="00606A48"/>
    <w:rsid w:val="00610DBF"/>
    <w:rsid w:val="00611654"/>
    <w:rsid w:val="00613E55"/>
    <w:rsid w:val="006173ED"/>
    <w:rsid w:val="00617C6E"/>
    <w:rsid w:val="00622044"/>
    <w:rsid w:val="0062240E"/>
    <w:rsid w:val="00623640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8E2"/>
    <w:rsid w:val="0064243E"/>
    <w:rsid w:val="00644AEE"/>
    <w:rsid w:val="00646C5A"/>
    <w:rsid w:val="0065002F"/>
    <w:rsid w:val="006536EA"/>
    <w:rsid w:val="00653C3C"/>
    <w:rsid w:val="00655BBF"/>
    <w:rsid w:val="00657D46"/>
    <w:rsid w:val="00660E1C"/>
    <w:rsid w:val="00660EB1"/>
    <w:rsid w:val="00661EA6"/>
    <w:rsid w:val="00662AE9"/>
    <w:rsid w:val="00664DC3"/>
    <w:rsid w:val="00666346"/>
    <w:rsid w:val="00666A9D"/>
    <w:rsid w:val="006712DC"/>
    <w:rsid w:val="00673C7F"/>
    <w:rsid w:val="00674F4D"/>
    <w:rsid w:val="0067592E"/>
    <w:rsid w:val="00676450"/>
    <w:rsid w:val="00677E3D"/>
    <w:rsid w:val="006811FA"/>
    <w:rsid w:val="00681D1A"/>
    <w:rsid w:val="006837BD"/>
    <w:rsid w:val="006856AB"/>
    <w:rsid w:val="00690127"/>
    <w:rsid w:val="00692D05"/>
    <w:rsid w:val="0069322E"/>
    <w:rsid w:val="00693BCA"/>
    <w:rsid w:val="006949BB"/>
    <w:rsid w:val="00695F0D"/>
    <w:rsid w:val="00696196"/>
    <w:rsid w:val="006968FA"/>
    <w:rsid w:val="00696F64"/>
    <w:rsid w:val="006A2397"/>
    <w:rsid w:val="006A40E9"/>
    <w:rsid w:val="006B2C1F"/>
    <w:rsid w:val="006B4BE7"/>
    <w:rsid w:val="006B5572"/>
    <w:rsid w:val="006B57A3"/>
    <w:rsid w:val="006B7586"/>
    <w:rsid w:val="006C1996"/>
    <w:rsid w:val="006C206E"/>
    <w:rsid w:val="006C281B"/>
    <w:rsid w:val="006C38CB"/>
    <w:rsid w:val="006C44DC"/>
    <w:rsid w:val="006C547F"/>
    <w:rsid w:val="006C5C56"/>
    <w:rsid w:val="006C7005"/>
    <w:rsid w:val="006C7C76"/>
    <w:rsid w:val="006D1F97"/>
    <w:rsid w:val="006D29D1"/>
    <w:rsid w:val="006D540B"/>
    <w:rsid w:val="006D5E26"/>
    <w:rsid w:val="006D7D9B"/>
    <w:rsid w:val="006E0D24"/>
    <w:rsid w:val="006E5991"/>
    <w:rsid w:val="006F1AC1"/>
    <w:rsid w:val="006F36C2"/>
    <w:rsid w:val="006F6899"/>
    <w:rsid w:val="006F7417"/>
    <w:rsid w:val="00701E59"/>
    <w:rsid w:val="00702C52"/>
    <w:rsid w:val="00706D67"/>
    <w:rsid w:val="0070723F"/>
    <w:rsid w:val="0071117C"/>
    <w:rsid w:val="00712E51"/>
    <w:rsid w:val="00714A9B"/>
    <w:rsid w:val="007163AA"/>
    <w:rsid w:val="007174BA"/>
    <w:rsid w:val="0072039A"/>
    <w:rsid w:val="00723697"/>
    <w:rsid w:val="007237B9"/>
    <w:rsid w:val="00725B26"/>
    <w:rsid w:val="00726161"/>
    <w:rsid w:val="00727595"/>
    <w:rsid w:val="007317D2"/>
    <w:rsid w:val="007344DF"/>
    <w:rsid w:val="00735F21"/>
    <w:rsid w:val="007444C0"/>
    <w:rsid w:val="007469FD"/>
    <w:rsid w:val="00752CA2"/>
    <w:rsid w:val="00752F35"/>
    <w:rsid w:val="00753237"/>
    <w:rsid w:val="007532B5"/>
    <w:rsid w:val="007563E6"/>
    <w:rsid w:val="00760A58"/>
    <w:rsid w:val="00761B29"/>
    <w:rsid w:val="00765484"/>
    <w:rsid w:val="00767046"/>
    <w:rsid w:val="00767196"/>
    <w:rsid w:val="007706FF"/>
    <w:rsid w:val="007717E4"/>
    <w:rsid w:val="0077449D"/>
    <w:rsid w:val="00774769"/>
    <w:rsid w:val="00776B33"/>
    <w:rsid w:val="00776CBE"/>
    <w:rsid w:val="00777A80"/>
    <w:rsid w:val="007843B5"/>
    <w:rsid w:val="007848B4"/>
    <w:rsid w:val="00784B10"/>
    <w:rsid w:val="00796EE5"/>
    <w:rsid w:val="007A612E"/>
    <w:rsid w:val="007A70F5"/>
    <w:rsid w:val="007A7159"/>
    <w:rsid w:val="007A768E"/>
    <w:rsid w:val="007B4B50"/>
    <w:rsid w:val="007C1292"/>
    <w:rsid w:val="007C1951"/>
    <w:rsid w:val="007C1E13"/>
    <w:rsid w:val="007C30C1"/>
    <w:rsid w:val="007C6841"/>
    <w:rsid w:val="007D360D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F08A9"/>
    <w:rsid w:val="007F17B0"/>
    <w:rsid w:val="007F283F"/>
    <w:rsid w:val="007F3EAB"/>
    <w:rsid w:val="007F6813"/>
    <w:rsid w:val="00800C12"/>
    <w:rsid w:val="00803093"/>
    <w:rsid w:val="00805D32"/>
    <w:rsid w:val="00807BA2"/>
    <w:rsid w:val="00810407"/>
    <w:rsid w:val="00812277"/>
    <w:rsid w:val="00813E5C"/>
    <w:rsid w:val="00816288"/>
    <w:rsid w:val="0081686E"/>
    <w:rsid w:val="00822E53"/>
    <w:rsid w:val="00823A4C"/>
    <w:rsid w:val="0082432D"/>
    <w:rsid w:val="0083030D"/>
    <w:rsid w:val="00845F7E"/>
    <w:rsid w:val="00846EF5"/>
    <w:rsid w:val="008473AF"/>
    <w:rsid w:val="00853615"/>
    <w:rsid w:val="00853C1D"/>
    <w:rsid w:val="008577CC"/>
    <w:rsid w:val="00863DC4"/>
    <w:rsid w:val="008649CC"/>
    <w:rsid w:val="00864EDB"/>
    <w:rsid w:val="00865A5F"/>
    <w:rsid w:val="0086670B"/>
    <w:rsid w:val="00866E7E"/>
    <w:rsid w:val="00867981"/>
    <w:rsid w:val="00870367"/>
    <w:rsid w:val="008708FE"/>
    <w:rsid w:val="008709D6"/>
    <w:rsid w:val="00872822"/>
    <w:rsid w:val="00873366"/>
    <w:rsid w:val="00873A8D"/>
    <w:rsid w:val="00876F9C"/>
    <w:rsid w:val="00880700"/>
    <w:rsid w:val="008813CF"/>
    <w:rsid w:val="0088229B"/>
    <w:rsid w:val="00882A0E"/>
    <w:rsid w:val="00885469"/>
    <w:rsid w:val="00885973"/>
    <w:rsid w:val="008861B7"/>
    <w:rsid w:val="00892B66"/>
    <w:rsid w:val="008935E1"/>
    <w:rsid w:val="008977D3"/>
    <w:rsid w:val="008A22F1"/>
    <w:rsid w:val="008A424A"/>
    <w:rsid w:val="008A5714"/>
    <w:rsid w:val="008A5987"/>
    <w:rsid w:val="008A6764"/>
    <w:rsid w:val="008A7F78"/>
    <w:rsid w:val="008B021F"/>
    <w:rsid w:val="008B0939"/>
    <w:rsid w:val="008B2641"/>
    <w:rsid w:val="008B5687"/>
    <w:rsid w:val="008B6408"/>
    <w:rsid w:val="008C13AB"/>
    <w:rsid w:val="008C1B74"/>
    <w:rsid w:val="008C4540"/>
    <w:rsid w:val="008C6A18"/>
    <w:rsid w:val="008D07D2"/>
    <w:rsid w:val="008D145E"/>
    <w:rsid w:val="008D2C31"/>
    <w:rsid w:val="008D435F"/>
    <w:rsid w:val="008D4A14"/>
    <w:rsid w:val="008D5C6C"/>
    <w:rsid w:val="008D778A"/>
    <w:rsid w:val="008E118F"/>
    <w:rsid w:val="008F35C2"/>
    <w:rsid w:val="008F419C"/>
    <w:rsid w:val="008F6863"/>
    <w:rsid w:val="00901D0A"/>
    <w:rsid w:val="00905AC1"/>
    <w:rsid w:val="00906472"/>
    <w:rsid w:val="00907E85"/>
    <w:rsid w:val="00911495"/>
    <w:rsid w:val="009142F4"/>
    <w:rsid w:val="0091608D"/>
    <w:rsid w:val="00920750"/>
    <w:rsid w:val="00921A6B"/>
    <w:rsid w:val="00923293"/>
    <w:rsid w:val="00923D06"/>
    <w:rsid w:val="00924630"/>
    <w:rsid w:val="009246BA"/>
    <w:rsid w:val="00925023"/>
    <w:rsid w:val="00925BA7"/>
    <w:rsid w:val="0092679A"/>
    <w:rsid w:val="009267BD"/>
    <w:rsid w:val="0093187B"/>
    <w:rsid w:val="0093636F"/>
    <w:rsid w:val="009372C5"/>
    <w:rsid w:val="00937E8B"/>
    <w:rsid w:val="009407A7"/>
    <w:rsid w:val="00940B7C"/>
    <w:rsid w:val="00942C9E"/>
    <w:rsid w:val="0094313F"/>
    <w:rsid w:val="00946893"/>
    <w:rsid w:val="00947F92"/>
    <w:rsid w:val="0095135A"/>
    <w:rsid w:val="00952675"/>
    <w:rsid w:val="00953355"/>
    <w:rsid w:val="0096079E"/>
    <w:rsid w:val="009616B7"/>
    <w:rsid w:val="00964466"/>
    <w:rsid w:val="00965F4E"/>
    <w:rsid w:val="00967212"/>
    <w:rsid w:val="0097197E"/>
    <w:rsid w:val="00971BDB"/>
    <w:rsid w:val="009737E1"/>
    <w:rsid w:val="009743DF"/>
    <w:rsid w:val="00975D1A"/>
    <w:rsid w:val="009770C6"/>
    <w:rsid w:val="00980114"/>
    <w:rsid w:val="00980F12"/>
    <w:rsid w:val="00984CAE"/>
    <w:rsid w:val="00984E4F"/>
    <w:rsid w:val="00985AA2"/>
    <w:rsid w:val="00991880"/>
    <w:rsid w:val="00992791"/>
    <w:rsid w:val="00992C26"/>
    <w:rsid w:val="00994508"/>
    <w:rsid w:val="00994FB7"/>
    <w:rsid w:val="00996C14"/>
    <w:rsid w:val="00996DB6"/>
    <w:rsid w:val="00996E2D"/>
    <w:rsid w:val="0099782C"/>
    <w:rsid w:val="009A09DF"/>
    <w:rsid w:val="009A17C9"/>
    <w:rsid w:val="009A2005"/>
    <w:rsid w:val="009A4AC4"/>
    <w:rsid w:val="009A6ABA"/>
    <w:rsid w:val="009A6FD4"/>
    <w:rsid w:val="009A7CE8"/>
    <w:rsid w:val="009B08F6"/>
    <w:rsid w:val="009B354F"/>
    <w:rsid w:val="009B4EAC"/>
    <w:rsid w:val="009C04AB"/>
    <w:rsid w:val="009C1622"/>
    <w:rsid w:val="009C2134"/>
    <w:rsid w:val="009C29CF"/>
    <w:rsid w:val="009C3A26"/>
    <w:rsid w:val="009C54B7"/>
    <w:rsid w:val="009C730E"/>
    <w:rsid w:val="009D033E"/>
    <w:rsid w:val="009D11CA"/>
    <w:rsid w:val="009D1E0F"/>
    <w:rsid w:val="009D2143"/>
    <w:rsid w:val="009D2751"/>
    <w:rsid w:val="009D5C5D"/>
    <w:rsid w:val="009D7E08"/>
    <w:rsid w:val="009E11E4"/>
    <w:rsid w:val="009E1A4B"/>
    <w:rsid w:val="009E1B25"/>
    <w:rsid w:val="009E22BC"/>
    <w:rsid w:val="009E2BDD"/>
    <w:rsid w:val="009E35DC"/>
    <w:rsid w:val="009E549E"/>
    <w:rsid w:val="009E77F1"/>
    <w:rsid w:val="009E7AF6"/>
    <w:rsid w:val="009F01CD"/>
    <w:rsid w:val="009F2B4A"/>
    <w:rsid w:val="009F3905"/>
    <w:rsid w:val="009F5BE1"/>
    <w:rsid w:val="009F64F4"/>
    <w:rsid w:val="00A006BA"/>
    <w:rsid w:val="00A03585"/>
    <w:rsid w:val="00A03F1D"/>
    <w:rsid w:val="00A065C3"/>
    <w:rsid w:val="00A11E1B"/>
    <w:rsid w:val="00A165BA"/>
    <w:rsid w:val="00A16D5D"/>
    <w:rsid w:val="00A17B09"/>
    <w:rsid w:val="00A22B03"/>
    <w:rsid w:val="00A23E6E"/>
    <w:rsid w:val="00A25AF9"/>
    <w:rsid w:val="00A2617C"/>
    <w:rsid w:val="00A2655E"/>
    <w:rsid w:val="00A26778"/>
    <w:rsid w:val="00A30A89"/>
    <w:rsid w:val="00A32737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4D88"/>
    <w:rsid w:val="00A4621D"/>
    <w:rsid w:val="00A4741C"/>
    <w:rsid w:val="00A4791F"/>
    <w:rsid w:val="00A50521"/>
    <w:rsid w:val="00A53676"/>
    <w:rsid w:val="00A56867"/>
    <w:rsid w:val="00A569F4"/>
    <w:rsid w:val="00A625C1"/>
    <w:rsid w:val="00A6283C"/>
    <w:rsid w:val="00A63882"/>
    <w:rsid w:val="00A66AD4"/>
    <w:rsid w:val="00A67FA5"/>
    <w:rsid w:val="00A712BC"/>
    <w:rsid w:val="00A75923"/>
    <w:rsid w:val="00A76B56"/>
    <w:rsid w:val="00A76C2D"/>
    <w:rsid w:val="00A81EB1"/>
    <w:rsid w:val="00A82150"/>
    <w:rsid w:val="00A85056"/>
    <w:rsid w:val="00A86B50"/>
    <w:rsid w:val="00A93902"/>
    <w:rsid w:val="00A94558"/>
    <w:rsid w:val="00A96D73"/>
    <w:rsid w:val="00AA03D7"/>
    <w:rsid w:val="00AA211E"/>
    <w:rsid w:val="00AA26D9"/>
    <w:rsid w:val="00AA2EF2"/>
    <w:rsid w:val="00AB3CF5"/>
    <w:rsid w:val="00AB5CA6"/>
    <w:rsid w:val="00AB6B3D"/>
    <w:rsid w:val="00AC579C"/>
    <w:rsid w:val="00AD128D"/>
    <w:rsid w:val="00AD4207"/>
    <w:rsid w:val="00AD4446"/>
    <w:rsid w:val="00AD650B"/>
    <w:rsid w:val="00AD7B15"/>
    <w:rsid w:val="00AE061F"/>
    <w:rsid w:val="00AE11F4"/>
    <w:rsid w:val="00AE127B"/>
    <w:rsid w:val="00AE1886"/>
    <w:rsid w:val="00AE2365"/>
    <w:rsid w:val="00AE4E06"/>
    <w:rsid w:val="00AE56E0"/>
    <w:rsid w:val="00AE6648"/>
    <w:rsid w:val="00AF2CE4"/>
    <w:rsid w:val="00AF2D72"/>
    <w:rsid w:val="00AF335B"/>
    <w:rsid w:val="00AF39A3"/>
    <w:rsid w:val="00AF483B"/>
    <w:rsid w:val="00AF5817"/>
    <w:rsid w:val="00B025B9"/>
    <w:rsid w:val="00B033FC"/>
    <w:rsid w:val="00B038AC"/>
    <w:rsid w:val="00B042A9"/>
    <w:rsid w:val="00B04384"/>
    <w:rsid w:val="00B05B0D"/>
    <w:rsid w:val="00B11817"/>
    <w:rsid w:val="00B1212E"/>
    <w:rsid w:val="00B1238C"/>
    <w:rsid w:val="00B13C07"/>
    <w:rsid w:val="00B154FA"/>
    <w:rsid w:val="00B1563E"/>
    <w:rsid w:val="00B264DC"/>
    <w:rsid w:val="00B30EA5"/>
    <w:rsid w:val="00B33953"/>
    <w:rsid w:val="00B40FE9"/>
    <w:rsid w:val="00B43C4B"/>
    <w:rsid w:val="00B46791"/>
    <w:rsid w:val="00B4699D"/>
    <w:rsid w:val="00B54085"/>
    <w:rsid w:val="00B54643"/>
    <w:rsid w:val="00B56CF5"/>
    <w:rsid w:val="00B60A6D"/>
    <w:rsid w:val="00B621A7"/>
    <w:rsid w:val="00B6439F"/>
    <w:rsid w:val="00B64755"/>
    <w:rsid w:val="00B67AFE"/>
    <w:rsid w:val="00B742BD"/>
    <w:rsid w:val="00B75125"/>
    <w:rsid w:val="00B81E5A"/>
    <w:rsid w:val="00B82C1C"/>
    <w:rsid w:val="00B84211"/>
    <w:rsid w:val="00B8630D"/>
    <w:rsid w:val="00B91BEA"/>
    <w:rsid w:val="00B9377A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B1618"/>
    <w:rsid w:val="00BB6C34"/>
    <w:rsid w:val="00BB7A4D"/>
    <w:rsid w:val="00BB7A6E"/>
    <w:rsid w:val="00BC0F7B"/>
    <w:rsid w:val="00BC411C"/>
    <w:rsid w:val="00BC5393"/>
    <w:rsid w:val="00BC57CD"/>
    <w:rsid w:val="00BC6DF7"/>
    <w:rsid w:val="00BC7997"/>
    <w:rsid w:val="00BD368B"/>
    <w:rsid w:val="00BD501D"/>
    <w:rsid w:val="00BD55A4"/>
    <w:rsid w:val="00BD5B2D"/>
    <w:rsid w:val="00BD70AA"/>
    <w:rsid w:val="00BD7846"/>
    <w:rsid w:val="00BE00DA"/>
    <w:rsid w:val="00BE1DE2"/>
    <w:rsid w:val="00BE3B20"/>
    <w:rsid w:val="00BE48CA"/>
    <w:rsid w:val="00BE52E6"/>
    <w:rsid w:val="00BF061C"/>
    <w:rsid w:val="00BF2504"/>
    <w:rsid w:val="00BF63F8"/>
    <w:rsid w:val="00BF6C5D"/>
    <w:rsid w:val="00C03B35"/>
    <w:rsid w:val="00C0669C"/>
    <w:rsid w:val="00C06C5C"/>
    <w:rsid w:val="00C07FA3"/>
    <w:rsid w:val="00C1018F"/>
    <w:rsid w:val="00C11A04"/>
    <w:rsid w:val="00C125FF"/>
    <w:rsid w:val="00C1693C"/>
    <w:rsid w:val="00C169A2"/>
    <w:rsid w:val="00C177F8"/>
    <w:rsid w:val="00C20AED"/>
    <w:rsid w:val="00C27AED"/>
    <w:rsid w:val="00C30738"/>
    <w:rsid w:val="00C41F77"/>
    <w:rsid w:val="00C43524"/>
    <w:rsid w:val="00C47281"/>
    <w:rsid w:val="00C47A0B"/>
    <w:rsid w:val="00C5222E"/>
    <w:rsid w:val="00C525C7"/>
    <w:rsid w:val="00C54666"/>
    <w:rsid w:val="00C553E1"/>
    <w:rsid w:val="00C55668"/>
    <w:rsid w:val="00C60596"/>
    <w:rsid w:val="00C605A3"/>
    <w:rsid w:val="00C6105A"/>
    <w:rsid w:val="00C64733"/>
    <w:rsid w:val="00C7013A"/>
    <w:rsid w:val="00C73CFC"/>
    <w:rsid w:val="00C7534F"/>
    <w:rsid w:val="00C7561D"/>
    <w:rsid w:val="00C77452"/>
    <w:rsid w:val="00C8020A"/>
    <w:rsid w:val="00C8215B"/>
    <w:rsid w:val="00C86014"/>
    <w:rsid w:val="00C909B6"/>
    <w:rsid w:val="00C9438D"/>
    <w:rsid w:val="00C96482"/>
    <w:rsid w:val="00CA09F2"/>
    <w:rsid w:val="00CA0E28"/>
    <w:rsid w:val="00CA14E8"/>
    <w:rsid w:val="00CA27DD"/>
    <w:rsid w:val="00CA2E8D"/>
    <w:rsid w:val="00CA2F92"/>
    <w:rsid w:val="00CA491A"/>
    <w:rsid w:val="00CA6717"/>
    <w:rsid w:val="00CA6EA5"/>
    <w:rsid w:val="00CA7281"/>
    <w:rsid w:val="00CA7EEA"/>
    <w:rsid w:val="00CB0281"/>
    <w:rsid w:val="00CB0D7B"/>
    <w:rsid w:val="00CB2E6B"/>
    <w:rsid w:val="00CB4ED8"/>
    <w:rsid w:val="00CB64F0"/>
    <w:rsid w:val="00CB65C9"/>
    <w:rsid w:val="00CC0392"/>
    <w:rsid w:val="00CC1FE0"/>
    <w:rsid w:val="00CC212E"/>
    <w:rsid w:val="00CC4FBA"/>
    <w:rsid w:val="00CD04AA"/>
    <w:rsid w:val="00CD3F2A"/>
    <w:rsid w:val="00CD460D"/>
    <w:rsid w:val="00CE0260"/>
    <w:rsid w:val="00CE2544"/>
    <w:rsid w:val="00CE31FD"/>
    <w:rsid w:val="00CE3826"/>
    <w:rsid w:val="00CE6532"/>
    <w:rsid w:val="00CE72AE"/>
    <w:rsid w:val="00CE768D"/>
    <w:rsid w:val="00CF0201"/>
    <w:rsid w:val="00CF130F"/>
    <w:rsid w:val="00CF2A06"/>
    <w:rsid w:val="00CF3FEB"/>
    <w:rsid w:val="00CF496D"/>
    <w:rsid w:val="00CF7EB3"/>
    <w:rsid w:val="00D01818"/>
    <w:rsid w:val="00D04FED"/>
    <w:rsid w:val="00D05119"/>
    <w:rsid w:val="00D06485"/>
    <w:rsid w:val="00D06B0E"/>
    <w:rsid w:val="00D07DA0"/>
    <w:rsid w:val="00D1050A"/>
    <w:rsid w:val="00D10BC5"/>
    <w:rsid w:val="00D110BB"/>
    <w:rsid w:val="00D118F9"/>
    <w:rsid w:val="00D13501"/>
    <w:rsid w:val="00D14CB7"/>
    <w:rsid w:val="00D151CD"/>
    <w:rsid w:val="00D1585D"/>
    <w:rsid w:val="00D17C79"/>
    <w:rsid w:val="00D202F1"/>
    <w:rsid w:val="00D20FBF"/>
    <w:rsid w:val="00D2107B"/>
    <w:rsid w:val="00D250A2"/>
    <w:rsid w:val="00D2577B"/>
    <w:rsid w:val="00D260A5"/>
    <w:rsid w:val="00D26C7A"/>
    <w:rsid w:val="00D27AA3"/>
    <w:rsid w:val="00D27E91"/>
    <w:rsid w:val="00D316DC"/>
    <w:rsid w:val="00D348C5"/>
    <w:rsid w:val="00D34EFB"/>
    <w:rsid w:val="00D40967"/>
    <w:rsid w:val="00D40F27"/>
    <w:rsid w:val="00D41DC2"/>
    <w:rsid w:val="00D42157"/>
    <w:rsid w:val="00D42F82"/>
    <w:rsid w:val="00D47264"/>
    <w:rsid w:val="00D519DA"/>
    <w:rsid w:val="00D52744"/>
    <w:rsid w:val="00D53F74"/>
    <w:rsid w:val="00D56D30"/>
    <w:rsid w:val="00D60B99"/>
    <w:rsid w:val="00D60C93"/>
    <w:rsid w:val="00D62D59"/>
    <w:rsid w:val="00D62F84"/>
    <w:rsid w:val="00D64D2D"/>
    <w:rsid w:val="00D7385F"/>
    <w:rsid w:val="00D74171"/>
    <w:rsid w:val="00D755EA"/>
    <w:rsid w:val="00D756EC"/>
    <w:rsid w:val="00D77F2C"/>
    <w:rsid w:val="00D8106E"/>
    <w:rsid w:val="00D818FC"/>
    <w:rsid w:val="00D81F46"/>
    <w:rsid w:val="00D81F81"/>
    <w:rsid w:val="00D85FBA"/>
    <w:rsid w:val="00D87184"/>
    <w:rsid w:val="00D87402"/>
    <w:rsid w:val="00D90EA7"/>
    <w:rsid w:val="00D932FC"/>
    <w:rsid w:val="00D94C3C"/>
    <w:rsid w:val="00D962FD"/>
    <w:rsid w:val="00D963D1"/>
    <w:rsid w:val="00D96EBE"/>
    <w:rsid w:val="00D979B0"/>
    <w:rsid w:val="00DA500C"/>
    <w:rsid w:val="00DA5348"/>
    <w:rsid w:val="00DB08A6"/>
    <w:rsid w:val="00DB2737"/>
    <w:rsid w:val="00DB4EBB"/>
    <w:rsid w:val="00DB753E"/>
    <w:rsid w:val="00DC0CCB"/>
    <w:rsid w:val="00DC19CB"/>
    <w:rsid w:val="00DC2E0F"/>
    <w:rsid w:val="00DC3ABD"/>
    <w:rsid w:val="00DC3FA3"/>
    <w:rsid w:val="00DC475D"/>
    <w:rsid w:val="00DC623C"/>
    <w:rsid w:val="00DD1B1B"/>
    <w:rsid w:val="00DD4459"/>
    <w:rsid w:val="00DE0695"/>
    <w:rsid w:val="00DE289B"/>
    <w:rsid w:val="00DE3670"/>
    <w:rsid w:val="00DE576D"/>
    <w:rsid w:val="00DE665D"/>
    <w:rsid w:val="00DE74E3"/>
    <w:rsid w:val="00DE7518"/>
    <w:rsid w:val="00DF144E"/>
    <w:rsid w:val="00DF1F4E"/>
    <w:rsid w:val="00DF32D8"/>
    <w:rsid w:val="00DF44E8"/>
    <w:rsid w:val="00DF50AC"/>
    <w:rsid w:val="00E000C8"/>
    <w:rsid w:val="00E023B4"/>
    <w:rsid w:val="00E02C64"/>
    <w:rsid w:val="00E05075"/>
    <w:rsid w:val="00E065A0"/>
    <w:rsid w:val="00E129AF"/>
    <w:rsid w:val="00E1325C"/>
    <w:rsid w:val="00E13F32"/>
    <w:rsid w:val="00E16FE2"/>
    <w:rsid w:val="00E21C10"/>
    <w:rsid w:val="00E237F2"/>
    <w:rsid w:val="00E25B98"/>
    <w:rsid w:val="00E25F8A"/>
    <w:rsid w:val="00E26BE1"/>
    <w:rsid w:val="00E270FA"/>
    <w:rsid w:val="00E31F47"/>
    <w:rsid w:val="00E328F2"/>
    <w:rsid w:val="00E33F13"/>
    <w:rsid w:val="00E36C07"/>
    <w:rsid w:val="00E42B6B"/>
    <w:rsid w:val="00E4359D"/>
    <w:rsid w:val="00E43B52"/>
    <w:rsid w:val="00E442E6"/>
    <w:rsid w:val="00E4623F"/>
    <w:rsid w:val="00E46BD8"/>
    <w:rsid w:val="00E5045F"/>
    <w:rsid w:val="00E50954"/>
    <w:rsid w:val="00E53526"/>
    <w:rsid w:val="00E540C4"/>
    <w:rsid w:val="00E54357"/>
    <w:rsid w:val="00E55D02"/>
    <w:rsid w:val="00E56235"/>
    <w:rsid w:val="00E64644"/>
    <w:rsid w:val="00E64BC5"/>
    <w:rsid w:val="00E70307"/>
    <w:rsid w:val="00E72864"/>
    <w:rsid w:val="00E72B4B"/>
    <w:rsid w:val="00E74750"/>
    <w:rsid w:val="00E75C1E"/>
    <w:rsid w:val="00E7792A"/>
    <w:rsid w:val="00E8041A"/>
    <w:rsid w:val="00E8307F"/>
    <w:rsid w:val="00E86954"/>
    <w:rsid w:val="00E90B87"/>
    <w:rsid w:val="00EA3279"/>
    <w:rsid w:val="00EA3D98"/>
    <w:rsid w:val="00EA3E74"/>
    <w:rsid w:val="00EA7F8B"/>
    <w:rsid w:val="00EB068F"/>
    <w:rsid w:val="00EB121C"/>
    <w:rsid w:val="00EB3985"/>
    <w:rsid w:val="00EB6ED9"/>
    <w:rsid w:val="00EB7560"/>
    <w:rsid w:val="00EC1B80"/>
    <w:rsid w:val="00EC510A"/>
    <w:rsid w:val="00EC5B78"/>
    <w:rsid w:val="00EC65CE"/>
    <w:rsid w:val="00EC66F3"/>
    <w:rsid w:val="00EC67EC"/>
    <w:rsid w:val="00EC7FA6"/>
    <w:rsid w:val="00ED0BDA"/>
    <w:rsid w:val="00ED0BEB"/>
    <w:rsid w:val="00ED44C1"/>
    <w:rsid w:val="00ED60B9"/>
    <w:rsid w:val="00ED700A"/>
    <w:rsid w:val="00ED7E78"/>
    <w:rsid w:val="00EE1744"/>
    <w:rsid w:val="00EE64DD"/>
    <w:rsid w:val="00EE72A7"/>
    <w:rsid w:val="00EE7376"/>
    <w:rsid w:val="00EE7E90"/>
    <w:rsid w:val="00EF0BA0"/>
    <w:rsid w:val="00EF4DC8"/>
    <w:rsid w:val="00EF5144"/>
    <w:rsid w:val="00F01C2A"/>
    <w:rsid w:val="00F07275"/>
    <w:rsid w:val="00F13913"/>
    <w:rsid w:val="00F13BE5"/>
    <w:rsid w:val="00F15E85"/>
    <w:rsid w:val="00F17CFC"/>
    <w:rsid w:val="00F22797"/>
    <w:rsid w:val="00F26190"/>
    <w:rsid w:val="00F26828"/>
    <w:rsid w:val="00F27DA4"/>
    <w:rsid w:val="00F35962"/>
    <w:rsid w:val="00F3674E"/>
    <w:rsid w:val="00F40EB7"/>
    <w:rsid w:val="00F45C72"/>
    <w:rsid w:val="00F50711"/>
    <w:rsid w:val="00F54538"/>
    <w:rsid w:val="00F5781B"/>
    <w:rsid w:val="00F66A99"/>
    <w:rsid w:val="00F674C2"/>
    <w:rsid w:val="00F746D6"/>
    <w:rsid w:val="00F75128"/>
    <w:rsid w:val="00F80428"/>
    <w:rsid w:val="00F80C87"/>
    <w:rsid w:val="00F86514"/>
    <w:rsid w:val="00F9381E"/>
    <w:rsid w:val="00F95495"/>
    <w:rsid w:val="00F9621D"/>
    <w:rsid w:val="00F96282"/>
    <w:rsid w:val="00FA188D"/>
    <w:rsid w:val="00FA4922"/>
    <w:rsid w:val="00FB1336"/>
    <w:rsid w:val="00FB2769"/>
    <w:rsid w:val="00FC4600"/>
    <w:rsid w:val="00FC5810"/>
    <w:rsid w:val="00FC6E52"/>
    <w:rsid w:val="00FC700D"/>
    <w:rsid w:val="00FD2154"/>
    <w:rsid w:val="00FD4DE9"/>
    <w:rsid w:val="00FD6CDC"/>
    <w:rsid w:val="00FE509B"/>
    <w:rsid w:val="00FF0B70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F066E6E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6032;&#26700;&#38754;&#23601;&#26159;&#23427;&#20102;\&#29790;&#36798;&#22269;&#38469;&#26085;&#25253;\&#20840;&#29699;&#32929;&#25351;&#26085;&#25910;&#30424;&#28072;&#36300;&#24133;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zh-CN" altLang="en-US"/>
              <a:t>全球主要指数涨跌幅（</a:t>
            </a:r>
            <a:r>
              <a:rPr lang="en-US" altLang="zh-CN"/>
              <a:t>%</a:t>
            </a:r>
            <a:r>
              <a:rPr lang="zh-CN" altLang="en-US"/>
              <a:t>）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Sheet3!$S$63</c:f>
              <c:strCache>
                <c:ptCount val="1"/>
                <c:pt idx="0">
                  <c:v>2024-12-17</c:v>
                </c:pt>
              </c:strCache>
            </c:strRef>
          </c:tx>
          <c:spPr>
            <a:solidFill>
              <a:srgbClr val="FF0000"/>
            </a:solidFill>
          </c:spPr>
          <c:invertIfNegative val="1"/>
          <c:dPt>
            <c:idx val="2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0-18E7-44F3-86D1-A45F66F8086D}"/>
              </c:ext>
            </c:extLst>
          </c:dPt>
          <c:dPt>
            <c:idx val="3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1-18E7-44F3-86D1-A45F66F8086D}"/>
              </c:ext>
            </c:extLst>
          </c:dPt>
          <c:dPt>
            <c:idx val="4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2-18E7-44F3-86D1-A45F66F8086D}"/>
              </c:ext>
            </c:extLst>
          </c:dPt>
          <c:dPt>
            <c:idx val="5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3-18E7-44F3-86D1-A45F66F8086D}"/>
              </c:ext>
            </c:extLst>
          </c:dPt>
          <c:dPt>
            <c:idx val="6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4-18E7-44F3-86D1-A45F66F8086D}"/>
              </c:ext>
            </c:extLst>
          </c:dPt>
          <c:dPt>
            <c:idx val="7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5-18E7-44F3-86D1-A45F66F8086D}"/>
              </c:ext>
            </c:extLst>
          </c:dPt>
          <c:dPt>
            <c:idx val="8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6-18E7-44F3-86D1-A45F66F8086D}"/>
              </c:ext>
            </c:extLst>
          </c:dPt>
          <c:dPt>
            <c:idx val="9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7-18E7-44F3-86D1-A45F66F8086D}"/>
              </c:ext>
            </c:extLst>
          </c:dPt>
          <c:dPt>
            <c:idx val="10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8-18E7-44F3-86D1-A45F66F8086D}"/>
              </c:ext>
            </c:extLst>
          </c:dPt>
          <c:dPt>
            <c:idx val="11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9-18E7-44F3-86D1-A45F66F8086D}"/>
              </c:ext>
            </c:extLst>
          </c:dPt>
          <c:dPt>
            <c:idx val="12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A-18E7-44F3-86D1-A45F66F8086D}"/>
              </c:ext>
            </c:extLst>
          </c:dPt>
          <c:dPt>
            <c:idx val="13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B-18E7-44F3-86D1-A45F66F8086D}"/>
              </c:ext>
            </c:extLst>
          </c:dPt>
          <c:dPt>
            <c:idx val="14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C-18E7-44F3-86D1-A45F66F8086D}"/>
              </c:ext>
            </c:extLst>
          </c:dPt>
          <c:cat>
            <c:strRef>
              <c:f>Sheet3!$R$64:$R$78</c:f>
              <c:strCache>
                <c:ptCount val="15"/>
                <c:pt idx="0">
                  <c:v>英国富时100</c:v>
                </c:pt>
                <c:pt idx="1">
                  <c:v>上证指数</c:v>
                </c:pt>
                <c:pt idx="2">
                  <c:v>道琼斯工业指数</c:v>
                </c:pt>
                <c:pt idx="3">
                  <c:v>富时新加坡海峡指数</c:v>
                </c:pt>
                <c:pt idx="4">
                  <c:v>恒生指数</c:v>
                </c:pt>
                <c:pt idx="5">
                  <c:v>标普500</c:v>
                </c:pt>
                <c:pt idx="6">
                  <c:v>深证成指</c:v>
                </c:pt>
                <c:pt idx="7">
                  <c:v>德国DAX</c:v>
                </c:pt>
                <c:pt idx="8">
                  <c:v>纳斯达克指数</c:v>
                </c:pt>
                <c:pt idx="9">
                  <c:v>日经225</c:v>
                </c:pt>
                <c:pt idx="10">
                  <c:v>创业板指</c:v>
                </c:pt>
                <c:pt idx="11">
                  <c:v>中小100</c:v>
                </c:pt>
                <c:pt idx="12">
                  <c:v>意大利指数</c:v>
                </c:pt>
                <c:pt idx="13">
                  <c:v>法国CAC40</c:v>
                </c:pt>
                <c:pt idx="14">
                  <c:v>沪深300</c:v>
                </c:pt>
              </c:strCache>
            </c:strRef>
          </c:cat>
          <c:val>
            <c:numRef>
              <c:f>Sheet3!$S$64:$S$78</c:f>
              <c:numCache>
                <c:formatCode>#,##0.0000_ ;\-#,##0.0000\ </c:formatCode>
                <c:ptCount val="15"/>
                <c:pt idx="0">
                  <c:v>-0.80912099999999998</c:v>
                </c:pt>
                <c:pt idx="1">
                  <c:v>-0.73372000000000004</c:v>
                </c:pt>
                <c:pt idx="2">
                  <c:v>-0.612066</c:v>
                </c:pt>
                <c:pt idx="3">
                  <c:v>-0.552207</c:v>
                </c:pt>
                <c:pt idx="4">
                  <c:v>-0.479958</c:v>
                </c:pt>
                <c:pt idx="5">
                  <c:v>-0.38639600000000002</c:v>
                </c:pt>
                <c:pt idx="6">
                  <c:v>-0.34510299999999999</c:v>
                </c:pt>
                <c:pt idx="7">
                  <c:v>-0.33199099999999998</c:v>
                </c:pt>
                <c:pt idx="8">
                  <c:v>-0.32135599999999998</c:v>
                </c:pt>
                <c:pt idx="9">
                  <c:v>-0.23521500000000001</c:v>
                </c:pt>
                <c:pt idx="10">
                  <c:v>-1.5962E-2</c:v>
                </c:pt>
                <c:pt idx="11">
                  <c:v>-7.7840000000000001E-3</c:v>
                </c:pt>
                <c:pt idx="12">
                  <c:v>0</c:v>
                </c:pt>
                <c:pt idx="13">
                  <c:v>0.11716600000000001</c:v>
                </c:pt>
                <c:pt idx="14">
                  <c:v>0.26053700000000002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92D050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D-18E7-44F3-86D1-A45F66F80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4402392"/>
        <c:axId val="754402784"/>
      </c:barChart>
      <c:catAx>
        <c:axId val="754402392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spPr>
          <a:solidFill>
            <a:srgbClr val="92D050"/>
          </a:solidFill>
        </c:spPr>
        <c:txPr>
          <a:bodyPr rot="-60000000" vert="horz"/>
          <a:lstStyle/>
          <a:p>
            <a:pPr>
              <a:defRPr>
                <a:solidFill>
                  <a:srgbClr val="92D050"/>
                </a:solidFill>
              </a:defRPr>
            </a:pPr>
            <a:endParaRPr lang="zh-CN"/>
          </a:p>
        </c:txPr>
        <c:crossAx val="754402784"/>
        <c:crosses val="autoZero"/>
        <c:auto val="1"/>
        <c:lblAlgn val="ctr"/>
        <c:lblOffset val="100"/>
        <c:noMultiLvlLbl val="0"/>
      </c:catAx>
      <c:valAx>
        <c:axId val="754402784"/>
        <c:scaling>
          <c:orientation val="minMax"/>
        </c:scaling>
        <c:delete val="0"/>
        <c:axPos val="l"/>
        <c:majorGridlines/>
        <c:numFmt formatCode="#,##0.0000_ ;\-#,##0.0000\ 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zh-CN"/>
          </a:p>
        </c:txPr>
        <c:crossAx val="754402392"/>
        <c:crosses val="autoZero"/>
        <c:crossBetween val="between"/>
      </c:valAx>
      <c:dTable>
        <c:showHorzBorder val="1"/>
        <c:showVertBorder val="1"/>
        <c:showOutline val="1"/>
        <c:showKeys val="0"/>
      </c:dTable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E6DC00-44DF-45B1-9679-146BB2007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699</Words>
  <Characters>3989</Characters>
  <Application>Microsoft Office Word</Application>
  <DocSecurity>0</DocSecurity>
  <Lines>33</Lines>
  <Paragraphs>9</Paragraphs>
  <ScaleCrop>false</ScaleCrop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MSI</cp:lastModifiedBy>
  <cp:revision>18</cp:revision>
  <cp:lastPrinted>2024-07-26T02:41:00Z</cp:lastPrinted>
  <dcterms:created xsi:type="dcterms:W3CDTF">2024-12-06T00:43:00Z</dcterms:created>
  <dcterms:modified xsi:type="dcterms:W3CDTF">2024-12-18T02:20:00Z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