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bookmarkStart w:id="0" w:name="_GoBack"/>
      <w:bookmarkEnd w:id="0"/>
      <w:r>
        <w:rPr>
          <w:rFonts w:ascii="微软雅黑" w:eastAsia="微软雅黑" w:hAnsi="微软雅黑" w:cs="微软雅黑"/>
          <w:b/>
          <w:bCs/>
          <w:color w:val="005D97"/>
          <w:spacing w:val="-22"/>
          <w:sz w:val="48"/>
          <w:szCs w:val="48"/>
          <w:lang w:eastAsia="zh-CN"/>
        </w:rPr>
        <w:t>2024年</w:t>
      </w:r>
      <w:r w:rsidR="00E55D02">
        <w:rPr>
          <w:rFonts w:ascii="微软雅黑" w:eastAsia="微软雅黑" w:hAnsi="微软雅黑" w:cs="微软雅黑"/>
          <w:b/>
          <w:bCs/>
          <w:color w:val="005D97"/>
          <w:spacing w:val="-22"/>
          <w:sz w:val="48"/>
          <w:szCs w:val="48"/>
          <w:lang w:eastAsia="zh-CN"/>
        </w:rPr>
        <w:t>12</w:t>
      </w:r>
      <w:r>
        <w:rPr>
          <w:rFonts w:ascii="微软雅黑" w:eastAsia="微软雅黑" w:hAnsi="微软雅黑" w:cs="微软雅黑"/>
          <w:b/>
          <w:bCs/>
          <w:color w:val="005D97"/>
          <w:spacing w:val="-22"/>
          <w:sz w:val="48"/>
          <w:szCs w:val="48"/>
          <w:lang w:eastAsia="zh-CN"/>
        </w:rPr>
        <w:t>月</w:t>
      </w:r>
      <w:r w:rsidR="00583A38">
        <w:rPr>
          <w:rFonts w:ascii="微软雅黑" w:eastAsia="微软雅黑" w:hAnsi="微软雅黑" w:cs="微软雅黑"/>
          <w:b/>
          <w:bCs/>
          <w:color w:val="005D97"/>
          <w:spacing w:val="-22"/>
          <w:sz w:val="48"/>
          <w:szCs w:val="48"/>
          <w:lang w:eastAsia="zh-CN"/>
        </w:rPr>
        <w:t>20</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583A38">
      <w:pPr>
        <w:spacing w:before="103" w:line="257" w:lineRule="auto"/>
        <w:ind w:right="584" w:firstLineChars="200" w:firstLine="468"/>
        <w:jc w:val="both"/>
        <w:rPr>
          <w:rFonts w:ascii="微软雅黑" w:eastAsia="微软雅黑" w:hAnsi="微软雅黑" w:cs="微软雅黑"/>
          <w:spacing w:val="12"/>
          <w:lang w:eastAsia="zh-CN"/>
        </w:rPr>
      </w:pPr>
      <w:r w:rsidRPr="00583A38">
        <w:rPr>
          <w:rFonts w:ascii="微软雅黑" w:eastAsia="微软雅黑" w:hAnsi="微软雅黑" w:cs="微软雅黑" w:hint="eastAsia"/>
          <w:spacing w:val="12"/>
          <w:lang w:eastAsia="zh-CN"/>
        </w:rPr>
        <w:t>美国三大股指收盘涨跌不一，道指涨</w:t>
      </w:r>
      <w:r w:rsidRPr="00583A38">
        <w:rPr>
          <w:rFonts w:ascii="微软雅黑" w:eastAsia="微软雅黑" w:hAnsi="微软雅黑" w:cs="微软雅黑"/>
          <w:spacing w:val="12"/>
          <w:lang w:eastAsia="zh-CN"/>
        </w:rPr>
        <w:t>0.04%</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42342.24</w:t>
      </w:r>
      <w:r w:rsidRPr="00583A38">
        <w:rPr>
          <w:rFonts w:ascii="微软雅黑" w:eastAsia="微软雅黑" w:hAnsi="微软雅黑" w:cs="微软雅黑" w:hint="eastAsia"/>
          <w:spacing w:val="12"/>
          <w:lang w:eastAsia="zh-CN"/>
        </w:rPr>
        <w:t>点，</w:t>
      </w:r>
      <w:proofErr w:type="gramStart"/>
      <w:r w:rsidRPr="00583A38">
        <w:rPr>
          <w:rFonts w:ascii="微软雅黑" w:eastAsia="微软雅黑" w:hAnsi="微软雅黑" w:cs="微软雅黑" w:hint="eastAsia"/>
          <w:spacing w:val="12"/>
          <w:lang w:eastAsia="zh-CN"/>
        </w:rPr>
        <w:t>标普</w:t>
      </w:r>
      <w:proofErr w:type="gramEnd"/>
      <w:r w:rsidRPr="00583A38">
        <w:rPr>
          <w:rFonts w:ascii="微软雅黑" w:eastAsia="微软雅黑" w:hAnsi="微软雅黑" w:cs="微软雅黑"/>
          <w:spacing w:val="12"/>
          <w:lang w:eastAsia="zh-CN"/>
        </w:rPr>
        <w:t>500</w:t>
      </w:r>
      <w:r w:rsidRPr="00583A38">
        <w:rPr>
          <w:rFonts w:ascii="微软雅黑" w:eastAsia="微软雅黑" w:hAnsi="微软雅黑" w:cs="微软雅黑" w:hint="eastAsia"/>
          <w:spacing w:val="12"/>
          <w:lang w:eastAsia="zh-CN"/>
        </w:rPr>
        <w:t>指数跌</w:t>
      </w:r>
      <w:r w:rsidRPr="00583A38">
        <w:rPr>
          <w:rFonts w:ascii="微软雅黑" w:eastAsia="微软雅黑" w:hAnsi="微软雅黑" w:cs="微软雅黑"/>
          <w:spacing w:val="12"/>
          <w:lang w:eastAsia="zh-CN"/>
        </w:rPr>
        <w:t>0.09%</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5867.08</w:t>
      </w:r>
      <w:r w:rsidRPr="00583A38">
        <w:rPr>
          <w:rFonts w:ascii="微软雅黑" w:eastAsia="微软雅黑" w:hAnsi="微软雅黑" w:cs="微软雅黑" w:hint="eastAsia"/>
          <w:spacing w:val="12"/>
          <w:lang w:eastAsia="zh-CN"/>
        </w:rPr>
        <w:t>点，</w:t>
      </w:r>
      <w:proofErr w:type="gramStart"/>
      <w:r w:rsidRPr="00583A38">
        <w:rPr>
          <w:rFonts w:ascii="微软雅黑" w:eastAsia="微软雅黑" w:hAnsi="微软雅黑" w:cs="微软雅黑" w:hint="eastAsia"/>
          <w:spacing w:val="12"/>
          <w:lang w:eastAsia="zh-CN"/>
        </w:rPr>
        <w:t>纳指跌</w:t>
      </w:r>
      <w:proofErr w:type="gramEnd"/>
      <w:r w:rsidRPr="00583A38">
        <w:rPr>
          <w:rFonts w:ascii="微软雅黑" w:eastAsia="微软雅黑" w:hAnsi="微软雅黑" w:cs="微软雅黑"/>
          <w:spacing w:val="12"/>
          <w:lang w:eastAsia="zh-CN"/>
        </w:rPr>
        <w:t>0.1%</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19372.77</w:t>
      </w:r>
      <w:r w:rsidRPr="00583A38">
        <w:rPr>
          <w:rFonts w:ascii="微软雅黑" w:eastAsia="微软雅黑" w:hAnsi="微软雅黑" w:cs="微软雅黑" w:hint="eastAsia"/>
          <w:spacing w:val="12"/>
          <w:lang w:eastAsia="zh-CN"/>
        </w:rPr>
        <w:t>点。美元指数涨</w:t>
      </w:r>
      <w:r w:rsidRPr="00583A38">
        <w:rPr>
          <w:rFonts w:ascii="微软雅黑" w:eastAsia="微软雅黑" w:hAnsi="微软雅黑" w:cs="微软雅黑"/>
          <w:spacing w:val="12"/>
          <w:lang w:eastAsia="zh-CN"/>
        </w:rPr>
        <w:t>0.14%</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108.42</w:t>
      </w:r>
      <w:r w:rsidRPr="00583A38">
        <w:rPr>
          <w:rFonts w:ascii="微软雅黑" w:eastAsia="微软雅黑" w:hAnsi="微软雅黑" w:cs="微软雅黑" w:hint="eastAsia"/>
          <w:spacing w:val="12"/>
          <w:lang w:eastAsia="zh-CN"/>
        </w:rPr>
        <w:t>，非美货币多数上涨，欧元兑美元涨</w:t>
      </w:r>
      <w:r w:rsidRPr="00583A38">
        <w:rPr>
          <w:rFonts w:ascii="微软雅黑" w:eastAsia="微软雅黑" w:hAnsi="微软雅黑" w:cs="微软雅黑"/>
          <w:spacing w:val="12"/>
          <w:lang w:eastAsia="zh-CN"/>
        </w:rPr>
        <w:t>0.1%</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1.0363</w:t>
      </w:r>
      <w:r w:rsidRPr="00583A38">
        <w:rPr>
          <w:rFonts w:ascii="微软雅黑" w:eastAsia="微软雅黑" w:hAnsi="微软雅黑" w:cs="微软雅黑" w:hint="eastAsia"/>
          <w:spacing w:val="12"/>
          <w:lang w:eastAsia="zh-CN"/>
        </w:rPr>
        <w:t>，英镑兑美元跌</w:t>
      </w:r>
      <w:r w:rsidRPr="00583A38">
        <w:rPr>
          <w:rFonts w:ascii="微软雅黑" w:eastAsia="微软雅黑" w:hAnsi="微软雅黑" w:cs="微软雅黑"/>
          <w:spacing w:val="12"/>
          <w:lang w:eastAsia="zh-CN"/>
        </w:rPr>
        <w:t>0.58%</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1.2502</w:t>
      </w:r>
      <w:r w:rsidRPr="00583A38">
        <w:rPr>
          <w:rFonts w:ascii="微软雅黑" w:eastAsia="微软雅黑" w:hAnsi="微软雅黑" w:cs="微软雅黑" w:hint="eastAsia"/>
          <w:spacing w:val="12"/>
          <w:lang w:eastAsia="zh-CN"/>
        </w:rPr>
        <w:t>，美元兑日元涨</w:t>
      </w:r>
      <w:r w:rsidRPr="00583A38">
        <w:rPr>
          <w:rFonts w:ascii="微软雅黑" w:eastAsia="微软雅黑" w:hAnsi="微软雅黑" w:cs="微软雅黑"/>
          <w:spacing w:val="12"/>
          <w:lang w:eastAsia="zh-CN"/>
        </w:rPr>
        <w:t>1.68%</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157.44</w:t>
      </w:r>
      <w:r w:rsidRPr="00583A38">
        <w:rPr>
          <w:rFonts w:ascii="微软雅黑" w:eastAsia="微软雅黑" w:hAnsi="微软雅黑" w:cs="微软雅黑" w:hint="eastAsia"/>
          <w:spacing w:val="12"/>
          <w:lang w:eastAsia="zh-CN"/>
        </w:rPr>
        <w:t>，离岸人民币对美元涨</w:t>
      </w:r>
      <w:r w:rsidRPr="00583A38">
        <w:rPr>
          <w:rFonts w:ascii="微软雅黑" w:eastAsia="微软雅黑" w:hAnsi="微软雅黑" w:cs="微软雅黑"/>
          <w:spacing w:val="12"/>
          <w:lang w:eastAsia="zh-CN"/>
        </w:rPr>
        <w:t>156</w:t>
      </w:r>
      <w:r w:rsidRPr="00583A38">
        <w:rPr>
          <w:rFonts w:ascii="微软雅黑" w:eastAsia="微软雅黑" w:hAnsi="微软雅黑" w:cs="微软雅黑" w:hint="eastAsia"/>
          <w:spacing w:val="12"/>
          <w:lang w:eastAsia="zh-CN"/>
        </w:rPr>
        <w:t>个基点报</w:t>
      </w:r>
      <w:r w:rsidRPr="00583A38">
        <w:rPr>
          <w:rFonts w:ascii="微软雅黑" w:eastAsia="微软雅黑" w:hAnsi="微软雅黑" w:cs="微软雅黑"/>
          <w:spacing w:val="12"/>
          <w:lang w:eastAsia="zh-CN"/>
        </w:rPr>
        <w:t>7.3091</w:t>
      </w:r>
      <w:r w:rsidRPr="00583A38">
        <w:rPr>
          <w:rFonts w:ascii="微软雅黑" w:eastAsia="微软雅黑" w:hAnsi="微软雅黑" w:cs="微软雅黑" w:hint="eastAsia"/>
          <w:spacing w:val="12"/>
          <w:lang w:eastAsia="zh-CN"/>
        </w:rPr>
        <w:t>。国际油价全线下跌，</w:t>
      </w:r>
      <w:proofErr w:type="gramStart"/>
      <w:r w:rsidRPr="00583A38">
        <w:rPr>
          <w:rFonts w:ascii="微软雅黑" w:eastAsia="微软雅黑" w:hAnsi="微软雅黑" w:cs="微软雅黑" w:hint="eastAsia"/>
          <w:spacing w:val="12"/>
          <w:lang w:eastAsia="zh-CN"/>
        </w:rPr>
        <w:t>美油</w:t>
      </w:r>
      <w:r w:rsidRPr="00583A38">
        <w:rPr>
          <w:rFonts w:ascii="微软雅黑" w:eastAsia="微软雅黑" w:hAnsi="微软雅黑" w:cs="微软雅黑"/>
          <w:spacing w:val="12"/>
          <w:lang w:eastAsia="zh-CN"/>
        </w:rPr>
        <w:t>2025</w:t>
      </w:r>
      <w:r w:rsidRPr="00583A38">
        <w:rPr>
          <w:rFonts w:ascii="微软雅黑" w:eastAsia="微软雅黑" w:hAnsi="微软雅黑" w:cs="微软雅黑" w:hint="eastAsia"/>
          <w:spacing w:val="12"/>
          <w:lang w:eastAsia="zh-CN"/>
        </w:rPr>
        <w:t>年</w:t>
      </w:r>
      <w:r w:rsidRPr="00583A38">
        <w:rPr>
          <w:rFonts w:ascii="微软雅黑" w:eastAsia="微软雅黑" w:hAnsi="微软雅黑" w:cs="微软雅黑"/>
          <w:spacing w:val="12"/>
          <w:lang w:eastAsia="zh-CN"/>
        </w:rPr>
        <w:t>2</w:t>
      </w:r>
      <w:r w:rsidRPr="00583A38">
        <w:rPr>
          <w:rFonts w:ascii="微软雅黑" w:eastAsia="微软雅黑" w:hAnsi="微软雅黑" w:cs="微软雅黑" w:hint="eastAsia"/>
          <w:spacing w:val="12"/>
          <w:lang w:eastAsia="zh-CN"/>
        </w:rPr>
        <w:t>月</w:t>
      </w:r>
      <w:proofErr w:type="gramEnd"/>
      <w:r w:rsidRPr="00583A38">
        <w:rPr>
          <w:rFonts w:ascii="微软雅黑" w:eastAsia="微软雅黑" w:hAnsi="微软雅黑" w:cs="微软雅黑" w:hint="eastAsia"/>
          <w:spacing w:val="12"/>
          <w:lang w:eastAsia="zh-CN"/>
        </w:rPr>
        <w:t>合约跌</w:t>
      </w:r>
      <w:r w:rsidRPr="00583A38">
        <w:rPr>
          <w:rFonts w:ascii="微软雅黑" w:eastAsia="微软雅黑" w:hAnsi="微软雅黑" w:cs="微软雅黑"/>
          <w:spacing w:val="12"/>
          <w:lang w:eastAsia="zh-CN"/>
        </w:rPr>
        <w:t>1.13%</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69.23</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桶。</w:t>
      </w:r>
      <w:proofErr w:type="gramStart"/>
      <w:r w:rsidRPr="00583A38">
        <w:rPr>
          <w:rFonts w:ascii="微软雅黑" w:eastAsia="微软雅黑" w:hAnsi="微软雅黑" w:cs="微软雅黑" w:hint="eastAsia"/>
          <w:spacing w:val="12"/>
          <w:lang w:eastAsia="zh-CN"/>
        </w:rPr>
        <w:t>布油</w:t>
      </w:r>
      <w:r w:rsidRPr="00583A38">
        <w:rPr>
          <w:rFonts w:ascii="微软雅黑" w:eastAsia="微软雅黑" w:hAnsi="微软雅黑" w:cs="微软雅黑"/>
          <w:spacing w:val="12"/>
          <w:lang w:eastAsia="zh-CN"/>
        </w:rPr>
        <w:t>2025</w:t>
      </w:r>
      <w:r w:rsidRPr="00583A38">
        <w:rPr>
          <w:rFonts w:ascii="微软雅黑" w:eastAsia="微软雅黑" w:hAnsi="微软雅黑" w:cs="微软雅黑" w:hint="eastAsia"/>
          <w:spacing w:val="12"/>
          <w:lang w:eastAsia="zh-CN"/>
        </w:rPr>
        <w:t>年</w:t>
      </w:r>
      <w:r w:rsidRPr="00583A38">
        <w:rPr>
          <w:rFonts w:ascii="微软雅黑" w:eastAsia="微软雅黑" w:hAnsi="微软雅黑" w:cs="微软雅黑"/>
          <w:spacing w:val="12"/>
          <w:lang w:eastAsia="zh-CN"/>
        </w:rPr>
        <w:t>2</w:t>
      </w:r>
      <w:r w:rsidRPr="00583A38">
        <w:rPr>
          <w:rFonts w:ascii="微软雅黑" w:eastAsia="微软雅黑" w:hAnsi="微软雅黑" w:cs="微软雅黑" w:hint="eastAsia"/>
          <w:spacing w:val="12"/>
          <w:lang w:eastAsia="zh-CN"/>
        </w:rPr>
        <w:t>月</w:t>
      </w:r>
      <w:proofErr w:type="gramEnd"/>
      <w:r w:rsidRPr="00583A38">
        <w:rPr>
          <w:rFonts w:ascii="微软雅黑" w:eastAsia="微软雅黑" w:hAnsi="微软雅黑" w:cs="微软雅黑" w:hint="eastAsia"/>
          <w:spacing w:val="12"/>
          <w:lang w:eastAsia="zh-CN"/>
        </w:rPr>
        <w:t>合约跌</w:t>
      </w:r>
      <w:r w:rsidRPr="00583A38">
        <w:rPr>
          <w:rFonts w:ascii="微软雅黑" w:eastAsia="微软雅黑" w:hAnsi="微软雅黑" w:cs="微软雅黑"/>
          <w:spacing w:val="12"/>
          <w:lang w:eastAsia="zh-CN"/>
        </w:rPr>
        <w:t>0.95%</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72.69</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桶。国际贵金属期货普遍收跌，</w:t>
      </w:r>
      <w:r w:rsidRPr="00583A38">
        <w:rPr>
          <w:rFonts w:ascii="微软雅黑" w:eastAsia="微软雅黑" w:hAnsi="微软雅黑" w:cs="微软雅黑"/>
          <w:spacing w:val="12"/>
          <w:lang w:eastAsia="zh-CN"/>
        </w:rPr>
        <w:t>COMEX</w:t>
      </w:r>
      <w:r w:rsidRPr="00583A38">
        <w:rPr>
          <w:rFonts w:ascii="微软雅黑" w:eastAsia="微软雅黑" w:hAnsi="微软雅黑" w:cs="微软雅黑" w:hint="eastAsia"/>
          <w:spacing w:val="12"/>
          <w:lang w:eastAsia="zh-CN"/>
        </w:rPr>
        <w:t>黄金期货跌</w:t>
      </w:r>
      <w:r w:rsidRPr="00583A38">
        <w:rPr>
          <w:rFonts w:ascii="微软雅黑" w:eastAsia="微软雅黑" w:hAnsi="微软雅黑" w:cs="微软雅黑"/>
          <w:spacing w:val="12"/>
          <w:lang w:eastAsia="zh-CN"/>
        </w:rPr>
        <w:t>1.63%</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2610</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盎司，</w:t>
      </w:r>
      <w:r w:rsidRPr="00583A38">
        <w:rPr>
          <w:rFonts w:ascii="微软雅黑" w:eastAsia="微软雅黑" w:hAnsi="微软雅黑" w:cs="微软雅黑"/>
          <w:spacing w:val="12"/>
          <w:lang w:eastAsia="zh-CN"/>
        </w:rPr>
        <w:t>COMEX</w:t>
      </w:r>
      <w:r w:rsidRPr="00583A38">
        <w:rPr>
          <w:rFonts w:ascii="微软雅黑" w:eastAsia="微软雅黑" w:hAnsi="微软雅黑" w:cs="微软雅黑" w:hint="eastAsia"/>
          <w:spacing w:val="12"/>
          <w:lang w:eastAsia="zh-CN"/>
        </w:rPr>
        <w:t>白银期货跌</w:t>
      </w:r>
      <w:r w:rsidRPr="00583A38">
        <w:rPr>
          <w:rFonts w:ascii="微软雅黑" w:eastAsia="微软雅黑" w:hAnsi="微软雅黑" w:cs="微软雅黑"/>
          <w:spacing w:val="12"/>
          <w:lang w:eastAsia="zh-CN"/>
        </w:rPr>
        <w:t>4.12%</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29.475</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盎司。</w:t>
      </w:r>
      <w:r w:rsidRPr="00583A38">
        <w:rPr>
          <w:rFonts w:ascii="微软雅黑" w:eastAsia="微软雅黑" w:hAnsi="微软雅黑" w:cs="微软雅黑"/>
          <w:spacing w:val="12"/>
          <w:lang w:eastAsia="zh-CN"/>
        </w:rPr>
        <w:t>LME</w:t>
      </w:r>
      <w:proofErr w:type="gramStart"/>
      <w:r w:rsidRPr="00583A38">
        <w:rPr>
          <w:rFonts w:ascii="微软雅黑" w:eastAsia="微软雅黑" w:hAnsi="微软雅黑" w:cs="微软雅黑" w:hint="eastAsia"/>
          <w:spacing w:val="12"/>
          <w:lang w:eastAsia="zh-CN"/>
        </w:rPr>
        <w:t>期铜跌</w:t>
      </w:r>
      <w:proofErr w:type="gramEnd"/>
      <w:r w:rsidRPr="00583A38">
        <w:rPr>
          <w:rFonts w:ascii="微软雅黑" w:eastAsia="微软雅黑" w:hAnsi="微软雅黑" w:cs="微软雅黑"/>
          <w:spacing w:val="12"/>
          <w:lang w:eastAsia="zh-CN"/>
        </w:rPr>
        <w:t>1.59%</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8885</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吨。</w:t>
      </w:r>
      <w:r w:rsidRPr="00583A38">
        <w:rPr>
          <w:rFonts w:ascii="微软雅黑" w:eastAsia="微软雅黑" w:hAnsi="微软雅黑" w:cs="微软雅黑"/>
          <w:spacing w:val="12"/>
          <w:lang w:eastAsia="zh-CN"/>
        </w:rPr>
        <w:t>ICE</w:t>
      </w:r>
      <w:r w:rsidRPr="00583A38">
        <w:rPr>
          <w:rFonts w:ascii="微软雅黑" w:eastAsia="微软雅黑" w:hAnsi="微软雅黑" w:cs="微软雅黑" w:hint="eastAsia"/>
          <w:spacing w:val="12"/>
          <w:lang w:eastAsia="zh-CN"/>
        </w:rPr>
        <w:t>原糖主力期货跌</w:t>
      </w:r>
      <w:r w:rsidRPr="00583A38">
        <w:rPr>
          <w:rFonts w:ascii="微软雅黑" w:eastAsia="微软雅黑" w:hAnsi="微软雅黑" w:cs="微软雅黑"/>
          <w:spacing w:val="12"/>
          <w:lang w:eastAsia="zh-CN"/>
        </w:rPr>
        <w:t>1.12%</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19.43</w:t>
      </w:r>
      <w:r w:rsidRPr="00583A38">
        <w:rPr>
          <w:rFonts w:ascii="微软雅黑" w:eastAsia="微软雅黑" w:hAnsi="微软雅黑" w:cs="微软雅黑" w:hint="eastAsia"/>
          <w:spacing w:val="12"/>
          <w:lang w:eastAsia="zh-CN"/>
        </w:rPr>
        <w:t>美分</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磅，</w:t>
      </w:r>
      <w:r w:rsidRPr="00583A38">
        <w:rPr>
          <w:rFonts w:ascii="微软雅黑" w:eastAsia="微软雅黑" w:hAnsi="微软雅黑" w:cs="微软雅黑"/>
          <w:spacing w:val="12"/>
          <w:lang w:eastAsia="zh-CN"/>
        </w:rPr>
        <w:t>ICE</w:t>
      </w:r>
      <w:r w:rsidRPr="00583A38">
        <w:rPr>
          <w:rFonts w:ascii="微软雅黑" w:eastAsia="微软雅黑" w:hAnsi="微软雅黑" w:cs="微软雅黑" w:hint="eastAsia"/>
          <w:spacing w:val="12"/>
          <w:lang w:eastAsia="zh-CN"/>
        </w:rPr>
        <w:t>棉花主力期货跌</w:t>
      </w:r>
      <w:r w:rsidRPr="00583A38">
        <w:rPr>
          <w:rFonts w:ascii="微软雅黑" w:eastAsia="微软雅黑" w:hAnsi="微软雅黑" w:cs="微软雅黑"/>
          <w:spacing w:val="12"/>
          <w:lang w:eastAsia="zh-CN"/>
        </w:rPr>
        <w:t>0.31%</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67.87</w:t>
      </w:r>
      <w:r w:rsidRPr="00583A38">
        <w:rPr>
          <w:rFonts w:ascii="微软雅黑" w:eastAsia="微软雅黑" w:hAnsi="微软雅黑" w:cs="微软雅黑" w:hint="eastAsia"/>
          <w:spacing w:val="12"/>
          <w:lang w:eastAsia="zh-CN"/>
        </w:rPr>
        <w:t>美分</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磅。</w:t>
      </w:r>
    </w:p>
    <w:p w:rsidR="009372C5" w:rsidRPr="006B4BE7" w:rsidRDefault="00115A1A" w:rsidP="006B4BE7">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6B4BE7" w:rsidRPr="006B4BE7" w:rsidRDefault="00B95A11" w:rsidP="0048502E">
      <w:pPr>
        <w:spacing w:before="103" w:line="257" w:lineRule="auto"/>
        <w:ind w:right="584"/>
        <w:jc w:val="both"/>
        <w:rPr>
          <w:rFonts w:eastAsiaTheme="minorEastAsia"/>
          <w:lang w:eastAsia="zh-CN"/>
        </w:rPr>
      </w:pPr>
      <w:r>
        <w:rPr>
          <w:noProof/>
          <w:snapToGrid/>
          <w:lang w:eastAsia="zh-CN"/>
        </w:rPr>
        <w:drawing>
          <wp:inline distT="0" distB="0" distL="0" distR="0" wp14:anchorId="4B4E03D2" wp14:editId="00FAE8CF">
            <wp:extent cx="6573520" cy="4191635"/>
            <wp:effectExtent l="0" t="0" r="17780" b="1841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583A38" w:rsidRPr="00583A38"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t>【美国第三季度实际</w:t>
      </w:r>
      <w:r w:rsidRPr="00583A38">
        <w:rPr>
          <w:rFonts w:ascii="微软雅黑" w:eastAsia="微软雅黑" w:hAnsi="微软雅黑" w:cs="微软雅黑"/>
          <w:color w:val="auto"/>
          <w:spacing w:val="4"/>
          <w:lang w:eastAsia="zh-CN"/>
        </w:rPr>
        <w:t>GDP</w:t>
      </w:r>
      <w:r w:rsidRPr="00583A38">
        <w:rPr>
          <w:rFonts w:ascii="微软雅黑" w:eastAsia="微软雅黑" w:hAnsi="微软雅黑" w:cs="微软雅黑" w:hint="eastAsia"/>
          <w:color w:val="auto"/>
          <w:spacing w:val="4"/>
          <w:lang w:eastAsia="zh-CN"/>
        </w:rPr>
        <w:t>年化季环比终值上修至</w:t>
      </w:r>
      <w:r w:rsidRPr="00583A38">
        <w:rPr>
          <w:rFonts w:ascii="微软雅黑" w:eastAsia="微软雅黑" w:hAnsi="微软雅黑" w:cs="微软雅黑"/>
          <w:color w:val="auto"/>
          <w:spacing w:val="4"/>
          <w:lang w:eastAsia="zh-CN"/>
        </w:rPr>
        <w:t>3.1%</w:t>
      </w:r>
      <w:r w:rsidRPr="00583A38">
        <w:rPr>
          <w:rFonts w:ascii="微软雅黑" w:eastAsia="微软雅黑" w:hAnsi="微软雅黑" w:cs="微软雅黑" w:hint="eastAsia"/>
          <w:color w:val="auto"/>
          <w:spacing w:val="4"/>
          <w:lang w:eastAsia="zh-CN"/>
        </w:rPr>
        <w:t>，高于预期的</w:t>
      </w:r>
      <w:r w:rsidRPr="00583A38">
        <w:rPr>
          <w:rFonts w:ascii="微软雅黑" w:eastAsia="微软雅黑" w:hAnsi="微软雅黑" w:cs="微软雅黑"/>
          <w:color w:val="auto"/>
          <w:spacing w:val="4"/>
          <w:lang w:eastAsia="zh-CN"/>
        </w:rPr>
        <w:t>2.8%</w:t>
      </w:r>
      <w:r w:rsidRPr="00583A38">
        <w:rPr>
          <w:rFonts w:ascii="微软雅黑" w:eastAsia="微软雅黑" w:hAnsi="微软雅黑" w:cs="微软雅黑" w:hint="eastAsia"/>
          <w:color w:val="auto"/>
          <w:spacing w:val="4"/>
          <w:lang w:eastAsia="zh-CN"/>
        </w:rPr>
        <w:t>。消费者支出增长</w:t>
      </w:r>
      <w:r w:rsidRPr="00583A38">
        <w:rPr>
          <w:rFonts w:ascii="微软雅黑" w:eastAsia="微软雅黑" w:hAnsi="微软雅黑" w:cs="微软雅黑"/>
          <w:color w:val="auto"/>
          <w:spacing w:val="4"/>
          <w:lang w:eastAsia="zh-CN"/>
        </w:rPr>
        <w:t>3.7%</w:t>
      </w:r>
      <w:r w:rsidRPr="00583A38">
        <w:rPr>
          <w:rFonts w:ascii="微软雅黑" w:eastAsia="微软雅黑" w:hAnsi="微软雅黑" w:cs="微软雅黑" w:hint="eastAsia"/>
          <w:color w:val="auto"/>
          <w:spacing w:val="4"/>
          <w:lang w:eastAsia="zh-CN"/>
        </w:rPr>
        <w:t>，为</w:t>
      </w:r>
      <w:r w:rsidRPr="00583A38">
        <w:rPr>
          <w:rFonts w:ascii="微软雅黑" w:eastAsia="微软雅黑" w:hAnsi="微软雅黑" w:cs="微软雅黑"/>
          <w:color w:val="auto"/>
          <w:spacing w:val="4"/>
          <w:lang w:eastAsia="zh-CN"/>
        </w:rPr>
        <w:t>2023</w:t>
      </w:r>
      <w:r w:rsidRPr="00583A38">
        <w:rPr>
          <w:rFonts w:ascii="微软雅黑" w:eastAsia="微软雅黑" w:hAnsi="微软雅黑" w:cs="微软雅黑" w:hint="eastAsia"/>
          <w:color w:val="auto"/>
          <w:spacing w:val="4"/>
          <w:lang w:eastAsia="zh-CN"/>
        </w:rPr>
        <w:t>年初以来的最快增速。出口增长</w:t>
      </w:r>
      <w:r w:rsidRPr="00583A38">
        <w:rPr>
          <w:rFonts w:ascii="微软雅黑" w:eastAsia="微软雅黑" w:hAnsi="微软雅黑" w:cs="微软雅黑"/>
          <w:color w:val="auto"/>
          <w:spacing w:val="4"/>
          <w:lang w:eastAsia="zh-CN"/>
        </w:rPr>
        <w:t>9.6%</w:t>
      </w:r>
      <w:r w:rsidRPr="00583A38">
        <w:rPr>
          <w:rFonts w:ascii="微软雅黑" w:eastAsia="微软雅黑" w:hAnsi="微软雅黑" w:cs="微软雅黑" w:hint="eastAsia"/>
          <w:color w:val="auto"/>
          <w:spacing w:val="4"/>
          <w:lang w:eastAsia="zh-CN"/>
        </w:rPr>
        <w:t>，高于此前预期的</w:t>
      </w:r>
      <w:r w:rsidRPr="00583A38">
        <w:rPr>
          <w:rFonts w:ascii="微软雅黑" w:eastAsia="微软雅黑" w:hAnsi="微软雅黑" w:cs="微软雅黑"/>
          <w:color w:val="auto"/>
          <w:spacing w:val="4"/>
          <w:lang w:eastAsia="zh-CN"/>
        </w:rPr>
        <w:t>7.5%</w:t>
      </w:r>
      <w:r w:rsidRPr="00583A38">
        <w:rPr>
          <w:rFonts w:ascii="微软雅黑" w:eastAsia="微软雅黑" w:hAnsi="微软雅黑" w:cs="微软雅黑" w:hint="eastAsia"/>
          <w:color w:val="auto"/>
          <w:spacing w:val="4"/>
          <w:lang w:eastAsia="zh-CN"/>
        </w:rPr>
        <w:t>。】</w:t>
      </w:r>
    </w:p>
    <w:p w:rsidR="00583A38" w:rsidRPr="00583A38"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t>【美国上周初请失业金人数下降</w:t>
      </w:r>
      <w:r w:rsidRPr="00583A38">
        <w:rPr>
          <w:rFonts w:ascii="微软雅黑" w:eastAsia="微软雅黑" w:hAnsi="微软雅黑" w:cs="微软雅黑"/>
          <w:color w:val="auto"/>
          <w:spacing w:val="4"/>
          <w:lang w:eastAsia="zh-CN"/>
        </w:rPr>
        <w:t>2.2</w:t>
      </w:r>
      <w:r w:rsidRPr="00583A38">
        <w:rPr>
          <w:rFonts w:ascii="微软雅黑" w:eastAsia="微软雅黑" w:hAnsi="微软雅黑" w:cs="微软雅黑" w:hint="eastAsia"/>
          <w:color w:val="auto"/>
          <w:spacing w:val="4"/>
          <w:lang w:eastAsia="zh-CN"/>
        </w:rPr>
        <w:t>万人至</w:t>
      </w:r>
      <w:r w:rsidRPr="00583A38">
        <w:rPr>
          <w:rFonts w:ascii="微软雅黑" w:eastAsia="微软雅黑" w:hAnsi="微软雅黑" w:cs="微软雅黑"/>
          <w:color w:val="auto"/>
          <w:spacing w:val="4"/>
          <w:lang w:eastAsia="zh-CN"/>
        </w:rPr>
        <w:t>22</w:t>
      </w:r>
      <w:r w:rsidRPr="00583A38">
        <w:rPr>
          <w:rFonts w:ascii="微软雅黑" w:eastAsia="微软雅黑" w:hAnsi="微软雅黑" w:cs="微软雅黑" w:hint="eastAsia"/>
          <w:color w:val="auto"/>
          <w:spacing w:val="4"/>
          <w:lang w:eastAsia="zh-CN"/>
        </w:rPr>
        <w:t>万人，低于预期的</w:t>
      </w:r>
      <w:r w:rsidRPr="00583A38">
        <w:rPr>
          <w:rFonts w:ascii="微软雅黑" w:eastAsia="微软雅黑" w:hAnsi="微软雅黑" w:cs="微软雅黑"/>
          <w:color w:val="auto"/>
          <w:spacing w:val="4"/>
          <w:lang w:eastAsia="zh-CN"/>
        </w:rPr>
        <w:t>23</w:t>
      </w:r>
      <w:r w:rsidRPr="00583A38">
        <w:rPr>
          <w:rFonts w:ascii="微软雅黑" w:eastAsia="微软雅黑" w:hAnsi="微软雅黑" w:cs="微软雅黑" w:hint="eastAsia"/>
          <w:color w:val="auto"/>
          <w:spacing w:val="4"/>
          <w:lang w:eastAsia="zh-CN"/>
        </w:rPr>
        <w:t>万人。前一周续请失业金人数下降</w:t>
      </w:r>
      <w:r w:rsidRPr="00583A38">
        <w:rPr>
          <w:rFonts w:ascii="微软雅黑" w:eastAsia="微软雅黑" w:hAnsi="微软雅黑" w:cs="微软雅黑"/>
          <w:color w:val="auto"/>
          <w:spacing w:val="4"/>
          <w:lang w:eastAsia="zh-CN"/>
        </w:rPr>
        <w:t>5000</w:t>
      </w:r>
      <w:r w:rsidRPr="00583A38">
        <w:rPr>
          <w:rFonts w:ascii="微软雅黑" w:eastAsia="微软雅黑" w:hAnsi="微软雅黑" w:cs="微软雅黑" w:hint="eastAsia"/>
          <w:color w:val="auto"/>
          <w:spacing w:val="4"/>
          <w:lang w:eastAsia="zh-CN"/>
        </w:rPr>
        <w:t>人至</w:t>
      </w:r>
      <w:r w:rsidRPr="00583A38">
        <w:rPr>
          <w:rFonts w:ascii="微软雅黑" w:eastAsia="微软雅黑" w:hAnsi="微软雅黑" w:cs="微软雅黑"/>
          <w:color w:val="auto"/>
          <w:spacing w:val="4"/>
          <w:lang w:eastAsia="zh-CN"/>
        </w:rPr>
        <w:t>187.4</w:t>
      </w:r>
      <w:r w:rsidRPr="00583A38">
        <w:rPr>
          <w:rFonts w:ascii="微软雅黑" w:eastAsia="微软雅黑" w:hAnsi="微软雅黑" w:cs="微软雅黑" w:hint="eastAsia"/>
          <w:color w:val="auto"/>
          <w:spacing w:val="4"/>
          <w:lang w:eastAsia="zh-CN"/>
        </w:rPr>
        <w:t>万人。】</w:t>
      </w:r>
    </w:p>
    <w:p w:rsidR="00583A38" w:rsidRPr="00583A38"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lastRenderedPageBreak/>
        <w:t>【美国</w:t>
      </w:r>
      <w:r w:rsidRPr="00583A38">
        <w:rPr>
          <w:rFonts w:ascii="微软雅黑" w:eastAsia="微软雅黑" w:hAnsi="微软雅黑" w:cs="微软雅黑"/>
          <w:color w:val="auto"/>
          <w:spacing w:val="4"/>
          <w:lang w:eastAsia="zh-CN"/>
        </w:rPr>
        <w:t>12</w:t>
      </w:r>
      <w:r w:rsidRPr="00583A38">
        <w:rPr>
          <w:rFonts w:ascii="微软雅黑" w:eastAsia="微软雅黑" w:hAnsi="微软雅黑" w:cs="微软雅黑" w:hint="eastAsia"/>
          <w:color w:val="auto"/>
          <w:spacing w:val="4"/>
          <w:lang w:eastAsia="zh-CN"/>
        </w:rPr>
        <w:t>月费城联储制造业指数</w:t>
      </w:r>
      <w:r w:rsidRPr="00583A38">
        <w:rPr>
          <w:rFonts w:ascii="微软雅黑" w:eastAsia="微软雅黑" w:hAnsi="微软雅黑" w:cs="微软雅黑"/>
          <w:color w:val="auto"/>
          <w:spacing w:val="4"/>
          <w:lang w:eastAsia="zh-CN"/>
        </w:rPr>
        <w:t>-16.4</w:t>
      </w:r>
      <w:r w:rsidRPr="00583A38">
        <w:rPr>
          <w:rFonts w:ascii="微软雅黑" w:eastAsia="微软雅黑" w:hAnsi="微软雅黑" w:cs="微软雅黑" w:hint="eastAsia"/>
          <w:color w:val="auto"/>
          <w:spacing w:val="4"/>
          <w:lang w:eastAsia="zh-CN"/>
        </w:rPr>
        <w:t>，为</w:t>
      </w:r>
      <w:r w:rsidRPr="00583A38">
        <w:rPr>
          <w:rFonts w:ascii="微软雅黑" w:eastAsia="微软雅黑" w:hAnsi="微软雅黑" w:cs="微软雅黑"/>
          <w:color w:val="auto"/>
          <w:spacing w:val="4"/>
          <w:lang w:eastAsia="zh-CN"/>
        </w:rPr>
        <w:t>2023</w:t>
      </w:r>
      <w:r w:rsidRPr="00583A38">
        <w:rPr>
          <w:rFonts w:ascii="微软雅黑" w:eastAsia="微软雅黑" w:hAnsi="微软雅黑" w:cs="微软雅黑" w:hint="eastAsia"/>
          <w:color w:val="auto"/>
          <w:spacing w:val="4"/>
          <w:lang w:eastAsia="zh-CN"/>
        </w:rPr>
        <w:t>年</w:t>
      </w:r>
      <w:r w:rsidRPr="00583A38">
        <w:rPr>
          <w:rFonts w:ascii="微软雅黑" w:eastAsia="微软雅黑" w:hAnsi="微软雅黑" w:cs="微软雅黑"/>
          <w:color w:val="auto"/>
          <w:spacing w:val="4"/>
          <w:lang w:eastAsia="zh-CN"/>
        </w:rPr>
        <w:t>4</w:t>
      </w:r>
      <w:r w:rsidRPr="00583A38">
        <w:rPr>
          <w:rFonts w:ascii="微软雅黑" w:eastAsia="微软雅黑" w:hAnsi="微软雅黑" w:cs="微软雅黑" w:hint="eastAsia"/>
          <w:color w:val="auto"/>
          <w:spacing w:val="4"/>
          <w:lang w:eastAsia="zh-CN"/>
        </w:rPr>
        <w:t>月以来新低，预期</w:t>
      </w:r>
      <w:r w:rsidRPr="00583A38">
        <w:rPr>
          <w:rFonts w:ascii="微软雅黑" w:eastAsia="微软雅黑" w:hAnsi="微软雅黑" w:cs="微软雅黑"/>
          <w:color w:val="auto"/>
          <w:spacing w:val="4"/>
          <w:lang w:eastAsia="zh-CN"/>
        </w:rPr>
        <w:t>3.0</w:t>
      </w:r>
      <w:r w:rsidRPr="00583A38">
        <w:rPr>
          <w:rFonts w:ascii="微软雅黑" w:eastAsia="微软雅黑" w:hAnsi="微软雅黑" w:cs="微软雅黑" w:hint="eastAsia"/>
          <w:color w:val="auto"/>
          <w:spacing w:val="4"/>
          <w:lang w:eastAsia="zh-CN"/>
        </w:rPr>
        <w:t>，前值</w:t>
      </w:r>
      <w:r w:rsidRPr="00583A38">
        <w:rPr>
          <w:rFonts w:ascii="微软雅黑" w:eastAsia="微软雅黑" w:hAnsi="微软雅黑" w:cs="微软雅黑"/>
          <w:color w:val="auto"/>
          <w:spacing w:val="4"/>
          <w:lang w:eastAsia="zh-CN"/>
        </w:rPr>
        <w:t>-5.5</w:t>
      </w:r>
      <w:r w:rsidRPr="00583A38">
        <w:rPr>
          <w:rFonts w:ascii="微软雅黑" w:eastAsia="微软雅黑" w:hAnsi="微软雅黑" w:cs="微软雅黑" w:hint="eastAsia"/>
          <w:color w:val="auto"/>
          <w:spacing w:val="4"/>
          <w:lang w:eastAsia="zh-CN"/>
        </w:rPr>
        <w:t>。】</w:t>
      </w:r>
    </w:p>
    <w:p w:rsidR="00583A38" w:rsidRPr="00583A38"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t>【英国央行维持基准利率在</w:t>
      </w:r>
      <w:r w:rsidRPr="00583A38">
        <w:rPr>
          <w:rFonts w:ascii="微软雅黑" w:eastAsia="微软雅黑" w:hAnsi="微软雅黑" w:cs="微软雅黑"/>
          <w:color w:val="auto"/>
          <w:spacing w:val="4"/>
          <w:lang w:eastAsia="zh-CN"/>
        </w:rPr>
        <w:t>4.75%</w:t>
      </w:r>
      <w:r w:rsidRPr="00583A38">
        <w:rPr>
          <w:rFonts w:ascii="微软雅黑" w:eastAsia="微软雅黑" w:hAnsi="微软雅黑" w:cs="微软雅黑" w:hint="eastAsia"/>
          <w:color w:val="auto"/>
          <w:spacing w:val="4"/>
          <w:lang w:eastAsia="zh-CN"/>
        </w:rPr>
        <w:t>不变，并暗示将在</w:t>
      </w:r>
      <w:r w:rsidRPr="00583A38">
        <w:rPr>
          <w:rFonts w:ascii="微软雅黑" w:eastAsia="微软雅黑" w:hAnsi="微软雅黑" w:cs="微软雅黑"/>
          <w:color w:val="auto"/>
          <w:spacing w:val="4"/>
          <w:lang w:eastAsia="zh-CN"/>
        </w:rPr>
        <w:t>2025</w:t>
      </w:r>
      <w:r w:rsidRPr="00583A38">
        <w:rPr>
          <w:rFonts w:ascii="微软雅黑" w:eastAsia="微软雅黑" w:hAnsi="微软雅黑" w:cs="微软雅黑" w:hint="eastAsia"/>
          <w:color w:val="auto"/>
          <w:spacing w:val="4"/>
          <w:lang w:eastAsia="zh-CN"/>
        </w:rPr>
        <w:t>年继续逐步放松货币政策。此次政策会议有</w:t>
      </w:r>
      <w:r w:rsidRPr="00583A38">
        <w:rPr>
          <w:rFonts w:ascii="微软雅黑" w:eastAsia="微软雅黑" w:hAnsi="微软雅黑" w:cs="微软雅黑"/>
          <w:color w:val="auto"/>
          <w:spacing w:val="4"/>
          <w:lang w:eastAsia="zh-CN"/>
        </w:rPr>
        <w:t>3</w:t>
      </w:r>
      <w:r w:rsidRPr="00583A38">
        <w:rPr>
          <w:rFonts w:ascii="微软雅黑" w:eastAsia="微软雅黑" w:hAnsi="微软雅黑" w:cs="微软雅黑" w:hint="eastAsia"/>
          <w:color w:val="auto"/>
          <w:spacing w:val="4"/>
          <w:lang w:eastAsia="zh-CN"/>
        </w:rPr>
        <w:t>位委员支持降息，而市场此前预期只会有</w:t>
      </w:r>
      <w:r w:rsidRPr="00583A38">
        <w:rPr>
          <w:rFonts w:ascii="微软雅黑" w:eastAsia="微软雅黑" w:hAnsi="微软雅黑" w:cs="微软雅黑"/>
          <w:color w:val="auto"/>
          <w:spacing w:val="4"/>
          <w:lang w:eastAsia="zh-CN"/>
        </w:rPr>
        <w:t>1</w:t>
      </w:r>
      <w:r w:rsidRPr="00583A38">
        <w:rPr>
          <w:rFonts w:ascii="微软雅黑" w:eastAsia="微软雅黑" w:hAnsi="微软雅黑" w:cs="微软雅黑" w:hint="eastAsia"/>
          <w:color w:val="auto"/>
          <w:spacing w:val="4"/>
          <w:lang w:eastAsia="zh-CN"/>
        </w:rPr>
        <w:t>人，加上英国央行行长贝利的鸽派言论，货币市场加大对</w:t>
      </w:r>
      <w:r w:rsidRPr="00583A38">
        <w:rPr>
          <w:rFonts w:ascii="微软雅黑" w:eastAsia="微软雅黑" w:hAnsi="微软雅黑" w:cs="微软雅黑"/>
          <w:color w:val="auto"/>
          <w:spacing w:val="4"/>
          <w:lang w:eastAsia="zh-CN"/>
        </w:rPr>
        <w:t>2025</w:t>
      </w:r>
      <w:r w:rsidRPr="00583A38">
        <w:rPr>
          <w:rFonts w:ascii="微软雅黑" w:eastAsia="微软雅黑" w:hAnsi="微软雅黑" w:cs="微软雅黑" w:hint="eastAsia"/>
          <w:color w:val="auto"/>
          <w:spacing w:val="4"/>
          <w:lang w:eastAsia="zh-CN"/>
        </w:rPr>
        <w:t>年降息的押注。】</w:t>
      </w:r>
    </w:p>
    <w:p w:rsidR="00583A38" w:rsidRPr="00583A38"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t>【日本央行将政策利率维持在</w:t>
      </w:r>
      <w:r w:rsidRPr="00583A38">
        <w:rPr>
          <w:rFonts w:ascii="微软雅黑" w:eastAsia="微软雅黑" w:hAnsi="微软雅黑" w:cs="微软雅黑"/>
          <w:color w:val="auto"/>
          <w:spacing w:val="4"/>
          <w:lang w:eastAsia="zh-CN"/>
        </w:rPr>
        <w:t>0.25%</w:t>
      </w:r>
      <w:r w:rsidRPr="00583A38">
        <w:rPr>
          <w:rFonts w:ascii="微软雅黑" w:eastAsia="微软雅黑" w:hAnsi="微软雅黑" w:cs="微软雅黑" w:hint="eastAsia"/>
          <w:color w:val="auto"/>
          <w:spacing w:val="4"/>
          <w:lang w:eastAsia="zh-CN"/>
        </w:rPr>
        <w:t>不变，连续第三次暂停加息。日本央行行长植田和男表示，经济、通胀仍有较高的不确定性，希望在进一步加息前看到更多确定性，将评估明年“春斗”和特朗普政策对通胀的影响。】</w:t>
      </w:r>
    </w:p>
    <w:p w:rsidR="00DE289B" w:rsidRDefault="00583A38" w:rsidP="00583A38">
      <w:pPr>
        <w:spacing w:before="102" w:line="257" w:lineRule="auto"/>
        <w:ind w:right="646" w:firstLineChars="200" w:firstLine="436"/>
        <w:jc w:val="both"/>
        <w:rPr>
          <w:rFonts w:ascii="微软雅黑" w:eastAsia="微软雅黑" w:hAnsi="微软雅黑" w:cs="微软雅黑"/>
          <w:color w:val="auto"/>
          <w:spacing w:val="4"/>
          <w:lang w:eastAsia="zh-CN"/>
        </w:rPr>
      </w:pPr>
      <w:r w:rsidRPr="00583A38">
        <w:rPr>
          <w:rFonts w:ascii="微软雅黑" w:eastAsia="微软雅黑" w:hAnsi="微软雅黑" w:cs="微软雅黑" w:hint="eastAsia"/>
          <w:color w:val="auto"/>
          <w:spacing w:val="4"/>
          <w:lang w:eastAsia="zh-CN"/>
        </w:rPr>
        <w:t>【日本</w:t>
      </w:r>
      <w:r w:rsidRPr="00583A38">
        <w:rPr>
          <w:rFonts w:ascii="微软雅黑" w:eastAsia="微软雅黑" w:hAnsi="微软雅黑" w:cs="微软雅黑"/>
          <w:color w:val="auto"/>
          <w:spacing w:val="4"/>
          <w:lang w:eastAsia="zh-CN"/>
        </w:rPr>
        <w:t>11</w:t>
      </w:r>
      <w:r w:rsidRPr="00583A38">
        <w:rPr>
          <w:rFonts w:ascii="微软雅黑" w:eastAsia="微软雅黑" w:hAnsi="微软雅黑" w:cs="微软雅黑" w:hint="eastAsia"/>
          <w:color w:val="auto"/>
          <w:spacing w:val="4"/>
          <w:lang w:eastAsia="zh-CN"/>
        </w:rPr>
        <w:t>月核心</w:t>
      </w:r>
      <w:r w:rsidRPr="00583A38">
        <w:rPr>
          <w:rFonts w:ascii="微软雅黑" w:eastAsia="微软雅黑" w:hAnsi="微软雅黑" w:cs="微软雅黑"/>
          <w:color w:val="auto"/>
          <w:spacing w:val="4"/>
          <w:lang w:eastAsia="zh-CN"/>
        </w:rPr>
        <w:t>CPI</w:t>
      </w:r>
      <w:r w:rsidRPr="00583A38">
        <w:rPr>
          <w:rFonts w:ascii="微软雅黑" w:eastAsia="微软雅黑" w:hAnsi="微软雅黑" w:cs="微软雅黑" w:hint="eastAsia"/>
          <w:color w:val="auto"/>
          <w:spacing w:val="4"/>
          <w:lang w:eastAsia="zh-CN"/>
        </w:rPr>
        <w:t>同比升</w:t>
      </w:r>
      <w:r w:rsidRPr="00583A38">
        <w:rPr>
          <w:rFonts w:ascii="微软雅黑" w:eastAsia="微软雅黑" w:hAnsi="微软雅黑" w:cs="微软雅黑"/>
          <w:color w:val="auto"/>
          <w:spacing w:val="4"/>
          <w:lang w:eastAsia="zh-CN"/>
        </w:rPr>
        <w:t>2.7%</w:t>
      </w:r>
      <w:r w:rsidRPr="00583A38">
        <w:rPr>
          <w:rFonts w:ascii="微软雅黑" w:eastAsia="微软雅黑" w:hAnsi="微软雅黑" w:cs="微软雅黑" w:hint="eastAsia"/>
          <w:color w:val="auto"/>
          <w:spacing w:val="4"/>
          <w:lang w:eastAsia="zh-CN"/>
        </w:rPr>
        <w:t>，预期升</w:t>
      </w:r>
      <w:r w:rsidRPr="00583A38">
        <w:rPr>
          <w:rFonts w:ascii="微软雅黑" w:eastAsia="微软雅黑" w:hAnsi="微软雅黑" w:cs="微软雅黑"/>
          <w:color w:val="auto"/>
          <w:spacing w:val="4"/>
          <w:lang w:eastAsia="zh-CN"/>
        </w:rPr>
        <w:t>2.6%</w:t>
      </w:r>
      <w:r w:rsidRPr="00583A38">
        <w:rPr>
          <w:rFonts w:ascii="微软雅黑" w:eastAsia="微软雅黑" w:hAnsi="微软雅黑" w:cs="微软雅黑" w:hint="eastAsia"/>
          <w:color w:val="auto"/>
          <w:spacing w:val="4"/>
          <w:lang w:eastAsia="zh-CN"/>
        </w:rPr>
        <w:t>，前值升</w:t>
      </w:r>
      <w:r w:rsidRPr="00583A38">
        <w:rPr>
          <w:rFonts w:ascii="微软雅黑" w:eastAsia="微软雅黑" w:hAnsi="微软雅黑" w:cs="微软雅黑"/>
          <w:color w:val="auto"/>
          <w:spacing w:val="4"/>
          <w:lang w:eastAsia="zh-CN"/>
        </w:rPr>
        <w:t>2.3%</w:t>
      </w:r>
      <w:r w:rsidRPr="00583A38">
        <w:rPr>
          <w:rFonts w:ascii="微软雅黑" w:eastAsia="微软雅黑" w:hAnsi="微软雅黑" w:cs="微软雅黑" w:hint="eastAsia"/>
          <w:color w:val="auto"/>
          <w:spacing w:val="4"/>
          <w:lang w:eastAsia="zh-CN"/>
        </w:rPr>
        <w:t>。日本</w:t>
      </w:r>
      <w:r w:rsidRPr="00583A38">
        <w:rPr>
          <w:rFonts w:ascii="微软雅黑" w:eastAsia="微软雅黑" w:hAnsi="微软雅黑" w:cs="微软雅黑"/>
          <w:color w:val="auto"/>
          <w:spacing w:val="4"/>
          <w:lang w:eastAsia="zh-CN"/>
        </w:rPr>
        <w:t>11</w:t>
      </w:r>
      <w:r w:rsidRPr="00583A38">
        <w:rPr>
          <w:rFonts w:ascii="微软雅黑" w:eastAsia="微软雅黑" w:hAnsi="微软雅黑" w:cs="微软雅黑" w:hint="eastAsia"/>
          <w:color w:val="auto"/>
          <w:spacing w:val="4"/>
          <w:lang w:eastAsia="zh-CN"/>
        </w:rPr>
        <w:t>月全国</w:t>
      </w:r>
      <w:r w:rsidRPr="00583A38">
        <w:rPr>
          <w:rFonts w:ascii="微软雅黑" w:eastAsia="微软雅黑" w:hAnsi="微软雅黑" w:cs="微软雅黑"/>
          <w:color w:val="auto"/>
          <w:spacing w:val="4"/>
          <w:lang w:eastAsia="zh-CN"/>
        </w:rPr>
        <w:t>CPI</w:t>
      </w:r>
      <w:r w:rsidRPr="00583A38">
        <w:rPr>
          <w:rFonts w:ascii="微软雅黑" w:eastAsia="微软雅黑" w:hAnsi="微软雅黑" w:cs="微软雅黑" w:hint="eastAsia"/>
          <w:color w:val="auto"/>
          <w:spacing w:val="4"/>
          <w:lang w:eastAsia="zh-CN"/>
        </w:rPr>
        <w:t>同比升</w:t>
      </w:r>
      <w:r w:rsidRPr="00583A38">
        <w:rPr>
          <w:rFonts w:ascii="微软雅黑" w:eastAsia="微软雅黑" w:hAnsi="微软雅黑" w:cs="微软雅黑"/>
          <w:color w:val="auto"/>
          <w:spacing w:val="4"/>
          <w:lang w:eastAsia="zh-CN"/>
        </w:rPr>
        <w:t>2.9%</w:t>
      </w:r>
      <w:r w:rsidRPr="00583A38">
        <w:rPr>
          <w:rFonts w:ascii="微软雅黑" w:eastAsia="微软雅黑" w:hAnsi="微软雅黑" w:cs="微软雅黑" w:hint="eastAsia"/>
          <w:color w:val="auto"/>
          <w:spacing w:val="4"/>
          <w:lang w:eastAsia="zh-CN"/>
        </w:rPr>
        <w:t>，预期升</w:t>
      </w:r>
      <w:r w:rsidRPr="00583A38">
        <w:rPr>
          <w:rFonts w:ascii="微软雅黑" w:eastAsia="微软雅黑" w:hAnsi="微软雅黑" w:cs="微软雅黑"/>
          <w:color w:val="auto"/>
          <w:spacing w:val="4"/>
          <w:lang w:eastAsia="zh-CN"/>
        </w:rPr>
        <w:t>2.9%</w:t>
      </w:r>
      <w:r w:rsidRPr="00583A38">
        <w:rPr>
          <w:rFonts w:ascii="微软雅黑" w:eastAsia="微软雅黑" w:hAnsi="微软雅黑" w:cs="微软雅黑" w:hint="eastAsia"/>
          <w:color w:val="auto"/>
          <w:spacing w:val="4"/>
          <w:lang w:eastAsia="zh-CN"/>
        </w:rPr>
        <w:t>，前值升</w:t>
      </w:r>
      <w:r w:rsidRPr="00583A38">
        <w:rPr>
          <w:rFonts w:ascii="微软雅黑" w:eastAsia="微软雅黑" w:hAnsi="微软雅黑" w:cs="微软雅黑"/>
          <w:color w:val="auto"/>
          <w:spacing w:val="4"/>
          <w:lang w:eastAsia="zh-CN"/>
        </w:rPr>
        <w:t>2.3%</w:t>
      </w:r>
      <w:r w:rsidRPr="00583A38">
        <w:rPr>
          <w:rFonts w:ascii="微软雅黑" w:eastAsia="微软雅黑" w:hAnsi="微软雅黑" w:cs="微软雅黑" w:hint="eastAsia"/>
          <w:color w:val="auto"/>
          <w:spacing w:val="4"/>
          <w:lang w:eastAsia="zh-CN"/>
        </w:rPr>
        <w:t>；环比升</w:t>
      </w:r>
      <w:r w:rsidRPr="00583A38">
        <w:rPr>
          <w:rFonts w:ascii="微软雅黑" w:eastAsia="微软雅黑" w:hAnsi="微软雅黑" w:cs="微软雅黑"/>
          <w:color w:val="auto"/>
          <w:spacing w:val="4"/>
          <w:lang w:eastAsia="zh-CN"/>
        </w:rPr>
        <w:t>0.4%</w:t>
      </w:r>
      <w:r w:rsidRPr="00583A38">
        <w:rPr>
          <w:rFonts w:ascii="微软雅黑" w:eastAsia="微软雅黑" w:hAnsi="微软雅黑" w:cs="微软雅黑" w:hint="eastAsia"/>
          <w:color w:val="auto"/>
          <w:spacing w:val="4"/>
          <w:lang w:eastAsia="zh-CN"/>
        </w:rPr>
        <w:t>，前值升</w:t>
      </w:r>
      <w:r w:rsidRPr="00583A38">
        <w:rPr>
          <w:rFonts w:ascii="微软雅黑" w:eastAsia="微软雅黑" w:hAnsi="微软雅黑" w:cs="微软雅黑"/>
          <w:color w:val="auto"/>
          <w:spacing w:val="4"/>
          <w:lang w:eastAsia="zh-CN"/>
        </w:rPr>
        <w:t>0.6%</w:t>
      </w:r>
      <w:r w:rsidRPr="00583A38">
        <w:rPr>
          <w:rFonts w:ascii="微软雅黑" w:eastAsia="微软雅黑" w:hAnsi="微软雅黑" w:cs="微软雅黑" w:hint="eastAsia"/>
          <w:color w:val="auto"/>
          <w:spacing w:val="4"/>
          <w:lang w:eastAsia="zh-CN"/>
        </w:rPr>
        <w:t>。】</w:t>
      </w:r>
    </w:p>
    <w:p w:rsidR="00DB08A6" w:rsidRDefault="00DB08A6" w:rsidP="002F37CD">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583A38" w:rsidTr="002731E2">
        <w:trPr>
          <w:trHeight w:val="618"/>
        </w:trPr>
        <w:tc>
          <w:tcPr>
            <w:tcW w:w="1731" w:type="dxa"/>
            <w:tcBorders>
              <w:top w:val="nil"/>
              <w:left w:val="nil"/>
              <w:bottom w:val="nil"/>
              <w:right w:val="nil"/>
            </w:tcBorders>
            <w:shd w:val="clear" w:color="auto" w:fill="auto"/>
          </w:tcPr>
          <w:p w:rsidR="00583A38" w:rsidRDefault="00583A38" w:rsidP="00583A38">
            <w:pPr>
              <w:pStyle w:val="TableText"/>
              <w:ind w:firstLine="392"/>
              <w:rPr>
                <w:lang w:eastAsia="zh-CN"/>
              </w:rPr>
            </w:pPr>
            <w:r>
              <w:t>2024/12/20</w:t>
            </w:r>
          </w:p>
        </w:tc>
        <w:tc>
          <w:tcPr>
            <w:tcW w:w="1134" w:type="dxa"/>
            <w:tcBorders>
              <w:left w:val="nil"/>
            </w:tcBorders>
            <w:shd w:val="clear" w:color="auto" w:fill="auto"/>
          </w:tcPr>
          <w:p w:rsidR="00583A38" w:rsidRPr="00853C1D" w:rsidRDefault="00583A38" w:rsidP="00583A38">
            <w:pPr>
              <w:pStyle w:val="TableText"/>
              <w:ind w:firstLine="392"/>
              <w:rPr>
                <w:lang w:eastAsia="zh-CN"/>
              </w:rPr>
            </w:pPr>
            <w:r>
              <w:rPr>
                <w:lang w:eastAsia="zh-CN"/>
              </w:rPr>
              <w:t>15</w:t>
            </w:r>
            <w:r>
              <w:rPr>
                <w:rFonts w:hint="eastAsia"/>
                <w:lang w:eastAsia="zh-CN"/>
              </w:rPr>
              <w:t>:</w:t>
            </w:r>
            <w:r>
              <w:rPr>
                <w:lang w:eastAsia="zh-CN"/>
              </w:rPr>
              <w:t>00</w:t>
            </w:r>
          </w:p>
        </w:tc>
        <w:tc>
          <w:tcPr>
            <w:tcW w:w="6524" w:type="dxa"/>
            <w:shd w:val="clear" w:color="auto" w:fill="auto"/>
          </w:tcPr>
          <w:p w:rsidR="00583A38" w:rsidRPr="00583A38" w:rsidRDefault="00583A38" w:rsidP="00583A38">
            <w:pPr>
              <w:pStyle w:val="TableText"/>
              <w:ind w:firstLine="392"/>
              <w:rPr>
                <w:b w:val="0"/>
                <w:lang w:eastAsia="zh-CN"/>
              </w:rPr>
            </w:pPr>
            <w:r w:rsidRPr="00583A38">
              <w:rPr>
                <w:rFonts w:hint="eastAsia"/>
                <w:b w:val="0"/>
                <w:lang w:eastAsia="zh-CN"/>
              </w:rPr>
              <w:t>德国</w:t>
            </w:r>
            <w:r w:rsidRPr="00583A38">
              <w:rPr>
                <w:b w:val="0"/>
                <w:lang w:eastAsia="zh-CN"/>
              </w:rPr>
              <w:t>11</w:t>
            </w:r>
            <w:r w:rsidRPr="00583A38">
              <w:rPr>
                <w:rFonts w:hint="eastAsia"/>
                <w:b w:val="0"/>
                <w:lang w:eastAsia="zh-CN"/>
              </w:rPr>
              <w:t>月</w:t>
            </w:r>
            <w:r w:rsidRPr="00583A38">
              <w:rPr>
                <w:b w:val="0"/>
                <w:lang w:eastAsia="zh-CN"/>
              </w:rPr>
              <w:t>PPI</w:t>
            </w:r>
            <w:r w:rsidRPr="00583A38">
              <w:rPr>
                <w:rFonts w:hint="eastAsia"/>
                <w:b w:val="0"/>
                <w:lang w:eastAsia="zh-CN"/>
              </w:rPr>
              <w:t>月率</w:t>
            </w:r>
            <w:r w:rsidRPr="00583A38">
              <w:rPr>
                <w:b w:val="0"/>
                <w:lang w:eastAsia="zh-CN"/>
              </w:rPr>
              <w:tab/>
            </w:r>
          </w:p>
        </w:tc>
      </w:tr>
      <w:tr w:rsidR="00583A38" w:rsidTr="00214344">
        <w:trPr>
          <w:trHeight w:val="618"/>
        </w:trPr>
        <w:tc>
          <w:tcPr>
            <w:tcW w:w="1731" w:type="dxa"/>
            <w:tcBorders>
              <w:top w:val="nil"/>
              <w:left w:val="nil"/>
              <w:bottom w:val="nil"/>
              <w:right w:val="nil"/>
            </w:tcBorders>
            <w:shd w:val="clear" w:color="auto" w:fill="D3EAFF"/>
          </w:tcPr>
          <w:p w:rsidR="00583A38" w:rsidRDefault="00583A38" w:rsidP="00583A38">
            <w:pPr>
              <w:pStyle w:val="TableText"/>
              <w:ind w:firstLine="392"/>
              <w:rPr>
                <w:lang w:eastAsia="zh-CN"/>
              </w:rPr>
            </w:pPr>
            <w:r>
              <w:t>2024/12/20</w:t>
            </w:r>
          </w:p>
        </w:tc>
        <w:tc>
          <w:tcPr>
            <w:tcW w:w="1134" w:type="dxa"/>
            <w:tcBorders>
              <w:left w:val="nil"/>
            </w:tcBorders>
            <w:shd w:val="clear" w:color="auto" w:fill="D3EAFF"/>
          </w:tcPr>
          <w:p w:rsidR="00583A38" w:rsidRPr="00853C1D" w:rsidRDefault="00583A38" w:rsidP="00583A38">
            <w:pPr>
              <w:pStyle w:val="TableText"/>
              <w:ind w:firstLine="392"/>
              <w:rPr>
                <w:lang w:eastAsia="zh-CN"/>
              </w:rPr>
            </w:pPr>
            <w:r>
              <w:rPr>
                <w:lang w:eastAsia="zh-CN"/>
              </w:rPr>
              <w:t>15:00</w:t>
            </w:r>
          </w:p>
        </w:tc>
        <w:tc>
          <w:tcPr>
            <w:tcW w:w="6524" w:type="dxa"/>
            <w:shd w:val="clear" w:color="auto" w:fill="D3EAFF"/>
          </w:tcPr>
          <w:p w:rsidR="00583A38" w:rsidRPr="00583A38" w:rsidRDefault="00583A38" w:rsidP="00583A38">
            <w:pPr>
              <w:pStyle w:val="TableText"/>
              <w:ind w:firstLine="392"/>
              <w:rPr>
                <w:b w:val="0"/>
                <w:lang w:eastAsia="zh-CN"/>
              </w:rPr>
            </w:pPr>
            <w:r w:rsidRPr="00583A38">
              <w:rPr>
                <w:rFonts w:hint="eastAsia"/>
                <w:b w:val="0"/>
                <w:lang w:eastAsia="zh-CN"/>
              </w:rPr>
              <w:t>英国</w:t>
            </w:r>
            <w:r w:rsidRPr="00583A38">
              <w:rPr>
                <w:b w:val="0"/>
                <w:lang w:eastAsia="zh-CN"/>
              </w:rPr>
              <w:t>11</w:t>
            </w:r>
            <w:r w:rsidRPr="00583A38">
              <w:rPr>
                <w:rFonts w:hint="eastAsia"/>
                <w:b w:val="0"/>
                <w:lang w:eastAsia="zh-CN"/>
              </w:rPr>
              <w:t>月季调后零售销售月率</w:t>
            </w:r>
          </w:p>
        </w:tc>
      </w:tr>
      <w:tr w:rsidR="00583A38" w:rsidTr="00214344">
        <w:trPr>
          <w:trHeight w:val="618"/>
        </w:trPr>
        <w:tc>
          <w:tcPr>
            <w:tcW w:w="1731" w:type="dxa"/>
            <w:tcBorders>
              <w:top w:val="nil"/>
            </w:tcBorders>
            <w:shd w:val="clear" w:color="auto" w:fill="auto"/>
          </w:tcPr>
          <w:p w:rsidR="00583A38" w:rsidRPr="00853C1D" w:rsidRDefault="00583A38" w:rsidP="00583A38">
            <w:pPr>
              <w:pStyle w:val="TableText"/>
              <w:ind w:firstLine="392"/>
              <w:rPr>
                <w:lang w:eastAsia="zh-CN"/>
              </w:rPr>
            </w:pPr>
            <w:r>
              <w:t>2024/12/20</w:t>
            </w:r>
          </w:p>
        </w:tc>
        <w:tc>
          <w:tcPr>
            <w:tcW w:w="1134" w:type="dxa"/>
            <w:shd w:val="clear" w:color="auto" w:fill="auto"/>
          </w:tcPr>
          <w:p w:rsidR="00583A38" w:rsidRPr="00853C1D" w:rsidRDefault="00583A38" w:rsidP="00583A38">
            <w:pPr>
              <w:pStyle w:val="TableText"/>
              <w:ind w:firstLine="392"/>
              <w:rPr>
                <w:lang w:eastAsia="zh-CN"/>
              </w:rPr>
            </w:pPr>
            <w:r>
              <w:rPr>
                <w:lang w:eastAsia="zh-CN"/>
              </w:rPr>
              <w:t>21</w:t>
            </w:r>
            <w:r>
              <w:rPr>
                <w:rFonts w:hint="eastAsia"/>
                <w:lang w:eastAsia="zh-CN"/>
              </w:rPr>
              <w:t>:</w:t>
            </w:r>
            <w:r>
              <w:rPr>
                <w:lang w:eastAsia="zh-CN"/>
              </w:rPr>
              <w:t>30</w:t>
            </w:r>
          </w:p>
        </w:tc>
        <w:tc>
          <w:tcPr>
            <w:tcW w:w="6524" w:type="dxa"/>
            <w:shd w:val="clear" w:color="auto" w:fill="auto"/>
          </w:tcPr>
          <w:p w:rsidR="00583A38" w:rsidRPr="00583A38" w:rsidRDefault="00583A38" w:rsidP="00583A38">
            <w:pPr>
              <w:pStyle w:val="TableText"/>
              <w:ind w:firstLine="392"/>
              <w:rPr>
                <w:b w:val="0"/>
                <w:lang w:eastAsia="zh-CN"/>
              </w:rPr>
            </w:pPr>
            <w:r w:rsidRPr="00583A38">
              <w:rPr>
                <w:rFonts w:hint="eastAsia"/>
                <w:b w:val="0"/>
                <w:lang w:eastAsia="zh-CN"/>
              </w:rPr>
              <w:t>美国</w:t>
            </w:r>
            <w:r w:rsidRPr="00583A38">
              <w:rPr>
                <w:b w:val="0"/>
                <w:lang w:eastAsia="zh-CN"/>
              </w:rPr>
              <w:t>11</w:t>
            </w:r>
            <w:r w:rsidRPr="00583A38">
              <w:rPr>
                <w:rFonts w:hint="eastAsia"/>
                <w:b w:val="0"/>
                <w:lang w:eastAsia="zh-CN"/>
              </w:rPr>
              <w:t>月核心</w:t>
            </w:r>
            <w:r w:rsidRPr="00583A38">
              <w:rPr>
                <w:b w:val="0"/>
                <w:lang w:eastAsia="zh-CN"/>
              </w:rPr>
              <w:t>PCE</w:t>
            </w:r>
            <w:r w:rsidRPr="00583A38">
              <w:rPr>
                <w:rFonts w:hint="eastAsia"/>
                <w:b w:val="0"/>
                <w:lang w:eastAsia="zh-CN"/>
              </w:rPr>
              <w:t>物价指数年率</w:t>
            </w:r>
          </w:p>
        </w:tc>
      </w:tr>
      <w:tr w:rsidR="00583A38" w:rsidTr="00214344">
        <w:trPr>
          <w:trHeight w:val="618"/>
        </w:trPr>
        <w:tc>
          <w:tcPr>
            <w:tcW w:w="1731" w:type="dxa"/>
            <w:shd w:val="clear" w:color="auto" w:fill="D3EAFF"/>
          </w:tcPr>
          <w:p w:rsidR="00583A38" w:rsidRDefault="00583A38" w:rsidP="00583A38">
            <w:pPr>
              <w:pStyle w:val="TableText"/>
              <w:ind w:firstLine="392"/>
              <w:rPr>
                <w:lang w:eastAsia="zh-CN"/>
              </w:rPr>
            </w:pPr>
            <w:r>
              <w:t>2024/12/20</w:t>
            </w:r>
          </w:p>
        </w:tc>
        <w:tc>
          <w:tcPr>
            <w:tcW w:w="1134" w:type="dxa"/>
            <w:shd w:val="clear" w:color="auto" w:fill="D3EAFF"/>
          </w:tcPr>
          <w:p w:rsidR="00583A38" w:rsidRDefault="00583A38" w:rsidP="00583A38">
            <w:pPr>
              <w:pStyle w:val="TableText"/>
              <w:ind w:firstLine="392"/>
              <w:rPr>
                <w:b w:val="0"/>
                <w:bCs w:val="0"/>
                <w:lang w:eastAsia="zh-CN"/>
              </w:rPr>
            </w:pPr>
            <w:r>
              <w:rPr>
                <w:lang w:eastAsia="zh-CN"/>
              </w:rPr>
              <w:t>21</w:t>
            </w:r>
            <w:r>
              <w:rPr>
                <w:rFonts w:hint="eastAsia"/>
                <w:lang w:eastAsia="zh-CN"/>
              </w:rPr>
              <w:t>:</w:t>
            </w:r>
            <w:r>
              <w:rPr>
                <w:lang w:eastAsia="zh-CN"/>
              </w:rPr>
              <w:t>30</w:t>
            </w:r>
          </w:p>
        </w:tc>
        <w:tc>
          <w:tcPr>
            <w:tcW w:w="6524" w:type="dxa"/>
            <w:shd w:val="clear" w:color="auto" w:fill="D3EAFF"/>
          </w:tcPr>
          <w:p w:rsidR="00583A38" w:rsidRPr="00583A38" w:rsidRDefault="00583A38" w:rsidP="00583A38">
            <w:pPr>
              <w:pStyle w:val="TableText"/>
              <w:ind w:firstLine="392"/>
              <w:rPr>
                <w:b w:val="0"/>
                <w:lang w:eastAsia="zh-CN"/>
              </w:rPr>
            </w:pPr>
            <w:r w:rsidRPr="00583A38">
              <w:rPr>
                <w:rFonts w:hint="eastAsia"/>
                <w:b w:val="0"/>
                <w:lang w:eastAsia="zh-CN"/>
              </w:rPr>
              <w:t>美国</w:t>
            </w:r>
            <w:r w:rsidRPr="00583A38">
              <w:rPr>
                <w:b w:val="0"/>
                <w:lang w:eastAsia="zh-CN"/>
              </w:rPr>
              <w:t>11</w:t>
            </w:r>
            <w:r w:rsidRPr="00583A38">
              <w:rPr>
                <w:rFonts w:hint="eastAsia"/>
                <w:b w:val="0"/>
                <w:lang w:eastAsia="zh-CN"/>
              </w:rPr>
              <w:t>月个人支出月率</w:t>
            </w:r>
          </w:p>
        </w:tc>
      </w:tr>
      <w:tr w:rsidR="00583A38" w:rsidTr="005D2A13">
        <w:trPr>
          <w:trHeight w:val="618"/>
        </w:trPr>
        <w:tc>
          <w:tcPr>
            <w:tcW w:w="1731" w:type="dxa"/>
            <w:shd w:val="clear" w:color="auto" w:fill="FFFFFF" w:themeFill="background1"/>
          </w:tcPr>
          <w:p w:rsidR="00583A38" w:rsidRDefault="00583A38" w:rsidP="00583A38">
            <w:pPr>
              <w:pStyle w:val="TableText"/>
              <w:ind w:firstLine="392"/>
            </w:pPr>
            <w:r>
              <w:t>2024/12/20</w:t>
            </w:r>
          </w:p>
        </w:tc>
        <w:tc>
          <w:tcPr>
            <w:tcW w:w="1134" w:type="dxa"/>
            <w:shd w:val="clear" w:color="auto" w:fill="FFFFFF" w:themeFill="background1"/>
          </w:tcPr>
          <w:p w:rsidR="00583A38" w:rsidRDefault="00583A38" w:rsidP="00583A38">
            <w:pPr>
              <w:pStyle w:val="TableText"/>
              <w:ind w:firstLine="392"/>
              <w:rPr>
                <w:lang w:eastAsia="zh-CN"/>
              </w:rPr>
            </w:pPr>
            <w:r>
              <w:rPr>
                <w:lang w:eastAsia="zh-CN"/>
              </w:rPr>
              <w:t>23</w:t>
            </w:r>
            <w:r>
              <w:rPr>
                <w:rFonts w:hint="eastAsia"/>
                <w:lang w:eastAsia="zh-CN"/>
              </w:rPr>
              <w:t>:</w:t>
            </w:r>
            <w:r>
              <w:rPr>
                <w:lang w:eastAsia="zh-CN"/>
              </w:rPr>
              <w:t>00</w:t>
            </w:r>
          </w:p>
        </w:tc>
        <w:tc>
          <w:tcPr>
            <w:tcW w:w="6524" w:type="dxa"/>
            <w:shd w:val="clear" w:color="auto" w:fill="FFFFFF" w:themeFill="background1"/>
          </w:tcPr>
          <w:p w:rsidR="00583A38" w:rsidRPr="00583A38" w:rsidRDefault="00583A38" w:rsidP="00583A38">
            <w:pPr>
              <w:pStyle w:val="TableText"/>
              <w:ind w:firstLine="392"/>
              <w:rPr>
                <w:b w:val="0"/>
                <w:lang w:eastAsia="zh-CN"/>
              </w:rPr>
            </w:pPr>
            <w:r w:rsidRPr="00583A38">
              <w:rPr>
                <w:rFonts w:hint="eastAsia"/>
                <w:b w:val="0"/>
                <w:lang w:eastAsia="zh-CN"/>
              </w:rPr>
              <w:t>欧元区</w:t>
            </w:r>
            <w:r w:rsidRPr="00583A38">
              <w:rPr>
                <w:b w:val="0"/>
                <w:lang w:eastAsia="zh-CN"/>
              </w:rPr>
              <w:t>12</w:t>
            </w:r>
            <w:r w:rsidRPr="00583A38">
              <w:rPr>
                <w:rFonts w:hint="eastAsia"/>
                <w:b w:val="0"/>
                <w:lang w:eastAsia="zh-CN"/>
              </w:rPr>
              <w:t>月消费者信心指数初值</w:t>
            </w:r>
          </w:p>
        </w:tc>
      </w:tr>
      <w:tr w:rsidR="00583A38" w:rsidTr="006B4BE7">
        <w:trPr>
          <w:trHeight w:val="618"/>
        </w:trPr>
        <w:tc>
          <w:tcPr>
            <w:tcW w:w="1731" w:type="dxa"/>
            <w:shd w:val="clear" w:color="auto" w:fill="D3EAFF"/>
          </w:tcPr>
          <w:p w:rsidR="00583A38" w:rsidRDefault="00583A38" w:rsidP="00583A38">
            <w:pPr>
              <w:pStyle w:val="TableText"/>
              <w:ind w:firstLine="392"/>
              <w:rPr>
                <w:lang w:eastAsia="zh-CN"/>
              </w:rPr>
            </w:pPr>
            <w:r>
              <w:t>2024/12/20</w:t>
            </w:r>
          </w:p>
        </w:tc>
        <w:tc>
          <w:tcPr>
            <w:tcW w:w="1134" w:type="dxa"/>
            <w:shd w:val="clear" w:color="auto" w:fill="D3EAFF"/>
          </w:tcPr>
          <w:p w:rsidR="00583A38" w:rsidRDefault="00583A38" w:rsidP="00583A38">
            <w:pPr>
              <w:pStyle w:val="TableText"/>
              <w:ind w:firstLine="392"/>
              <w:rPr>
                <w:b w:val="0"/>
                <w:bCs w:val="0"/>
                <w:lang w:eastAsia="zh-CN"/>
              </w:rPr>
            </w:pPr>
            <w:r>
              <w:rPr>
                <w:lang w:eastAsia="zh-CN"/>
              </w:rPr>
              <w:t>23</w:t>
            </w:r>
            <w:r>
              <w:rPr>
                <w:rFonts w:hint="eastAsia"/>
                <w:lang w:eastAsia="zh-CN"/>
              </w:rPr>
              <w:t>:</w:t>
            </w:r>
            <w:r>
              <w:rPr>
                <w:lang w:eastAsia="zh-CN"/>
              </w:rPr>
              <w:t>00</w:t>
            </w:r>
          </w:p>
        </w:tc>
        <w:tc>
          <w:tcPr>
            <w:tcW w:w="6524" w:type="dxa"/>
            <w:shd w:val="clear" w:color="auto" w:fill="D3EAFF"/>
          </w:tcPr>
          <w:p w:rsidR="00583A38" w:rsidRPr="00583A38" w:rsidRDefault="00583A38" w:rsidP="00583A38">
            <w:pPr>
              <w:pStyle w:val="TableText"/>
              <w:ind w:firstLine="392"/>
              <w:rPr>
                <w:b w:val="0"/>
                <w:lang w:eastAsia="zh-CN"/>
              </w:rPr>
            </w:pPr>
            <w:r w:rsidRPr="00583A38">
              <w:rPr>
                <w:rFonts w:hint="eastAsia"/>
                <w:b w:val="0"/>
                <w:lang w:eastAsia="zh-CN"/>
              </w:rPr>
              <w:t>美国</w:t>
            </w:r>
            <w:r w:rsidRPr="00583A38">
              <w:rPr>
                <w:b w:val="0"/>
                <w:lang w:eastAsia="zh-CN"/>
              </w:rPr>
              <w:t>12</w:t>
            </w:r>
            <w:r w:rsidRPr="00583A38">
              <w:rPr>
                <w:rFonts w:hint="eastAsia"/>
                <w:b w:val="0"/>
                <w:lang w:eastAsia="zh-CN"/>
              </w:rPr>
              <w:t>月密歇根大学消费者信心指数初值</w:t>
            </w:r>
          </w:p>
        </w:tc>
      </w:tr>
    </w:tbl>
    <w:p w:rsidR="00882A0E" w:rsidRDefault="00882A0E" w:rsidP="00942C9E">
      <w:pPr>
        <w:spacing w:before="102" w:line="257" w:lineRule="auto"/>
        <w:ind w:right="646" w:firstLineChars="200" w:firstLine="420"/>
        <w:jc w:val="both"/>
        <w:rPr>
          <w:lang w:eastAsia="zh-CN"/>
        </w:rPr>
      </w:pPr>
    </w:p>
    <w:p w:rsidR="009372C5" w:rsidRDefault="001175F7">
      <w:pPr>
        <w:spacing w:before="120" w:line="190" w:lineRule="auto"/>
        <w:ind w:firstLine="420"/>
        <w:rPr>
          <w:rFonts w:ascii="微软雅黑" w:eastAsia="微软雅黑" w:hAnsi="微软雅黑" w:cs="微软雅黑"/>
          <w:b/>
          <w:bCs/>
          <w:color w:val="036EB8"/>
          <w:spacing w:val="15"/>
          <w:sz w:val="28"/>
          <w:szCs w:val="28"/>
          <w:lang w:eastAsia="zh-CN"/>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pt;height:14.4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1175F7" w:rsidRPr="001175F7" w:rsidRDefault="001175F7" w:rsidP="001175F7">
      <w:pPr>
        <w:spacing w:before="103" w:line="256" w:lineRule="auto"/>
        <w:ind w:right="743" w:firstLineChars="200" w:firstLine="46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美元指数涨</w:t>
      </w:r>
      <w:r w:rsidRPr="001175F7">
        <w:rPr>
          <w:rFonts w:ascii="微软雅黑" w:eastAsia="微软雅黑" w:hAnsi="微软雅黑" w:cs="微软雅黑"/>
          <w:spacing w:val="12"/>
          <w:lang w:eastAsia="zh-CN"/>
        </w:rPr>
        <w:t>0.14%</w:t>
      </w:r>
      <w:r w:rsidRPr="001175F7">
        <w:rPr>
          <w:rFonts w:ascii="微软雅黑" w:eastAsia="微软雅黑" w:hAnsi="微软雅黑" w:cs="微软雅黑" w:hint="eastAsia"/>
          <w:spacing w:val="12"/>
          <w:lang w:eastAsia="zh-CN"/>
        </w:rPr>
        <w:t>报</w:t>
      </w:r>
      <w:r w:rsidRPr="001175F7">
        <w:rPr>
          <w:rFonts w:ascii="微软雅黑" w:eastAsia="微软雅黑" w:hAnsi="微软雅黑" w:cs="微软雅黑"/>
          <w:spacing w:val="12"/>
          <w:lang w:eastAsia="zh-CN"/>
        </w:rPr>
        <w:t>108.42</w:t>
      </w:r>
      <w:r w:rsidRPr="001175F7">
        <w:rPr>
          <w:rFonts w:ascii="微软雅黑" w:eastAsia="微软雅黑" w:hAnsi="微软雅黑" w:cs="微软雅黑" w:hint="eastAsia"/>
          <w:spacing w:val="12"/>
          <w:lang w:eastAsia="zh-CN"/>
        </w:rPr>
        <w:t>，非美货币多数上涨，欧元兑美元涨</w:t>
      </w:r>
      <w:r w:rsidRPr="001175F7">
        <w:rPr>
          <w:rFonts w:ascii="微软雅黑" w:eastAsia="微软雅黑" w:hAnsi="微软雅黑" w:cs="微软雅黑"/>
          <w:spacing w:val="12"/>
          <w:lang w:eastAsia="zh-CN"/>
        </w:rPr>
        <w:t>0.1%</w:t>
      </w:r>
      <w:r w:rsidRPr="001175F7">
        <w:rPr>
          <w:rFonts w:ascii="微软雅黑" w:eastAsia="微软雅黑" w:hAnsi="微软雅黑" w:cs="微软雅黑" w:hint="eastAsia"/>
          <w:spacing w:val="12"/>
          <w:lang w:eastAsia="zh-CN"/>
        </w:rPr>
        <w:t>报</w:t>
      </w:r>
      <w:r w:rsidRPr="001175F7">
        <w:rPr>
          <w:rFonts w:ascii="微软雅黑" w:eastAsia="微软雅黑" w:hAnsi="微软雅黑" w:cs="微软雅黑"/>
          <w:spacing w:val="12"/>
          <w:lang w:eastAsia="zh-CN"/>
        </w:rPr>
        <w:t>1.0363</w:t>
      </w:r>
      <w:r w:rsidRPr="001175F7">
        <w:rPr>
          <w:rFonts w:ascii="微软雅黑" w:eastAsia="微软雅黑" w:hAnsi="微软雅黑" w:cs="微软雅黑" w:hint="eastAsia"/>
          <w:spacing w:val="12"/>
          <w:lang w:eastAsia="zh-CN"/>
        </w:rPr>
        <w:t>，英镑兑美元跌</w:t>
      </w:r>
      <w:r w:rsidRPr="001175F7">
        <w:rPr>
          <w:rFonts w:ascii="微软雅黑" w:eastAsia="微软雅黑" w:hAnsi="微软雅黑" w:cs="微软雅黑"/>
          <w:spacing w:val="12"/>
          <w:lang w:eastAsia="zh-CN"/>
        </w:rPr>
        <w:t>0.58%</w:t>
      </w:r>
      <w:r w:rsidRPr="001175F7">
        <w:rPr>
          <w:rFonts w:ascii="微软雅黑" w:eastAsia="微软雅黑" w:hAnsi="微软雅黑" w:cs="微软雅黑" w:hint="eastAsia"/>
          <w:spacing w:val="12"/>
          <w:lang w:eastAsia="zh-CN"/>
        </w:rPr>
        <w:t>报</w:t>
      </w:r>
      <w:r w:rsidRPr="001175F7">
        <w:rPr>
          <w:rFonts w:ascii="微软雅黑" w:eastAsia="微软雅黑" w:hAnsi="微软雅黑" w:cs="微软雅黑"/>
          <w:spacing w:val="12"/>
          <w:lang w:eastAsia="zh-CN"/>
        </w:rPr>
        <w:t>1.2502</w:t>
      </w:r>
      <w:r w:rsidRPr="001175F7">
        <w:rPr>
          <w:rFonts w:ascii="微软雅黑" w:eastAsia="微软雅黑" w:hAnsi="微软雅黑" w:cs="微软雅黑" w:hint="eastAsia"/>
          <w:spacing w:val="12"/>
          <w:lang w:eastAsia="zh-CN"/>
        </w:rPr>
        <w:t>，澳元兑美元涨</w:t>
      </w:r>
      <w:r w:rsidRPr="001175F7">
        <w:rPr>
          <w:rFonts w:ascii="微软雅黑" w:eastAsia="微软雅黑" w:hAnsi="微软雅黑" w:cs="微软雅黑"/>
          <w:spacing w:val="12"/>
          <w:lang w:eastAsia="zh-CN"/>
        </w:rPr>
        <w:t>0.33%</w:t>
      </w:r>
      <w:r w:rsidRPr="001175F7">
        <w:rPr>
          <w:rFonts w:ascii="微软雅黑" w:eastAsia="微软雅黑" w:hAnsi="微软雅黑" w:cs="微软雅黑" w:hint="eastAsia"/>
          <w:spacing w:val="12"/>
          <w:lang w:eastAsia="zh-CN"/>
        </w:rPr>
        <w:t>报</w:t>
      </w:r>
      <w:r w:rsidRPr="001175F7">
        <w:rPr>
          <w:rFonts w:ascii="微软雅黑" w:eastAsia="微软雅黑" w:hAnsi="微软雅黑" w:cs="微软雅黑"/>
          <w:spacing w:val="12"/>
          <w:lang w:eastAsia="zh-CN"/>
        </w:rPr>
        <w:t>0.6238</w:t>
      </w:r>
      <w:r w:rsidRPr="001175F7">
        <w:rPr>
          <w:rFonts w:ascii="微软雅黑" w:eastAsia="微软雅黑" w:hAnsi="微软雅黑" w:cs="微软雅黑" w:hint="eastAsia"/>
          <w:spacing w:val="12"/>
          <w:lang w:eastAsia="zh-CN"/>
        </w:rPr>
        <w:t>，美元兑日元涨</w:t>
      </w:r>
      <w:r w:rsidRPr="001175F7">
        <w:rPr>
          <w:rFonts w:ascii="微软雅黑" w:eastAsia="微软雅黑" w:hAnsi="微软雅黑" w:cs="微软雅黑"/>
          <w:spacing w:val="12"/>
          <w:lang w:eastAsia="zh-CN"/>
        </w:rPr>
        <w:t>1.68%</w:t>
      </w:r>
      <w:r w:rsidRPr="001175F7">
        <w:rPr>
          <w:rFonts w:ascii="微软雅黑" w:eastAsia="微软雅黑" w:hAnsi="微软雅黑" w:cs="微软雅黑" w:hint="eastAsia"/>
          <w:spacing w:val="12"/>
          <w:lang w:eastAsia="zh-CN"/>
        </w:rPr>
        <w:t>报</w:t>
      </w:r>
      <w:r w:rsidRPr="001175F7">
        <w:rPr>
          <w:rFonts w:ascii="微软雅黑" w:eastAsia="微软雅黑" w:hAnsi="微软雅黑" w:cs="微软雅黑"/>
          <w:spacing w:val="12"/>
          <w:lang w:eastAsia="zh-CN"/>
        </w:rPr>
        <w:t>157.44</w:t>
      </w:r>
      <w:r w:rsidRPr="001175F7">
        <w:rPr>
          <w:rFonts w:ascii="微软雅黑" w:eastAsia="微软雅黑" w:hAnsi="微软雅黑" w:cs="微软雅黑" w:hint="eastAsia"/>
          <w:spacing w:val="12"/>
          <w:lang w:eastAsia="zh-CN"/>
        </w:rPr>
        <w:t>。昨日美元指数创下两年新高，因美国大多经济数据好于预期。上周初请失业</w:t>
      </w:r>
      <w:proofErr w:type="gramStart"/>
      <w:r w:rsidRPr="001175F7">
        <w:rPr>
          <w:rFonts w:ascii="微软雅黑" w:eastAsia="微软雅黑" w:hAnsi="微软雅黑" w:cs="微软雅黑" w:hint="eastAsia"/>
          <w:spacing w:val="12"/>
          <w:lang w:eastAsia="zh-CN"/>
        </w:rPr>
        <w:t>金人数</w:t>
      </w:r>
      <w:proofErr w:type="gramEnd"/>
      <w:r w:rsidRPr="001175F7">
        <w:rPr>
          <w:rFonts w:ascii="微软雅黑" w:eastAsia="微软雅黑" w:hAnsi="微软雅黑" w:cs="微软雅黑" w:hint="eastAsia"/>
          <w:spacing w:val="12"/>
          <w:lang w:eastAsia="zh-CN"/>
        </w:rPr>
        <w:t>超预期减少，显示出更强劲的就业市场；第三季度</w:t>
      </w:r>
      <w:r w:rsidRPr="001175F7">
        <w:rPr>
          <w:rFonts w:ascii="微软雅黑" w:eastAsia="微软雅黑" w:hAnsi="微软雅黑" w:cs="微软雅黑"/>
          <w:spacing w:val="12"/>
          <w:lang w:eastAsia="zh-CN"/>
        </w:rPr>
        <w:t>GDP</w:t>
      </w:r>
      <w:r w:rsidRPr="001175F7">
        <w:rPr>
          <w:rFonts w:ascii="微软雅黑" w:eastAsia="微软雅黑" w:hAnsi="微软雅黑" w:cs="微软雅黑" w:hint="eastAsia"/>
          <w:spacing w:val="12"/>
          <w:lang w:eastAsia="zh-CN"/>
        </w:rPr>
        <w:t>被意外上修；</w:t>
      </w:r>
      <w:r w:rsidRPr="001175F7">
        <w:rPr>
          <w:rFonts w:ascii="微软雅黑" w:eastAsia="微软雅黑" w:hAnsi="微软雅黑" w:cs="微软雅黑"/>
          <w:spacing w:val="12"/>
          <w:lang w:eastAsia="zh-CN"/>
        </w:rPr>
        <w:t>11</w:t>
      </w:r>
      <w:r w:rsidRPr="001175F7">
        <w:rPr>
          <w:rFonts w:ascii="微软雅黑" w:eastAsia="微软雅黑" w:hAnsi="微软雅黑" w:cs="微软雅黑" w:hint="eastAsia"/>
          <w:spacing w:val="12"/>
          <w:lang w:eastAsia="zh-CN"/>
        </w:rPr>
        <w:t>月领先</w:t>
      </w:r>
      <w:proofErr w:type="gramStart"/>
      <w:r w:rsidRPr="001175F7">
        <w:rPr>
          <w:rFonts w:ascii="微软雅黑" w:eastAsia="微软雅黑" w:hAnsi="微软雅黑" w:cs="微软雅黑" w:hint="eastAsia"/>
          <w:spacing w:val="12"/>
          <w:lang w:eastAsia="zh-CN"/>
        </w:rPr>
        <w:t>指标环</w:t>
      </w:r>
      <w:proofErr w:type="gramEnd"/>
      <w:r w:rsidRPr="001175F7">
        <w:rPr>
          <w:rFonts w:ascii="微软雅黑" w:eastAsia="微软雅黑" w:hAnsi="微软雅黑" w:cs="微软雅黑" w:hint="eastAsia"/>
          <w:spacing w:val="12"/>
          <w:lang w:eastAsia="zh-CN"/>
        </w:rPr>
        <w:t>比意外增长，并创下近三年来的最大增幅；</w:t>
      </w:r>
      <w:r w:rsidRPr="001175F7">
        <w:rPr>
          <w:rFonts w:ascii="微软雅黑" w:eastAsia="微软雅黑" w:hAnsi="微软雅黑" w:cs="微软雅黑"/>
          <w:spacing w:val="12"/>
          <w:lang w:eastAsia="zh-CN"/>
        </w:rPr>
        <w:t>11</w:t>
      </w:r>
      <w:r w:rsidRPr="001175F7">
        <w:rPr>
          <w:rFonts w:ascii="微软雅黑" w:eastAsia="微软雅黑" w:hAnsi="微软雅黑" w:cs="微软雅黑" w:hint="eastAsia"/>
          <w:spacing w:val="12"/>
          <w:lang w:eastAsia="zh-CN"/>
        </w:rPr>
        <w:t>月成屋销售环比超预期增长达到</w:t>
      </w:r>
      <w:r w:rsidRPr="001175F7">
        <w:rPr>
          <w:rFonts w:ascii="微软雅黑" w:eastAsia="微软雅黑" w:hAnsi="微软雅黑" w:cs="微软雅黑"/>
          <w:spacing w:val="12"/>
          <w:lang w:eastAsia="zh-CN"/>
        </w:rPr>
        <w:t>8</w:t>
      </w:r>
      <w:r w:rsidRPr="001175F7">
        <w:rPr>
          <w:rFonts w:ascii="微软雅黑" w:eastAsia="微软雅黑" w:hAnsi="微软雅黑" w:cs="微软雅黑" w:hint="eastAsia"/>
          <w:spacing w:val="12"/>
          <w:lang w:eastAsia="zh-CN"/>
        </w:rPr>
        <w:t>个月高点</w:t>
      </w:r>
      <w:r w:rsidRPr="001175F7">
        <w:rPr>
          <w:rFonts w:ascii="微软雅黑" w:eastAsia="微软雅黑" w:hAnsi="微软雅黑" w:cs="微软雅黑"/>
          <w:spacing w:val="12"/>
          <w:lang w:eastAsia="zh-CN"/>
        </w:rPr>
        <w:t>415</w:t>
      </w:r>
      <w:r w:rsidRPr="001175F7">
        <w:rPr>
          <w:rFonts w:ascii="微软雅黑" w:eastAsia="微软雅黑" w:hAnsi="微软雅黑" w:cs="微软雅黑" w:hint="eastAsia"/>
          <w:spacing w:val="12"/>
          <w:lang w:eastAsia="zh-CN"/>
        </w:rPr>
        <w:t>万套；</w:t>
      </w:r>
      <w:r w:rsidRPr="001175F7">
        <w:rPr>
          <w:rFonts w:ascii="微软雅黑" w:eastAsia="微软雅黑" w:hAnsi="微软雅黑" w:cs="微软雅黑"/>
          <w:spacing w:val="12"/>
          <w:lang w:eastAsia="zh-CN"/>
        </w:rPr>
        <w:t>12</w:t>
      </w:r>
      <w:r w:rsidRPr="001175F7">
        <w:rPr>
          <w:rFonts w:ascii="微软雅黑" w:eastAsia="微软雅黑" w:hAnsi="微软雅黑" w:cs="微软雅黑" w:hint="eastAsia"/>
          <w:spacing w:val="12"/>
          <w:lang w:eastAsia="zh-CN"/>
        </w:rPr>
        <w:t>月费城联储制造业指数则意外下跌降至</w:t>
      </w:r>
      <w:r w:rsidRPr="001175F7">
        <w:rPr>
          <w:rFonts w:ascii="微软雅黑" w:eastAsia="微软雅黑" w:hAnsi="微软雅黑" w:cs="微软雅黑"/>
          <w:spacing w:val="12"/>
          <w:lang w:eastAsia="zh-CN"/>
        </w:rPr>
        <w:t>20</w:t>
      </w:r>
      <w:r w:rsidRPr="001175F7">
        <w:rPr>
          <w:rFonts w:ascii="微软雅黑" w:eastAsia="微软雅黑" w:hAnsi="微软雅黑" w:cs="微软雅黑" w:hint="eastAsia"/>
          <w:spacing w:val="12"/>
          <w:lang w:eastAsia="zh-CN"/>
        </w:rPr>
        <w:t>个月低点。此外，美联储主席鲍威尔在</w:t>
      </w:r>
      <w:r w:rsidRPr="001175F7">
        <w:rPr>
          <w:rFonts w:ascii="微软雅黑" w:eastAsia="微软雅黑" w:hAnsi="微软雅黑" w:cs="微软雅黑"/>
          <w:spacing w:val="12"/>
          <w:lang w:eastAsia="zh-CN"/>
        </w:rPr>
        <w:t>FOMC</w:t>
      </w:r>
      <w:r w:rsidRPr="001175F7">
        <w:rPr>
          <w:rFonts w:ascii="微软雅黑" w:eastAsia="微软雅黑" w:hAnsi="微软雅黑" w:cs="微软雅黑" w:hint="eastAsia"/>
          <w:spacing w:val="12"/>
          <w:lang w:eastAsia="zh-CN"/>
        </w:rPr>
        <w:t>会议后表示，明年仅计划降息</w:t>
      </w:r>
      <w:r w:rsidRPr="001175F7">
        <w:rPr>
          <w:rFonts w:ascii="微软雅黑" w:eastAsia="微软雅黑" w:hAnsi="微软雅黑" w:cs="微软雅黑"/>
          <w:spacing w:val="12"/>
          <w:lang w:eastAsia="zh-CN"/>
        </w:rPr>
        <w:t>50</w:t>
      </w:r>
      <w:r w:rsidRPr="001175F7">
        <w:rPr>
          <w:rFonts w:ascii="微软雅黑" w:eastAsia="微软雅黑" w:hAnsi="微软雅黑" w:cs="微软雅黑" w:hint="eastAsia"/>
          <w:spacing w:val="12"/>
          <w:lang w:eastAsia="zh-CN"/>
        </w:rPr>
        <w:t>个基点，而</w:t>
      </w:r>
      <w:r w:rsidRPr="001175F7">
        <w:rPr>
          <w:rFonts w:ascii="微软雅黑" w:eastAsia="微软雅黑" w:hAnsi="微软雅黑" w:cs="微软雅黑"/>
          <w:spacing w:val="12"/>
          <w:lang w:eastAsia="zh-CN"/>
        </w:rPr>
        <w:t>9</w:t>
      </w:r>
      <w:r w:rsidRPr="001175F7">
        <w:rPr>
          <w:rFonts w:ascii="微软雅黑" w:eastAsia="微软雅黑" w:hAnsi="微软雅黑" w:cs="微软雅黑" w:hint="eastAsia"/>
          <w:spacing w:val="12"/>
          <w:lang w:eastAsia="zh-CN"/>
        </w:rPr>
        <w:t>月份的预期是降息</w:t>
      </w:r>
      <w:r w:rsidRPr="001175F7">
        <w:rPr>
          <w:rFonts w:ascii="微软雅黑" w:eastAsia="微软雅黑" w:hAnsi="微软雅黑" w:cs="微软雅黑"/>
          <w:spacing w:val="12"/>
          <w:lang w:eastAsia="zh-CN"/>
        </w:rPr>
        <w:t>100</w:t>
      </w:r>
      <w:r w:rsidRPr="001175F7">
        <w:rPr>
          <w:rFonts w:ascii="微软雅黑" w:eastAsia="微软雅黑" w:hAnsi="微软雅黑" w:cs="微软雅黑" w:hint="eastAsia"/>
          <w:spacing w:val="12"/>
          <w:lang w:eastAsia="zh-CN"/>
        </w:rPr>
        <w:t>个基点。</w:t>
      </w:r>
    </w:p>
    <w:p w:rsidR="001175F7" w:rsidRPr="001175F7" w:rsidRDefault="001175F7" w:rsidP="001175F7">
      <w:pPr>
        <w:spacing w:before="103" w:line="256" w:lineRule="auto"/>
        <w:ind w:right="743" w:firstLineChars="200" w:firstLine="46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欧元兑美元上涨。但在美国的利率预期上升、而其他地区如欧洲央行等央行的利率预期却下降，欧元预期承压。日语方面，由于日本央行维持利率不变，且日本央行行长植田和男表示</w:t>
      </w:r>
      <w:r w:rsidRPr="001175F7">
        <w:rPr>
          <w:rFonts w:ascii="微软雅黑" w:eastAsia="微软雅黑" w:hAnsi="微软雅黑" w:cs="微软雅黑" w:hint="eastAsia"/>
          <w:spacing w:val="12"/>
          <w:lang w:eastAsia="zh-CN"/>
        </w:rPr>
        <w:lastRenderedPageBreak/>
        <w:t>不急于加息，日元兑美元跌至近</w:t>
      </w:r>
      <w:r w:rsidRPr="001175F7">
        <w:rPr>
          <w:rFonts w:ascii="微软雅黑" w:eastAsia="微软雅黑" w:hAnsi="微软雅黑" w:cs="微软雅黑"/>
          <w:spacing w:val="12"/>
          <w:lang w:eastAsia="zh-CN"/>
        </w:rPr>
        <w:t>5</w:t>
      </w:r>
      <w:r w:rsidRPr="001175F7">
        <w:rPr>
          <w:rFonts w:ascii="微软雅黑" w:eastAsia="微软雅黑" w:hAnsi="微软雅黑" w:cs="微软雅黑" w:hint="eastAsia"/>
          <w:spacing w:val="12"/>
          <w:lang w:eastAsia="zh-CN"/>
        </w:rPr>
        <w:t>个月低点。此外，周四美国国债收益率上升也对日元构成压力。</w:t>
      </w:r>
    </w:p>
    <w:p w:rsidR="00882A0E" w:rsidRPr="00882A0E" w:rsidRDefault="001175F7" w:rsidP="001175F7">
      <w:pPr>
        <w:spacing w:before="103" w:line="256" w:lineRule="auto"/>
        <w:ind w:right="743" w:firstLineChars="200" w:firstLine="46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展望未来，在美联储决议强硬降息后推动美债收益率上升，短期美元获得提振。</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1175F7">
      <w:pPr>
        <w:spacing w:before="103" w:line="256" w:lineRule="auto"/>
        <w:ind w:right="743"/>
        <w:jc w:val="both"/>
        <w:rPr>
          <w:lang w:eastAsia="zh-CN"/>
        </w:rPr>
      </w:pPr>
      <w:r>
        <w:rPr>
          <w:noProof/>
          <w:snapToGrid/>
          <w:lang w:eastAsia="zh-CN"/>
        </w:rPr>
        <w:drawing>
          <wp:inline distT="0" distB="0" distL="0" distR="0" wp14:anchorId="6194BC88" wp14:editId="59F76ECA">
            <wp:extent cx="6074896" cy="25806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82963" cy="2584067"/>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rsidR="00882A0E" w:rsidRDefault="00882A0E">
      <w:pPr>
        <w:spacing w:before="103" w:line="256" w:lineRule="auto"/>
        <w:ind w:right="743"/>
        <w:jc w:val="both"/>
        <w:rPr>
          <w:rFonts w:ascii="微软雅黑" w:eastAsia="微软雅黑" w:hAnsi="微软雅黑" w:cs="微软雅黑"/>
          <w:b/>
          <w:bCs/>
          <w:spacing w:val="12"/>
          <w:lang w:eastAsia="zh-CN"/>
        </w:rPr>
      </w:pP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rsidR="009372C5" w:rsidRPr="00EE7376" w:rsidRDefault="00583A38">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583A38">
        <w:rPr>
          <w:rFonts w:ascii="微软雅黑" w:eastAsia="微软雅黑" w:hAnsi="微软雅黑" w:cs="微软雅黑" w:hint="eastAsia"/>
          <w:spacing w:val="12"/>
          <w:lang w:eastAsia="zh-CN"/>
        </w:rPr>
        <w:t>截至</w:t>
      </w:r>
      <w:r w:rsidRPr="00583A38">
        <w:rPr>
          <w:rFonts w:ascii="微软雅黑" w:eastAsia="微软雅黑" w:hAnsi="微软雅黑" w:cs="微软雅黑"/>
          <w:spacing w:val="12"/>
          <w:lang w:eastAsia="zh-CN"/>
        </w:rPr>
        <w:t>12</w:t>
      </w:r>
      <w:r w:rsidRPr="00583A38">
        <w:rPr>
          <w:rFonts w:ascii="微软雅黑" w:eastAsia="微软雅黑" w:hAnsi="微软雅黑" w:cs="微软雅黑" w:hint="eastAsia"/>
          <w:spacing w:val="12"/>
          <w:lang w:eastAsia="zh-CN"/>
        </w:rPr>
        <w:t>月</w:t>
      </w:r>
      <w:r w:rsidRPr="00583A38">
        <w:rPr>
          <w:rFonts w:ascii="微软雅黑" w:eastAsia="微软雅黑" w:hAnsi="微软雅黑" w:cs="微软雅黑"/>
          <w:spacing w:val="12"/>
          <w:lang w:eastAsia="zh-CN"/>
        </w:rPr>
        <w:t>19</w:t>
      </w:r>
      <w:r w:rsidRPr="00583A38">
        <w:rPr>
          <w:rFonts w:ascii="微软雅黑" w:eastAsia="微软雅黑" w:hAnsi="微软雅黑" w:cs="微软雅黑" w:hint="eastAsia"/>
          <w:spacing w:val="12"/>
          <w:lang w:eastAsia="zh-CN"/>
        </w:rPr>
        <w:t>日，</w:t>
      </w:r>
      <w:proofErr w:type="gramStart"/>
      <w:r w:rsidRPr="00583A38">
        <w:rPr>
          <w:rFonts w:ascii="微软雅黑" w:eastAsia="微软雅黑" w:hAnsi="微软雅黑" w:cs="微软雅黑" w:hint="eastAsia"/>
          <w:spacing w:val="12"/>
          <w:lang w:eastAsia="zh-CN"/>
        </w:rPr>
        <w:t>标普</w:t>
      </w:r>
      <w:proofErr w:type="gramEnd"/>
      <w:r w:rsidRPr="00583A38">
        <w:rPr>
          <w:rFonts w:ascii="微软雅黑" w:eastAsia="微软雅黑" w:hAnsi="微软雅黑" w:cs="微软雅黑"/>
          <w:spacing w:val="12"/>
          <w:lang w:eastAsia="zh-CN"/>
        </w:rPr>
        <w:t>500</w:t>
      </w:r>
      <w:r w:rsidRPr="00583A38">
        <w:rPr>
          <w:rFonts w:ascii="微软雅黑" w:eastAsia="微软雅黑" w:hAnsi="微软雅黑" w:cs="微软雅黑" w:hint="eastAsia"/>
          <w:spacing w:val="12"/>
          <w:lang w:eastAsia="zh-CN"/>
        </w:rPr>
        <w:t>指数下跌</w:t>
      </w:r>
      <w:r w:rsidRPr="00583A38">
        <w:rPr>
          <w:rFonts w:ascii="微软雅黑" w:eastAsia="微软雅黑" w:hAnsi="微软雅黑" w:cs="微软雅黑"/>
          <w:spacing w:val="12"/>
          <w:lang w:eastAsia="zh-CN"/>
        </w:rPr>
        <w:t>0.09%</w:t>
      </w:r>
      <w:r w:rsidRPr="00583A38">
        <w:rPr>
          <w:rFonts w:ascii="微软雅黑" w:eastAsia="微软雅黑" w:hAnsi="微软雅黑" w:cs="微软雅黑" w:hint="eastAsia"/>
          <w:spacing w:val="12"/>
          <w:lang w:eastAsia="zh-CN"/>
        </w:rPr>
        <w:t>，至</w:t>
      </w:r>
      <w:r w:rsidRPr="00583A38">
        <w:rPr>
          <w:rFonts w:ascii="微软雅黑" w:eastAsia="微软雅黑" w:hAnsi="微软雅黑" w:cs="微软雅黑"/>
          <w:spacing w:val="12"/>
          <w:lang w:eastAsia="zh-CN"/>
        </w:rPr>
        <w:t>5867.08</w:t>
      </w:r>
      <w:r w:rsidRPr="00583A38">
        <w:rPr>
          <w:rFonts w:ascii="微软雅黑" w:eastAsia="微软雅黑" w:hAnsi="微软雅黑" w:cs="微软雅黑" w:hint="eastAsia"/>
          <w:spacing w:val="12"/>
          <w:lang w:eastAsia="zh-CN"/>
        </w:rPr>
        <w:t>点；</w:t>
      </w:r>
      <w:proofErr w:type="gramStart"/>
      <w:r w:rsidRPr="00583A38">
        <w:rPr>
          <w:rFonts w:ascii="微软雅黑" w:eastAsia="微软雅黑" w:hAnsi="微软雅黑" w:cs="微软雅黑" w:hint="eastAsia"/>
          <w:spacing w:val="12"/>
          <w:lang w:eastAsia="zh-CN"/>
        </w:rPr>
        <w:t>迷你标普</w:t>
      </w:r>
      <w:proofErr w:type="gramEnd"/>
      <w:r w:rsidRPr="00583A38">
        <w:rPr>
          <w:rFonts w:ascii="微软雅黑" w:eastAsia="微软雅黑" w:hAnsi="微软雅黑" w:cs="微软雅黑"/>
          <w:spacing w:val="12"/>
          <w:lang w:eastAsia="zh-CN"/>
        </w:rPr>
        <w:t>500</w:t>
      </w:r>
      <w:r w:rsidRPr="00583A38">
        <w:rPr>
          <w:rFonts w:ascii="微软雅黑" w:eastAsia="微软雅黑" w:hAnsi="微软雅黑" w:cs="微软雅黑" w:hint="eastAsia"/>
          <w:spacing w:val="12"/>
          <w:lang w:eastAsia="zh-CN"/>
        </w:rPr>
        <w:t>主力合约上涨</w:t>
      </w:r>
      <w:r w:rsidRPr="00583A38">
        <w:rPr>
          <w:rFonts w:ascii="微软雅黑" w:eastAsia="微软雅黑" w:hAnsi="微软雅黑" w:cs="微软雅黑"/>
          <w:spacing w:val="12"/>
          <w:lang w:eastAsia="zh-CN"/>
        </w:rPr>
        <w:t>0.03%</w:t>
      </w:r>
      <w:r w:rsidRPr="00583A38">
        <w:rPr>
          <w:rFonts w:ascii="微软雅黑" w:eastAsia="微软雅黑" w:hAnsi="微软雅黑" w:cs="微软雅黑" w:hint="eastAsia"/>
          <w:spacing w:val="12"/>
          <w:lang w:eastAsia="zh-CN"/>
        </w:rPr>
        <w:t>至</w:t>
      </w:r>
      <w:r w:rsidRPr="00583A38">
        <w:rPr>
          <w:rFonts w:ascii="微软雅黑" w:eastAsia="微软雅黑" w:hAnsi="微软雅黑" w:cs="微软雅黑"/>
          <w:spacing w:val="12"/>
          <w:lang w:eastAsia="zh-CN"/>
        </w:rPr>
        <w:t>5941.25</w:t>
      </w:r>
      <w:r w:rsidRPr="00583A38">
        <w:rPr>
          <w:rFonts w:ascii="微软雅黑" w:eastAsia="微软雅黑" w:hAnsi="微软雅黑" w:cs="微软雅黑" w:hint="eastAsia"/>
          <w:spacing w:val="12"/>
          <w:lang w:eastAsia="zh-CN"/>
        </w:rPr>
        <w:t>点。美股三大股指高开后走弱，道指终结</w:t>
      </w:r>
      <w:r w:rsidRPr="00583A38">
        <w:rPr>
          <w:rFonts w:ascii="微软雅黑" w:eastAsia="微软雅黑" w:hAnsi="微软雅黑" w:cs="微软雅黑"/>
          <w:spacing w:val="12"/>
          <w:lang w:eastAsia="zh-CN"/>
        </w:rPr>
        <w:t>10</w:t>
      </w:r>
      <w:r w:rsidRPr="00583A38">
        <w:rPr>
          <w:rFonts w:ascii="微软雅黑" w:eastAsia="微软雅黑" w:hAnsi="微软雅黑" w:cs="微软雅黑" w:hint="eastAsia"/>
          <w:spacing w:val="12"/>
          <w:lang w:eastAsia="zh-CN"/>
        </w:rPr>
        <w:t>连跌。美联储宣布降息</w:t>
      </w:r>
      <w:r w:rsidRPr="00583A38">
        <w:rPr>
          <w:rFonts w:ascii="微软雅黑" w:eastAsia="微软雅黑" w:hAnsi="微软雅黑" w:cs="微软雅黑"/>
          <w:spacing w:val="12"/>
          <w:lang w:eastAsia="zh-CN"/>
        </w:rPr>
        <w:t>25</w:t>
      </w:r>
      <w:r w:rsidRPr="00583A38">
        <w:rPr>
          <w:rFonts w:ascii="微软雅黑" w:eastAsia="微软雅黑" w:hAnsi="微软雅黑" w:cs="微软雅黑" w:hint="eastAsia"/>
          <w:spacing w:val="12"/>
          <w:lang w:eastAsia="zh-CN"/>
        </w:rPr>
        <w:t>个基点，同时会后公布的点阵图中，美联储官员大幅上调未来政策利率目标区间的中位数，预计</w:t>
      </w:r>
      <w:r w:rsidRPr="00583A38">
        <w:rPr>
          <w:rFonts w:ascii="微软雅黑" w:eastAsia="微软雅黑" w:hAnsi="微软雅黑" w:cs="微软雅黑"/>
          <w:spacing w:val="12"/>
          <w:lang w:eastAsia="zh-CN"/>
        </w:rPr>
        <w:t>2025</w:t>
      </w:r>
      <w:r w:rsidRPr="00583A38">
        <w:rPr>
          <w:rFonts w:ascii="微软雅黑" w:eastAsia="微软雅黑" w:hAnsi="微软雅黑" w:cs="微软雅黑" w:hint="eastAsia"/>
          <w:spacing w:val="12"/>
          <w:lang w:eastAsia="zh-CN"/>
        </w:rPr>
        <w:t>年仅降息两次，此外，对明年和后年的通胀预期也显著上调。美联储鹰派会议声明，压制股市，并推动美元、美债走强。策略上，建议</w:t>
      </w:r>
      <w:proofErr w:type="gramStart"/>
      <w:r w:rsidRPr="00583A38">
        <w:rPr>
          <w:rFonts w:ascii="微软雅黑" w:eastAsia="微软雅黑" w:hAnsi="微软雅黑" w:cs="微软雅黑" w:hint="eastAsia"/>
          <w:spacing w:val="12"/>
          <w:lang w:eastAsia="zh-CN"/>
        </w:rPr>
        <w:t>轻仓沽空</w:t>
      </w:r>
      <w:proofErr w:type="gramEnd"/>
      <w:r w:rsidRPr="00583A38">
        <w:rPr>
          <w:rFonts w:ascii="微软雅黑" w:eastAsia="微软雅黑" w:hAnsi="微软雅黑" w:cs="微软雅黑" w:hint="eastAsia"/>
          <w:spacing w:val="12"/>
          <w:lang w:eastAsia="zh-CN"/>
        </w:rPr>
        <w:t>。</w:t>
      </w:r>
    </w:p>
    <w:p w:rsidR="009372C5" w:rsidRPr="00EE7376" w:rsidRDefault="00115A1A">
      <w:pPr>
        <w:spacing w:before="103" w:line="256" w:lineRule="auto"/>
        <w:ind w:right="743"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3：S&amp;P500走势图</w:t>
      </w:r>
      <w:r w:rsidRPr="00EE7376">
        <w:rPr>
          <w:rFonts w:ascii="新宋体" w:eastAsia="新宋体" w:hAnsi="新宋体"/>
          <w:b/>
          <w:lang w:eastAsia="zh-CN"/>
        </w:rPr>
        <w:br w:type="textWrapping" w:clear="all"/>
      </w:r>
      <w:r w:rsidR="00074DDF" w:rsidRPr="00FA4CB0">
        <w:rPr>
          <w:rFonts w:ascii="新宋体" w:eastAsia="新宋体" w:hAnsi="新宋体"/>
          <w:b/>
          <w:noProof/>
          <w:lang w:eastAsia="zh-CN"/>
        </w:rPr>
        <w:drawing>
          <wp:inline distT="0" distB="0" distL="0" distR="0" wp14:anchorId="57616E03" wp14:editId="4FC64DA5">
            <wp:extent cx="6146800" cy="1676400"/>
            <wp:effectExtent l="0" t="0" r="6350" b="0"/>
            <wp:docPr id="8" name="图片 8" descr="C:\Users\Administrator\Documents\WeChat Files\wxid_vkxlzo0vqu7s22\FileStorage\Temp\1734568613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34568613706.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47805" cy="1676674"/>
                    </a:xfrm>
                    <a:prstGeom prst="rect">
                      <a:avLst/>
                    </a:prstGeom>
                    <a:noFill/>
                    <a:ln>
                      <a:noFill/>
                    </a:ln>
                  </pic:spPr>
                </pic:pic>
              </a:graphicData>
            </a:graphic>
          </wp:inline>
        </w:drawing>
      </w:r>
    </w:p>
    <w:p w:rsidR="009372C5" w:rsidRPr="00EE7376" w:rsidRDefault="00115A1A">
      <w:pPr>
        <w:spacing w:before="120" w:line="190" w:lineRule="auto"/>
        <w:ind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rsidR="00C125FF" w:rsidRDefault="00C125FF">
      <w:pPr>
        <w:spacing w:before="103" w:line="256" w:lineRule="auto"/>
        <w:ind w:right="743"/>
        <w:jc w:val="both"/>
        <w:rPr>
          <w:rFonts w:ascii="微软雅黑" w:eastAsia="微软雅黑" w:hAnsi="微软雅黑" w:cs="微软雅黑"/>
          <w:b/>
          <w:bCs/>
          <w:spacing w:val="12"/>
          <w:lang w:eastAsia="zh-CN"/>
        </w:rPr>
      </w:pPr>
    </w:p>
    <w:p w:rsidR="009372C5" w:rsidRPr="00EE7376" w:rsidRDefault="00115A1A">
      <w:pPr>
        <w:spacing w:before="103" w:line="256" w:lineRule="auto"/>
        <w:ind w:right="743"/>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rsidR="005D2A13" w:rsidRDefault="00583A38">
      <w:pPr>
        <w:spacing w:before="103" w:line="256" w:lineRule="auto"/>
        <w:ind w:right="743" w:firstLine="448"/>
        <w:jc w:val="both"/>
        <w:rPr>
          <w:rFonts w:ascii="微软雅黑" w:eastAsia="微软雅黑" w:hAnsi="微软雅黑" w:cs="微软雅黑"/>
          <w:spacing w:val="12"/>
          <w:lang w:eastAsia="zh-CN"/>
        </w:rPr>
      </w:pPr>
      <w:r w:rsidRPr="00583A38">
        <w:rPr>
          <w:rFonts w:ascii="微软雅黑" w:eastAsia="微软雅黑" w:hAnsi="微软雅黑" w:cs="微软雅黑" w:hint="eastAsia"/>
          <w:spacing w:val="12"/>
          <w:lang w:eastAsia="zh-CN"/>
        </w:rPr>
        <w:lastRenderedPageBreak/>
        <w:t>截至</w:t>
      </w:r>
      <w:r w:rsidRPr="00583A38">
        <w:rPr>
          <w:rFonts w:ascii="微软雅黑" w:eastAsia="微软雅黑" w:hAnsi="微软雅黑" w:cs="微软雅黑"/>
          <w:spacing w:val="12"/>
          <w:lang w:eastAsia="zh-CN"/>
        </w:rPr>
        <w:t>12</w:t>
      </w:r>
      <w:r w:rsidRPr="00583A38">
        <w:rPr>
          <w:rFonts w:ascii="微软雅黑" w:eastAsia="微软雅黑" w:hAnsi="微软雅黑" w:cs="微软雅黑" w:hint="eastAsia"/>
          <w:spacing w:val="12"/>
          <w:lang w:eastAsia="zh-CN"/>
        </w:rPr>
        <w:t>月</w:t>
      </w:r>
      <w:r w:rsidRPr="00583A38">
        <w:rPr>
          <w:rFonts w:ascii="微软雅黑" w:eastAsia="微软雅黑" w:hAnsi="微软雅黑" w:cs="微软雅黑"/>
          <w:spacing w:val="12"/>
          <w:lang w:eastAsia="zh-CN"/>
        </w:rPr>
        <w:t>19</w:t>
      </w:r>
      <w:r w:rsidRPr="00583A38">
        <w:rPr>
          <w:rFonts w:ascii="微软雅黑" w:eastAsia="微软雅黑" w:hAnsi="微软雅黑" w:cs="微软雅黑" w:hint="eastAsia"/>
          <w:spacing w:val="12"/>
          <w:lang w:eastAsia="zh-CN"/>
        </w:rPr>
        <w:t>日，富时中国</w:t>
      </w:r>
      <w:r w:rsidRPr="00583A38">
        <w:rPr>
          <w:rFonts w:ascii="微软雅黑" w:eastAsia="微软雅黑" w:hAnsi="微软雅黑" w:cs="微软雅黑"/>
          <w:spacing w:val="12"/>
          <w:lang w:eastAsia="zh-CN"/>
        </w:rPr>
        <w:t>A50</w:t>
      </w:r>
      <w:r w:rsidRPr="00583A38">
        <w:rPr>
          <w:rFonts w:ascii="微软雅黑" w:eastAsia="微软雅黑" w:hAnsi="微软雅黑" w:cs="微软雅黑" w:hint="eastAsia"/>
          <w:spacing w:val="12"/>
          <w:lang w:eastAsia="zh-CN"/>
        </w:rPr>
        <w:t>指数下跌</w:t>
      </w:r>
      <w:r w:rsidRPr="00583A38">
        <w:rPr>
          <w:rFonts w:ascii="微软雅黑" w:eastAsia="微软雅黑" w:hAnsi="微软雅黑" w:cs="微软雅黑"/>
          <w:spacing w:val="12"/>
          <w:lang w:eastAsia="zh-CN"/>
        </w:rPr>
        <w:t>0.41%</w:t>
      </w:r>
      <w:r w:rsidRPr="00583A38">
        <w:rPr>
          <w:rFonts w:ascii="微软雅黑" w:eastAsia="微软雅黑" w:hAnsi="微软雅黑" w:cs="微软雅黑" w:hint="eastAsia"/>
          <w:spacing w:val="12"/>
          <w:lang w:eastAsia="zh-CN"/>
        </w:rPr>
        <w:t>至</w:t>
      </w:r>
      <w:r w:rsidRPr="00583A38">
        <w:rPr>
          <w:rFonts w:ascii="微软雅黑" w:eastAsia="微软雅黑" w:hAnsi="微软雅黑" w:cs="微软雅黑"/>
          <w:spacing w:val="12"/>
          <w:lang w:eastAsia="zh-CN"/>
        </w:rPr>
        <w:t>13415.7</w:t>
      </w:r>
      <w:r w:rsidRPr="00583A38">
        <w:rPr>
          <w:rFonts w:ascii="微软雅黑" w:eastAsia="微软雅黑" w:hAnsi="微软雅黑" w:cs="微软雅黑" w:hint="eastAsia"/>
          <w:spacing w:val="12"/>
          <w:lang w:eastAsia="zh-CN"/>
        </w:rPr>
        <w:t>点；新交所富时</w:t>
      </w:r>
      <w:r w:rsidRPr="00583A38">
        <w:rPr>
          <w:rFonts w:ascii="微软雅黑" w:eastAsia="微软雅黑" w:hAnsi="微软雅黑" w:cs="微软雅黑"/>
          <w:spacing w:val="12"/>
          <w:lang w:eastAsia="zh-CN"/>
        </w:rPr>
        <w:t>A50</w:t>
      </w:r>
      <w:r w:rsidRPr="00583A38">
        <w:rPr>
          <w:rFonts w:ascii="微软雅黑" w:eastAsia="微软雅黑" w:hAnsi="微软雅黑" w:cs="微软雅黑" w:hint="eastAsia"/>
          <w:spacing w:val="12"/>
          <w:lang w:eastAsia="zh-CN"/>
        </w:rPr>
        <w:t>期指主力合约下跌</w:t>
      </w:r>
      <w:r w:rsidRPr="00583A38">
        <w:rPr>
          <w:rFonts w:ascii="微软雅黑" w:eastAsia="微软雅黑" w:hAnsi="微软雅黑" w:cs="微软雅黑"/>
          <w:spacing w:val="12"/>
          <w:lang w:eastAsia="zh-CN"/>
        </w:rPr>
        <w:t>0.59%</w:t>
      </w:r>
      <w:r w:rsidRPr="00583A38">
        <w:rPr>
          <w:rFonts w:ascii="微软雅黑" w:eastAsia="微软雅黑" w:hAnsi="微软雅黑" w:cs="微软雅黑" w:hint="eastAsia"/>
          <w:spacing w:val="12"/>
          <w:lang w:eastAsia="zh-CN"/>
        </w:rPr>
        <w:t>至</w:t>
      </w:r>
      <w:r w:rsidRPr="00583A38">
        <w:rPr>
          <w:rFonts w:ascii="微软雅黑" w:eastAsia="微软雅黑" w:hAnsi="微软雅黑" w:cs="微软雅黑"/>
          <w:spacing w:val="12"/>
          <w:lang w:eastAsia="zh-CN"/>
        </w:rPr>
        <w:t>13409</w:t>
      </w:r>
      <w:r w:rsidRPr="00583A38">
        <w:rPr>
          <w:rFonts w:ascii="微软雅黑" w:eastAsia="微软雅黑" w:hAnsi="微软雅黑" w:cs="微软雅黑" w:hint="eastAsia"/>
          <w:spacing w:val="12"/>
          <w:lang w:eastAsia="zh-CN"/>
        </w:rPr>
        <w:t>点。海外方面，美联储宣布降息</w:t>
      </w:r>
      <w:r w:rsidRPr="00583A38">
        <w:rPr>
          <w:rFonts w:ascii="微软雅黑" w:eastAsia="微软雅黑" w:hAnsi="微软雅黑" w:cs="微软雅黑"/>
          <w:spacing w:val="12"/>
          <w:lang w:eastAsia="zh-CN"/>
        </w:rPr>
        <w:t>25</w:t>
      </w:r>
      <w:r w:rsidRPr="00583A38">
        <w:rPr>
          <w:rFonts w:ascii="微软雅黑" w:eastAsia="微软雅黑" w:hAnsi="微软雅黑" w:cs="微软雅黑" w:hint="eastAsia"/>
          <w:spacing w:val="12"/>
          <w:lang w:eastAsia="zh-CN"/>
        </w:rPr>
        <w:t>个基点，但在会后政策声明中大幅下调</w:t>
      </w:r>
      <w:r w:rsidRPr="00583A38">
        <w:rPr>
          <w:rFonts w:ascii="微软雅黑" w:eastAsia="微软雅黑" w:hAnsi="微软雅黑" w:cs="微软雅黑"/>
          <w:spacing w:val="12"/>
          <w:lang w:eastAsia="zh-CN"/>
        </w:rPr>
        <w:t>2025</w:t>
      </w:r>
      <w:r w:rsidRPr="00583A38">
        <w:rPr>
          <w:rFonts w:ascii="微软雅黑" w:eastAsia="微软雅黑" w:hAnsi="微软雅黑" w:cs="微软雅黑" w:hint="eastAsia"/>
          <w:spacing w:val="12"/>
          <w:lang w:eastAsia="zh-CN"/>
        </w:rPr>
        <w:t>年降息预期，美联储鹰派态度推动美元大幅走高，美元指数站上</w:t>
      </w:r>
      <w:r w:rsidRPr="00583A38">
        <w:rPr>
          <w:rFonts w:ascii="微软雅黑" w:eastAsia="微软雅黑" w:hAnsi="微软雅黑" w:cs="微软雅黑"/>
          <w:spacing w:val="12"/>
          <w:lang w:eastAsia="zh-CN"/>
        </w:rPr>
        <w:t>108</w:t>
      </w:r>
      <w:r w:rsidRPr="00583A38">
        <w:rPr>
          <w:rFonts w:ascii="微软雅黑" w:eastAsia="微软雅黑" w:hAnsi="微软雅黑" w:cs="微软雅黑" w:hint="eastAsia"/>
          <w:spacing w:val="12"/>
          <w:lang w:eastAsia="zh-CN"/>
        </w:rPr>
        <w:t>点，离岸人民币汇率跌破</w:t>
      </w:r>
      <w:r w:rsidRPr="00583A38">
        <w:rPr>
          <w:rFonts w:ascii="微软雅黑" w:eastAsia="微软雅黑" w:hAnsi="微软雅黑" w:cs="微软雅黑"/>
          <w:spacing w:val="12"/>
          <w:lang w:eastAsia="zh-CN"/>
        </w:rPr>
        <w:t>7.3</w:t>
      </w:r>
      <w:r w:rsidRPr="00583A38">
        <w:rPr>
          <w:rFonts w:ascii="微软雅黑" w:eastAsia="微软雅黑" w:hAnsi="微软雅黑" w:cs="微软雅黑" w:hint="eastAsia"/>
          <w:spacing w:val="12"/>
          <w:lang w:eastAsia="zh-CN"/>
        </w:rPr>
        <w:t>，人民币汇率走弱对市场情绪产生短暂负面影响。国内方面，经济基本面，</w:t>
      </w:r>
      <w:r w:rsidRPr="00583A38">
        <w:rPr>
          <w:rFonts w:ascii="微软雅黑" w:eastAsia="微软雅黑" w:hAnsi="微软雅黑" w:cs="微软雅黑"/>
          <w:spacing w:val="12"/>
          <w:lang w:eastAsia="zh-CN"/>
        </w:rPr>
        <w:t>11</w:t>
      </w:r>
      <w:r w:rsidRPr="00583A38">
        <w:rPr>
          <w:rFonts w:ascii="微软雅黑" w:eastAsia="微软雅黑" w:hAnsi="微软雅黑" w:cs="微软雅黑" w:hint="eastAsia"/>
          <w:spacing w:val="12"/>
          <w:lang w:eastAsia="zh-CN"/>
        </w:rPr>
        <w:t>月经济数据中</w:t>
      </w:r>
      <w:proofErr w:type="gramStart"/>
      <w:r w:rsidRPr="00583A38">
        <w:rPr>
          <w:rFonts w:ascii="微软雅黑" w:eastAsia="微软雅黑" w:hAnsi="微软雅黑" w:cs="微软雅黑" w:hint="eastAsia"/>
          <w:spacing w:val="12"/>
          <w:lang w:eastAsia="zh-CN"/>
        </w:rPr>
        <w:t>除社零</w:t>
      </w:r>
      <w:proofErr w:type="gramEnd"/>
      <w:r w:rsidRPr="00583A38">
        <w:rPr>
          <w:rFonts w:ascii="微软雅黑" w:eastAsia="微软雅黑" w:hAnsi="微软雅黑" w:cs="微软雅黑" w:hint="eastAsia"/>
          <w:spacing w:val="12"/>
          <w:lang w:eastAsia="zh-CN"/>
        </w:rPr>
        <w:t>大幅回落外，工业增加值及房地产销售均有所回升，经济基本面呈现缓慢修复。整体来看，海外美联储鹰派降息，对全球风险资产产生较大利空，但</w:t>
      </w:r>
      <w:r w:rsidRPr="00583A38">
        <w:rPr>
          <w:rFonts w:ascii="微软雅黑" w:eastAsia="微软雅黑" w:hAnsi="微软雅黑" w:cs="微软雅黑"/>
          <w:spacing w:val="12"/>
          <w:lang w:eastAsia="zh-CN"/>
        </w:rPr>
        <w:t>A</w:t>
      </w:r>
      <w:r w:rsidRPr="00583A38">
        <w:rPr>
          <w:rFonts w:ascii="微软雅黑" w:eastAsia="微软雅黑" w:hAnsi="微软雅黑" w:cs="微软雅黑" w:hint="eastAsia"/>
          <w:spacing w:val="12"/>
          <w:lang w:eastAsia="zh-CN"/>
        </w:rPr>
        <w:t>股走出相对独立行情。国内年底相关会议已经落地，市场短期暂时处于数据与政策空窗期，在此情况下股指预计维持震荡格局，从长期来看，政策对经济起到托底，随着明年相关政策的逐步落地，经济有望企稳回升，并推动投资者信心回暖。策略上，建议回调逢低布局。</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C07FA3">
        <w:rPr>
          <w:rFonts w:ascii="微软雅黑" w:eastAsia="微软雅黑" w:hAnsi="微软雅黑" w:cs="微软雅黑" w:hint="eastAsia"/>
          <w:spacing w:val="7"/>
          <w:lang w:eastAsia="zh-CN"/>
        </w:rPr>
        <w:t>4：富时中国A50走势图</w:t>
      </w:r>
    </w:p>
    <w:p w:rsidR="009372C5" w:rsidRDefault="00074DDF">
      <w:pPr>
        <w:spacing w:before="103" w:line="256" w:lineRule="auto"/>
        <w:ind w:right="743"/>
        <w:jc w:val="both"/>
        <w:rPr>
          <w:rFonts w:ascii="新宋体" w:eastAsia="新宋体" w:hAnsi="新宋体"/>
        </w:rPr>
      </w:pPr>
      <w:r w:rsidRPr="00FB6048">
        <w:rPr>
          <w:rFonts w:ascii="新宋体" w:eastAsia="新宋体" w:hAnsi="新宋体"/>
          <w:noProof/>
          <w:lang w:eastAsia="zh-CN"/>
        </w:rPr>
        <w:drawing>
          <wp:inline distT="0" distB="0" distL="0" distR="0" wp14:anchorId="43AA8A3D" wp14:editId="00862A1E">
            <wp:extent cx="6156960" cy="1584960"/>
            <wp:effectExtent l="0" t="0" r="0" b="0"/>
            <wp:docPr id="11" name="图片 11" descr="C:\Users\Administrator\Documents\WeChat Files\wxid_vkxlzo0vqu7s22\FileStorage\Temp\17345688150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34568815050.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7011" cy="1584973"/>
                    </a:xfrm>
                    <a:prstGeom prst="rect">
                      <a:avLst/>
                    </a:prstGeom>
                    <a:noFill/>
                    <a:ln>
                      <a:noFill/>
                    </a:ln>
                  </pic:spPr>
                </pic:pic>
              </a:graphicData>
            </a:graphic>
          </wp:inline>
        </w:drawing>
      </w:r>
    </w:p>
    <w:p w:rsidR="006837BD"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574708" w:rsidRDefault="00574708">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583A38" w:rsidP="006B4BE7">
      <w:pPr>
        <w:spacing w:before="103" w:line="256" w:lineRule="auto"/>
        <w:ind w:right="743" w:firstLineChars="200" w:firstLine="468"/>
        <w:jc w:val="both"/>
        <w:rPr>
          <w:rFonts w:ascii="微软雅黑" w:eastAsia="微软雅黑" w:hAnsi="微软雅黑" w:cs="微软雅黑"/>
          <w:spacing w:val="12"/>
          <w:lang w:eastAsia="zh-CN"/>
        </w:rPr>
      </w:pPr>
      <w:r w:rsidRPr="00583A38">
        <w:rPr>
          <w:rFonts w:ascii="微软雅黑" w:eastAsia="微软雅黑" w:hAnsi="微软雅黑" w:cs="微软雅黑" w:hint="eastAsia"/>
          <w:spacing w:val="12"/>
          <w:lang w:eastAsia="zh-CN"/>
        </w:rPr>
        <w:t>隔夜</w:t>
      </w:r>
      <w:r w:rsidRPr="00583A38">
        <w:rPr>
          <w:rFonts w:ascii="微软雅黑" w:eastAsia="微软雅黑" w:hAnsi="微软雅黑" w:cs="微软雅黑"/>
          <w:spacing w:val="12"/>
          <w:lang w:eastAsia="zh-CN"/>
        </w:rPr>
        <w:t>COMEX</w:t>
      </w:r>
      <w:r w:rsidRPr="00583A38">
        <w:rPr>
          <w:rFonts w:ascii="微软雅黑" w:eastAsia="微软雅黑" w:hAnsi="微软雅黑" w:cs="微软雅黑" w:hint="eastAsia"/>
          <w:spacing w:val="12"/>
          <w:lang w:eastAsia="zh-CN"/>
        </w:rPr>
        <w:t>铜震荡偏弱，报收</w:t>
      </w:r>
      <w:r w:rsidRPr="00583A38">
        <w:rPr>
          <w:rFonts w:ascii="微软雅黑" w:eastAsia="微软雅黑" w:hAnsi="微软雅黑" w:cs="微软雅黑"/>
          <w:spacing w:val="12"/>
          <w:lang w:eastAsia="zh-CN"/>
        </w:rPr>
        <w:t>4.083</w:t>
      </w:r>
      <w:r w:rsidRPr="00583A38">
        <w:rPr>
          <w:rFonts w:ascii="微软雅黑" w:eastAsia="微软雅黑" w:hAnsi="微软雅黑" w:cs="微软雅黑" w:hint="eastAsia"/>
          <w:spacing w:val="12"/>
          <w:lang w:eastAsia="zh-CN"/>
        </w:rPr>
        <w:t>美元</w:t>
      </w:r>
      <w:r w:rsidRPr="00583A38">
        <w:rPr>
          <w:rFonts w:ascii="微软雅黑" w:eastAsia="微软雅黑" w:hAnsi="微软雅黑" w:cs="微软雅黑"/>
          <w:spacing w:val="12"/>
          <w:lang w:eastAsia="zh-CN"/>
        </w:rPr>
        <w:t>/</w:t>
      </w:r>
      <w:r w:rsidRPr="00583A38">
        <w:rPr>
          <w:rFonts w:ascii="微软雅黑" w:eastAsia="微软雅黑" w:hAnsi="微软雅黑" w:cs="微软雅黑" w:hint="eastAsia"/>
          <w:spacing w:val="12"/>
          <w:lang w:eastAsia="zh-CN"/>
        </w:rPr>
        <w:t>磅，涨跌幅</w:t>
      </w:r>
      <w:r w:rsidRPr="00583A38">
        <w:rPr>
          <w:rFonts w:ascii="微软雅黑" w:eastAsia="微软雅黑" w:hAnsi="微软雅黑" w:cs="微软雅黑"/>
          <w:spacing w:val="12"/>
          <w:lang w:eastAsia="zh-CN"/>
        </w:rPr>
        <w:t>-1.78%</w:t>
      </w:r>
      <w:r w:rsidRPr="00583A38">
        <w:rPr>
          <w:rFonts w:ascii="微软雅黑" w:eastAsia="微软雅黑" w:hAnsi="微软雅黑" w:cs="微软雅黑" w:hint="eastAsia"/>
          <w:spacing w:val="12"/>
          <w:lang w:eastAsia="zh-CN"/>
        </w:rPr>
        <w:t>。国际方面，美国第三季度实际</w:t>
      </w:r>
      <w:r w:rsidRPr="00583A38">
        <w:rPr>
          <w:rFonts w:ascii="微软雅黑" w:eastAsia="微软雅黑" w:hAnsi="微软雅黑" w:cs="微软雅黑"/>
          <w:spacing w:val="12"/>
          <w:lang w:eastAsia="zh-CN"/>
        </w:rPr>
        <w:t>GDP</w:t>
      </w:r>
      <w:proofErr w:type="gramStart"/>
      <w:r w:rsidRPr="00583A38">
        <w:rPr>
          <w:rFonts w:ascii="微软雅黑" w:eastAsia="微软雅黑" w:hAnsi="微软雅黑" w:cs="微软雅黑" w:hint="eastAsia"/>
          <w:spacing w:val="12"/>
          <w:lang w:eastAsia="zh-CN"/>
        </w:rPr>
        <w:t>年化季环</w:t>
      </w:r>
      <w:proofErr w:type="gramEnd"/>
      <w:r w:rsidRPr="00583A38">
        <w:rPr>
          <w:rFonts w:ascii="微软雅黑" w:eastAsia="微软雅黑" w:hAnsi="微软雅黑" w:cs="微软雅黑" w:hint="eastAsia"/>
          <w:spacing w:val="12"/>
          <w:lang w:eastAsia="zh-CN"/>
        </w:rPr>
        <w:t>比终值上修至</w:t>
      </w:r>
      <w:r w:rsidRPr="00583A38">
        <w:rPr>
          <w:rFonts w:ascii="微软雅黑" w:eastAsia="微软雅黑" w:hAnsi="微软雅黑" w:cs="微软雅黑"/>
          <w:spacing w:val="12"/>
          <w:lang w:eastAsia="zh-CN"/>
        </w:rPr>
        <w:t>3.1%</w:t>
      </w:r>
      <w:r w:rsidRPr="00583A38">
        <w:rPr>
          <w:rFonts w:ascii="微软雅黑" w:eastAsia="微软雅黑" w:hAnsi="微软雅黑" w:cs="微软雅黑" w:hint="eastAsia"/>
          <w:spacing w:val="12"/>
          <w:lang w:eastAsia="zh-CN"/>
        </w:rPr>
        <w:t>，高于预期的</w:t>
      </w:r>
      <w:r w:rsidRPr="00583A38">
        <w:rPr>
          <w:rFonts w:ascii="微软雅黑" w:eastAsia="微软雅黑" w:hAnsi="微软雅黑" w:cs="微软雅黑"/>
          <w:spacing w:val="12"/>
          <w:lang w:eastAsia="zh-CN"/>
        </w:rPr>
        <w:t>2.8%</w:t>
      </w:r>
      <w:r w:rsidRPr="00583A38">
        <w:rPr>
          <w:rFonts w:ascii="微软雅黑" w:eastAsia="微软雅黑" w:hAnsi="微软雅黑" w:cs="微软雅黑" w:hint="eastAsia"/>
          <w:spacing w:val="12"/>
          <w:lang w:eastAsia="zh-CN"/>
        </w:rPr>
        <w:t>。消费者支出增长</w:t>
      </w:r>
      <w:r w:rsidRPr="00583A38">
        <w:rPr>
          <w:rFonts w:ascii="微软雅黑" w:eastAsia="微软雅黑" w:hAnsi="微软雅黑" w:cs="微软雅黑"/>
          <w:spacing w:val="12"/>
          <w:lang w:eastAsia="zh-CN"/>
        </w:rPr>
        <w:t>3.7%</w:t>
      </w:r>
      <w:r w:rsidRPr="00583A38">
        <w:rPr>
          <w:rFonts w:ascii="微软雅黑" w:eastAsia="微软雅黑" w:hAnsi="微软雅黑" w:cs="微软雅黑" w:hint="eastAsia"/>
          <w:spacing w:val="12"/>
          <w:lang w:eastAsia="zh-CN"/>
        </w:rPr>
        <w:t>，为</w:t>
      </w:r>
      <w:r w:rsidRPr="00583A38">
        <w:rPr>
          <w:rFonts w:ascii="微软雅黑" w:eastAsia="微软雅黑" w:hAnsi="微软雅黑" w:cs="微软雅黑"/>
          <w:spacing w:val="12"/>
          <w:lang w:eastAsia="zh-CN"/>
        </w:rPr>
        <w:t>2023</w:t>
      </w:r>
      <w:r w:rsidRPr="00583A38">
        <w:rPr>
          <w:rFonts w:ascii="微软雅黑" w:eastAsia="微软雅黑" w:hAnsi="微软雅黑" w:cs="微软雅黑" w:hint="eastAsia"/>
          <w:spacing w:val="12"/>
          <w:lang w:eastAsia="zh-CN"/>
        </w:rPr>
        <w:t>年初以来的最快增速。出口增长</w:t>
      </w:r>
      <w:r w:rsidRPr="00583A38">
        <w:rPr>
          <w:rFonts w:ascii="微软雅黑" w:eastAsia="微软雅黑" w:hAnsi="微软雅黑" w:cs="微软雅黑"/>
          <w:spacing w:val="12"/>
          <w:lang w:eastAsia="zh-CN"/>
        </w:rPr>
        <w:t>9.6%</w:t>
      </w:r>
      <w:r w:rsidRPr="00583A38">
        <w:rPr>
          <w:rFonts w:ascii="微软雅黑" w:eastAsia="微软雅黑" w:hAnsi="微软雅黑" w:cs="微软雅黑" w:hint="eastAsia"/>
          <w:spacing w:val="12"/>
          <w:lang w:eastAsia="zh-CN"/>
        </w:rPr>
        <w:t>，高于此前预期的</w:t>
      </w:r>
      <w:r w:rsidRPr="00583A38">
        <w:rPr>
          <w:rFonts w:ascii="微软雅黑" w:eastAsia="微软雅黑" w:hAnsi="微软雅黑" w:cs="微软雅黑"/>
          <w:spacing w:val="12"/>
          <w:lang w:eastAsia="zh-CN"/>
        </w:rPr>
        <w:t>7.5%</w:t>
      </w:r>
      <w:r w:rsidRPr="00583A38">
        <w:rPr>
          <w:rFonts w:ascii="微软雅黑" w:eastAsia="微软雅黑" w:hAnsi="微软雅黑" w:cs="微软雅黑" w:hint="eastAsia"/>
          <w:spacing w:val="12"/>
          <w:lang w:eastAsia="zh-CN"/>
        </w:rPr>
        <w:t>。国内方面，商务部：加快出台推进首发经济的政策文件，发展冰雪经济、银发经济，促进数字消费、绿色消费、健康消费。库存方面，截至</w:t>
      </w:r>
      <w:r w:rsidRPr="00583A38">
        <w:rPr>
          <w:rFonts w:ascii="微软雅黑" w:eastAsia="微软雅黑" w:hAnsi="微软雅黑" w:cs="微软雅黑"/>
          <w:spacing w:val="12"/>
          <w:lang w:eastAsia="zh-CN"/>
        </w:rPr>
        <w:t>12</w:t>
      </w:r>
      <w:r w:rsidRPr="00583A38">
        <w:rPr>
          <w:rFonts w:ascii="微软雅黑" w:eastAsia="微软雅黑" w:hAnsi="微软雅黑" w:cs="微软雅黑" w:hint="eastAsia"/>
          <w:spacing w:val="12"/>
          <w:lang w:eastAsia="zh-CN"/>
        </w:rPr>
        <w:t>月</w:t>
      </w:r>
      <w:r w:rsidRPr="00583A38">
        <w:rPr>
          <w:rFonts w:ascii="微软雅黑" w:eastAsia="微软雅黑" w:hAnsi="微软雅黑" w:cs="微软雅黑"/>
          <w:spacing w:val="12"/>
          <w:lang w:eastAsia="zh-CN"/>
        </w:rPr>
        <w:t>19</w:t>
      </w:r>
      <w:r w:rsidRPr="00583A38">
        <w:rPr>
          <w:rFonts w:ascii="微软雅黑" w:eastAsia="微软雅黑" w:hAnsi="微软雅黑" w:cs="微软雅黑" w:hint="eastAsia"/>
          <w:spacing w:val="12"/>
          <w:lang w:eastAsia="zh-CN"/>
        </w:rPr>
        <w:t>日，</w:t>
      </w:r>
      <w:r w:rsidRPr="00583A38">
        <w:rPr>
          <w:rFonts w:ascii="微软雅黑" w:eastAsia="微软雅黑" w:hAnsi="微软雅黑" w:cs="微软雅黑"/>
          <w:spacing w:val="12"/>
          <w:lang w:eastAsia="zh-CN"/>
        </w:rPr>
        <w:t>LME</w:t>
      </w:r>
      <w:r w:rsidRPr="00583A38">
        <w:rPr>
          <w:rFonts w:ascii="微软雅黑" w:eastAsia="微软雅黑" w:hAnsi="微软雅黑" w:cs="微软雅黑" w:hint="eastAsia"/>
          <w:spacing w:val="12"/>
          <w:lang w:eastAsia="zh-CN"/>
        </w:rPr>
        <w:t>铜库存为</w:t>
      </w:r>
      <w:r w:rsidRPr="00583A38">
        <w:rPr>
          <w:rFonts w:ascii="微软雅黑" w:eastAsia="微软雅黑" w:hAnsi="微软雅黑" w:cs="微软雅黑"/>
          <w:spacing w:val="12"/>
          <w:lang w:eastAsia="zh-CN"/>
        </w:rPr>
        <w:t>272325</w:t>
      </w:r>
      <w:r w:rsidRPr="00583A38">
        <w:rPr>
          <w:rFonts w:ascii="微软雅黑" w:eastAsia="微软雅黑" w:hAnsi="微软雅黑" w:cs="微软雅黑" w:hint="eastAsia"/>
          <w:spacing w:val="12"/>
          <w:lang w:eastAsia="zh-CN"/>
        </w:rPr>
        <w:t>吨，环比持平；</w:t>
      </w:r>
      <w:r w:rsidRPr="00583A38">
        <w:rPr>
          <w:rFonts w:ascii="微软雅黑" w:eastAsia="微软雅黑" w:hAnsi="微软雅黑" w:cs="微软雅黑"/>
          <w:spacing w:val="12"/>
          <w:lang w:eastAsia="zh-CN"/>
        </w:rPr>
        <w:t>COMEX</w:t>
      </w:r>
      <w:r w:rsidRPr="00583A38">
        <w:rPr>
          <w:rFonts w:ascii="微软雅黑" w:eastAsia="微软雅黑" w:hAnsi="微软雅黑" w:cs="微软雅黑" w:hint="eastAsia"/>
          <w:spacing w:val="12"/>
          <w:lang w:eastAsia="zh-CN"/>
        </w:rPr>
        <w:t>铜库存</w:t>
      </w:r>
      <w:r w:rsidRPr="00583A38">
        <w:rPr>
          <w:rFonts w:ascii="微软雅黑" w:eastAsia="微软雅黑" w:hAnsi="微软雅黑" w:cs="微软雅黑"/>
          <w:spacing w:val="12"/>
          <w:lang w:eastAsia="zh-CN"/>
        </w:rPr>
        <w:t>93193</w:t>
      </w:r>
      <w:r w:rsidRPr="00583A38">
        <w:rPr>
          <w:rFonts w:ascii="微软雅黑" w:eastAsia="微软雅黑" w:hAnsi="微软雅黑" w:cs="微软雅黑" w:hint="eastAsia"/>
          <w:spacing w:val="12"/>
          <w:lang w:eastAsia="zh-CN"/>
        </w:rPr>
        <w:t>短吨，环比</w:t>
      </w:r>
      <w:r w:rsidRPr="00583A38">
        <w:rPr>
          <w:rFonts w:ascii="微软雅黑" w:eastAsia="微软雅黑" w:hAnsi="微软雅黑" w:cs="微软雅黑"/>
          <w:spacing w:val="12"/>
          <w:lang w:eastAsia="zh-CN"/>
        </w:rPr>
        <w:t>-279</w:t>
      </w:r>
      <w:r w:rsidRPr="00583A38">
        <w:rPr>
          <w:rFonts w:ascii="微软雅黑" w:eastAsia="微软雅黑" w:hAnsi="微软雅黑" w:cs="微软雅黑" w:hint="eastAsia"/>
          <w:spacing w:val="12"/>
          <w:lang w:eastAsia="zh-CN"/>
        </w:rPr>
        <w:t>短吨；</w:t>
      </w:r>
      <w:r w:rsidRPr="00583A38">
        <w:rPr>
          <w:rFonts w:ascii="微软雅黑" w:eastAsia="微软雅黑" w:hAnsi="微软雅黑" w:cs="微软雅黑"/>
          <w:spacing w:val="12"/>
          <w:lang w:eastAsia="zh-CN"/>
        </w:rPr>
        <w:t>SHFE</w:t>
      </w:r>
      <w:r w:rsidRPr="00583A38">
        <w:rPr>
          <w:rFonts w:ascii="微软雅黑" w:eastAsia="微软雅黑" w:hAnsi="微软雅黑" w:cs="微软雅黑" w:hint="eastAsia"/>
          <w:spacing w:val="12"/>
          <w:lang w:eastAsia="zh-CN"/>
        </w:rPr>
        <w:t>每日仓单</w:t>
      </w:r>
      <w:r w:rsidRPr="00583A38">
        <w:rPr>
          <w:rFonts w:ascii="微软雅黑" w:eastAsia="微软雅黑" w:hAnsi="微软雅黑" w:cs="微软雅黑"/>
          <w:spacing w:val="12"/>
          <w:lang w:eastAsia="zh-CN"/>
        </w:rPr>
        <w:t>23825</w:t>
      </w:r>
      <w:r w:rsidRPr="00583A38">
        <w:rPr>
          <w:rFonts w:ascii="微软雅黑" w:eastAsia="微软雅黑" w:hAnsi="微软雅黑" w:cs="微软雅黑" w:hint="eastAsia"/>
          <w:spacing w:val="12"/>
          <w:lang w:eastAsia="zh-CN"/>
        </w:rPr>
        <w:t>吨，环比</w:t>
      </w:r>
      <w:r w:rsidRPr="00583A38">
        <w:rPr>
          <w:rFonts w:ascii="微软雅黑" w:eastAsia="微软雅黑" w:hAnsi="微软雅黑" w:cs="微软雅黑"/>
          <w:spacing w:val="12"/>
          <w:lang w:eastAsia="zh-CN"/>
        </w:rPr>
        <w:t>-3625</w:t>
      </w:r>
      <w:r w:rsidRPr="00583A38">
        <w:rPr>
          <w:rFonts w:ascii="微软雅黑" w:eastAsia="微软雅黑" w:hAnsi="微软雅黑" w:cs="微软雅黑" w:hint="eastAsia"/>
          <w:spacing w:val="12"/>
          <w:lang w:eastAsia="zh-CN"/>
        </w:rPr>
        <w:t>吨。美元美债方面，美国经济数据强化了市场对美联储将在未来一年采取谨慎降息态度的预期，美元指数再创两年来新高，最终收涨</w:t>
      </w:r>
      <w:r w:rsidRPr="00583A38">
        <w:rPr>
          <w:rFonts w:ascii="微软雅黑" w:eastAsia="微软雅黑" w:hAnsi="微软雅黑" w:cs="微软雅黑"/>
          <w:spacing w:val="12"/>
          <w:lang w:eastAsia="zh-CN"/>
        </w:rPr>
        <w:t>0.145%</w:t>
      </w:r>
      <w:r w:rsidRPr="00583A38">
        <w:rPr>
          <w:rFonts w:ascii="微软雅黑" w:eastAsia="微软雅黑" w:hAnsi="微软雅黑" w:cs="微软雅黑" w:hint="eastAsia"/>
          <w:spacing w:val="12"/>
          <w:lang w:eastAsia="zh-CN"/>
        </w:rPr>
        <w:t>，报</w:t>
      </w:r>
      <w:r w:rsidRPr="00583A38">
        <w:rPr>
          <w:rFonts w:ascii="微软雅黑" w:eastAsia="微软雅黑" w:hAnsi="微软雅黑" w:cs="微软雅黑"/>
          <w:spacing w:val="12"/>
          <w:lang w:eastAsia="zh-CN"/>
        </w:rPr>
        <w:t>108.42</w:t>
      </w:r>
      <w:r w:rsidRPr="00583A38">
        <w:rPr>
          <w:rFonts w:ascii="微软雅黑" w:eastAsia="微软雅黑" w:hAnsi="微软雅黑" w:cs="微软雅黑" w:hint="eastAsia"/>
          <w:spacing w:val="12"/>
          <w:lang w:eastAsia="zh-CN"/>
        </w:rPr>
        <w:t>。美债收益率涨跌互现，</w:t>
      </w:r>
      <w:proofErr w:type="gramStart"/>
      <w:r w:rsidRPr="00583A38">
        <w:rPr>
          <w:rFonts w:ascii="微软雅黑" w:eastAsia="微软雅黑" w:hAnsi="微软雅黑" w:cs="微软雅黑" w:hint="eastAsia"/>
          <w:spacing w:val="12"/>
          <w:lang w:eastAsia="zh-CN"/>
        </w:rPr>
        <w:t>两年期美债</w:t>
      </w:r>
      <w:proofErr w:type="gramEnd"/>
      <w:r w:rsidRPr="00583A38">
        <w:rPr>
          <w:rFonts w:ascii="微软雅黑" w:eastAsia="微软雅黑" w:hAnsi="微软雅黑" w:cs="微软雅黑" w:hint="eastAsia"/>
          <w:spacing w:val="12"/>
          <w:lang w:eastAsia="zh-CN"/>
        </w:rPr>
        <w:t>收益率小幅回落，收报</w:t>
      </w:r>
      <w:r w:rsidRPr="00583A38">
        <w:rPr>
          <w:rFonts w:ascii="微软雅黑" w:eastAsia="微软雅黑" w:hAnsi="微软雅黑" w:cs="微软雅黑"/>
          <w:spacing w:val="12"/>
          <w:lang w:eastAsia="zh-CN"/>
        </w:rPr>
        <w:t>4.363%</w:t>
      </w:r>
      <w:r w:rsidRPr="00583A38">
        <w:rPr>
          <w:rFonts w:ascii="微软雅黑" w:eastAsia="微软雅黑" w:hAnsi="微软雅黑" w:cs="微软雅黑" w:hint="eastAsia"/>
          <w:spacing w:val="12"/>
          <w:lang w:eastAsia="zh-CN"/>
        </w:rPr>
        <w:t>，</w:t>
      </w:r>
      <w:proofErr w:type="gramStart"/>
      <w:r w:rsidRPr="00583A38">
        <w:rPr>
          <w:rFonts w:ascii="微软雅黑" w:eastAsia="微软雅黑" w:hAnsi="微软雅黑" w:cs="微软雅黑"/>
          <w:spacing w:val="12"/>
          <w:lang w:eastAsia="zh-CN"/>
        </w:rPr>
        <w:t>10</w:t>
      </w:r>
      <w:r w:rsidRPr="00583A38">
        <w:rPr>
          <w:rFonts w:ascii="微软雅黑" w:eastAsia="微软雅黑" w:hAnsi="微软雅黑" w:cs="微软雅黑" w:hint="eastAsia"/>
          <w:spacing w:val="12"/>
          <w:lang w:eastAsia="zh-CN"/>
        </w:rPr>
        <w:t>年期美债</w:t>
      </w:r>
      <w:proofErr w:type="gramEnd"/>
      <w:r w:rsidRPr="00583A38">
        <w:rPr>
          <w:rFonts w:ascii="微软雅黑" w:eastAsia="微软雅黑" w:hAnsi="微软雅黑" w:cs="微软雅黑" w:hint="eastAsia"/>
          <w:spacing w:val="12"/>
          <w:lang w:eastAsia="zh-CN"/>
        </w:rPr>
        <w:t>收益率则一度逼近</w:t>
      </w:r>
      <w:r w:rsidRPr="00583A38">
        <w:rPr>
          <w:rFonts w:ascii="微软雅黑" w:eastAsia="微软雅黑" w:hAnsi="微软雅黑" w:cs="微软雅黑"/>
          <w:spacing w:val="12"/>
          <w:lang w:eastAsia="zh-CN"/>
        </w:rPr>
        <w:t>4.6%</w:t>
      </w:r>
      <w:r w:rsidRPr="00583A38">
        <w:rPr>
          <w:rFonts w:ascii="微软雅黑" w:eastAsia="微软雅黑" w:hAnsi="微软雅黑" w:cs="微软雅黑" w:hint="eastAsia"/>
          <w:spacing w:val="12"/>
          <w:lang w:eastAsia="zh-CN"/>
        </w:rPr>
        <w:t>关口，最终收报</w:t>
      </w:r>
      <w:r w:rsidRPr="00583A38">
        <w:rPr>
          <w:rFonts w:ascii="微软雅黑" w:eastAsia="微软雅黑" w:hAnsi="微软雅黑" w:cs="微软雅黑"/>
          <w:spacing w:val="12"/>
          <w:lang w:eastAsia="zh-CN"/>
        </w:rPr>
        <w:t>4.575%</w:t>
      </w:r>
      <w:r w:rsidRPr="00583A38">
        <w:rPr>
          <w:rFonts w:ascii="微软雅黑" w:eastAsia="微软雅黑" w:hAnsi="微软雅黑" w:cs="微软雅黑" w:hint="eastAsia"/>
          <w:spacing w:val="12"/>
          <w:lang w:eastAsia="zh-CN"/>
        </w:rPr>
        <w:t>。美国</w:t>
      </w:r>
      <w:r w:rsidRPr="00583A38">
        <w:rPr>
          <w:rFonts w:ascii="微软雅黑" w:eastAsia="微软雅黑" w:hAnsi="微软雅黑" w:cs="微软雅黑"/>
          <w:spacing w:val="12"/>
          <w:lang w:eastAsia="zh-CN"/>
        </w:rPr>
        <w:t>2-10</w:t>
      </w:r>
      <w:r w:rsidRPr="00583A38">
        <w:rPr>
          <w:rFonts w:ascii="微软雅黑" w:eastAsia="微软雅黑" w:hAnsi="微软雅黑" w:cs="微软雅黑" w:hint="eastAsia"/>
          <w:spacing w:val="12"/>
          <w:lang w:eastAsia="zh-CN"/>
        </w:rPr>
        <w:t>年期国债收益率利差创</w:t>
      </w:r>
      <w:r w:rsidRPr="00583A38">
        <w:rPr>
          <w:rFonts w:ascii="微软雅黑" w:eastAsia="微软雅黑" w:hAnsi="微软雅黑" w:cs="微软雅黑"/>
          <w:spacing w:val="12"/>
          <w:lang w:eastAsia="zh-CN"/>
        </w:rPr>
        <w:t>2022</w:t>
      </w:r>
      <w:r w:rsidRPr="00583A38">
        <w:rPr>
          <w:rFonts w:ascii="微软雅黑" w:eastAsia="微软雅黑" w:hAnsi="微软雅黑" w:cs="微软雅黑" w:hint="eastAsia"/>
          <w:spacing w:val="12"/>
          <w:lang w:eastAsia="zh-CN"/>
        </w:rPr>
        <w:t>年</w:t>
      </w:r>
      <w:r w:rsidRPr="00583A38">
        <w:rPr>
          <w:rFonts w:ascii="微软雅黑" w:eastAsia="微软雅黑" w:hAnsi="微软雅黑" w:cs="微软雅黑"/>
          <w:spacing w:val="12"/>
          <w:lang w:eastAsia="zh-CN"/>
        </w:rPr>
        <w:t>6</w:t>
      </w:r>
      <w:r w:rsidRPr="00583A38">
        <w:rPr>
          <w:rFonts w:ascii="微软雅黑" w:eastAsia="微软雅黑" w:hAnsi="微软雅黑" w:cs="微软雅黑" w:hint="eastAsia"/>
          <w:spacing w:val="12"/>
          <w:lang w:eastAsia="zh-CN"/>
        </w:rPr>
        <w:t>月份以来新高。操作建议，</w:t>
      </w:r>
      <w:proofErr w:type="gramStart"/>
      <w:r w:rsidRPr="00583A38">
        <w:rPr>
          <w:rFonts w:ascii="微软雅黑" w:eastAsia="微软雅黑" w:hAnsi="微软雅黑" w:cs="微软雅黑" w:hint="eastAsia"/>
          <w:spacing w:val="12"/>
          <w:lang w:eastAsia="zh-CN"/>
        </w:rPr>
        <w:t>纽</w:t>
      </w:r>
      <w:proofErr w:type="gramEnd"/>
      <w:r w:rsidRPr="00583A38">
        <w:rPr>
          <w:rFonts w:ascii="微软雅黑" w:eastAsia="微软雅黑" w:hAnsi="微软雅黑" w:cs="微软雅黑" w:hint="eastAsia"/>
          <w:spacing w:val="12"/>
          <w:lang w:eastAsia="zh-CN"/>
        </w:rPr>
        <w:t>铜主力合约轻仓震荡偏弱交易，仅供参考。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Pr>
          <w:rFonts w:ascii="微软雅黑" w:eastAsia="微软雅黑" w:hAnsi="微软雅黑" w:cs="微软雅黑" w:hint="eastAsia"/>
          <w:spacing w:val="7"/>
          <w:lang w:eastAsia="zh-CN"/>
        </w:rPr>
        <w:t>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6B4BE7" w:rsidRDefault="00583A38">
      <w:pPr>
        <w:spacing w:before="103" w:line="256" w:lineRule="auto"/>
        <w:ind w:right="743"/>
        <w:jc w:val="both"/>
      </w:pPr>
      <w:r>
        <w:rPr>
          <w:noProof/>
          <w:lang w:eastAsia="zh-CN"/>
        </w:rPr>
        <w:drawing>
          <wp:inline distT="0" distB="0" distL="0" distR="0" wp14:anchorId="15BB00A0" wp14:editId="4213C8CD">
            <wp:extent cx="6055359" cy="2194560"/>
            <wp:effectExtent l="0" t="0" r="317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1788" cy="2200514"/>
                    </a:xfrm>
                    <a:prstGeom prst="rect">
                      <a:avLst/>
                    </a:prstGeom>
                  </pic:spPr>
                </pic:pic>
              </a:graphicData>
            </a:graphic>
          </wp:inline>
        </w:drawing>
      </w:r>
    </w:p>
    <w:p w:rsidR="002D3C2B" w:rsidRDefault="00115A1A" w:rsidP="002D3C2B">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rsidR="00376CF6" w:rsidRDefault="00376CF6" w:rsidP="002D3C2B">
      <w:pPr>
        <w:spacing w:before="120" w:line="190" w:lineRule="auto"/>
        <w:jc w:val="both"/>
        <w:rPr>
          <w:rFonts w:ascii="微软雅黑" w:eastAsia="微软雅黑" w:hAnsi="微软雅黑" w:cs="微软雅黑"/>
          <w:b/>
          <w:bCs/>
          <w:spacing w:val="12"/>
          <w:lang w:eastAsia="zh-CN"/>
        </w:rPr>
      </w:pPr>
    </w:p>
    <w:p w:rsidR="009372C5" w:rsidRPr="002D3C2B" w:rsidRDefault="00115A1A" w:rsidP="002D3C2B">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rsidR="00C125FF" w:rsidRPr="00C125FF" w:rsidRDefault="001175F7" w:rsidP="00574708">
      <w:pPr>
        <w:spacing w:before="103" w:line="256" w:lineRule="auto"/>
        <w:ind w:right="743" w:firstLine="44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昨日公布的美国上周初请失业</w:t>
      </w:r>
      <w:proofErr w:type="gramStart"/>
      <w:r w:rsidRPr="001175F7">
        <w:rPr>
          <w:rFonts w:ascii="微软雅黑" w:eastAsia="微软雅黑" w:hAnsi="微软雅黑" w:cs="微软雅黑" w:hint="eastAsia"/>
          <w:spacing w:val="12"/>
          <w:lang w:eastAsia="zh-CN"/>
        </w:rPr>
        <w:t>金人数</w:t>
      </w:r>
      <w:proofErr w:type="gramEnd"/>
      <w:r w:rsidRPr="001175F7">
        <w:rPr>
          <w:rFonts w:ascii="微软雅黑" w:eastAsia="微软雅黑" w:hAnsi="微软雅黑" w:cs="微软雅黑" w:hint="eastAsia"/>
          <w:spacing w:val="12"/>
          <w:lang w:eastAsia="zh-CN"/>
        </w:rPr>
        <w:t>下降</w:t>
      </w:r>
      <w:r w:rsidRPr="001175F7">
        <w:rPr>
          <w:rFonts w:ascii="微软雅黑" w:eastAsia="微软雅黑" w:hAnsi="微软雅黑" w:cs="微软雅黑"/>
          <w:spacing w:val="12"/>
          <w:lang w:eastAsia="zh-CN"/>
        </w:rPr>
        <w:t>2.2</w:t>
      </w:r>
      <w:r w:rsidRPr="001175F7">
        <w:rPr>
          <w:rFonts w:ascii="微软雅黑" w:eastAsia="微软雅黑" w:hAnsi="微软雅黑" w:cs="微软雅黑" w:hint="eastAsia"/>
          <w:spacing w:val="12"/>
          <w:lang w:eastAsia="zh-CN"/>
        </w:rPr>
        <w:t>万人至</w:t>
      </w:r>
      <w:r w:rsidRPr="001175F7">
        <w:rPr>
          <w:rFonts w:ascii="微软雅黑" w:eastAsia="微软雅黑" w:hAnsi="微软雅黑" w:cs="微软雅黑"/>
          <w:spacing w:val="12"/>
          <w:lang w:eastAsia="zh-CN"/>
        </w:rPr>
        <w:t>22</w:t>
      </w:r>
      <w:r w:rsidRPr="001175F7">
        <w:rPr>
          <w:rFonts w:ascii="微软雅黑" w:eastAsia="微软雅黑" w:hAnsi="微软雅黑" w:cs="微软雅黑" w:hint="eastAsia"/>
          <w:spacing w:val="12"/>
          <w:lang w:eastAsia="zh-CN"/>
        </w:rPr>
        <w:t>万人，低于预期的</w:t>
      </w:r>
      <w:r w:rsidRPr="001175F7">
        <w:rPr>
          <w:rFonts w:ascii="微软雅黑" w:eastAsia="微软雅黑" w:hAnsi="微软雅黑" w:cs="微软雅黑"/>
          <w:spacing w:val="12"/>
          <w:lang w:eastAsia="zh-CN"/>
        </w:rPr>
        <w:t>23</w:t>
      </w:r>
      <w:r w:rsidRPr="001175F7">
        <w:rPr>
          <w:rFonts w:ascii="微软雅黑" w:eastAsia="微软雅黑" w:hAnsi="微软雅黑" w:cs="微软雅黑" w:hint="eastAsia"/>
          <w:spacing w:val="12"/>
          <w:lang w:eastAsia="zh-CN"/>
        </w:rPr>
        <w:t>万人。前一周</w:t>
      </w:r>
      <w:proofErr w:type="gramStart"/>
      <w:r w:rsidRPr="001175F7">
        <w:rPr>
          <w:rFonts w:ascii="微软雅黑" w:eastAsia="微软雅黑" w:hAnsi="微软雅黑" w:cs="微软雅黑" w:hint="eastAsia"/>
          <w:spacing w:val="12"/>
          <w:lang w:eastAsia="zh-CN"/>
        </w:rPr>
        <w:t>续请失业金人数</w:t>
      </w:r>
      <w:proofErr w:type="gramEnd"/>
      <w:r w:rsidRPr="001175F7">
        <w:rPr>
          <w:rFonts w:ascii="微软雅黑" w:eastAsia="微软雅黑" w:hAnsi="微软雅黑" w:cs="微软雅黑" w:hint="eastAsia"/>
          <w:spacing w:val="12"/>
          <w:lang w:eastAsia="zh-CN"/>
        </w:rPr>
        <w:t>下降</w:t>
      </w:r>
      <w:r w:rsidRPr="001175F7">
        <w:rPr>
          <w:rFonts w:ascii="微软雅黑" w:eastAsia="微软雅黑" w:hAnsi="微软雅黑" w:cs="微软雅黑"/>
          <w:spacing w:val="12"/>
          <w:lang w:eastAsia="zh-CN"/>
        </w:rPr>
        <w:t>5000</w:t>
      </w:r>
      <w:r w:rsidRPr="001175F7">
        <w:rPr>
          <w:rFonts w:ascii="微软雅黑" w:eastAsia="微软雅黑" w:hAnsi="微软雅黑" w:cs="微软雅黑" w:hint="eastAsia"/>
          <w:spacing w:val="12"/>
          <w:lang w:eastAsia="zh-CN"/>
        </w:rPr>
        <w:t>人至</w:t>
      </w:r>
      <w:r w:rsidRPr="001175F7">
        <w:rPr>
          <w:rFonts w:ascii="微软雅黑" w:eastAsia="微软雅黑" w:hAnsi="微软雅黑" w:cs="微软雅黑"/>
          <w:spacing w:val="12"/>
          <w:lang w:eastAsia="zh-CN"/>
        </w:rPr>
        <w:t>187.4</w:t>
      </w:r>
      <w:r w:rsidRPr="001175F7">
        <w:rPr>
          <w:rFonts w:ascii="微软雅黑" w:eastAsia="微软雅黑" w:hAnsi="微软雅黑" w:cs="微软雅黑" w:hint="eastAsia"/>
          <w:spacing w:val="12"/>
          <w:lang w:eastAsia="zh-CN"/>
        </w:rPr>
        <w:t>万人，整体失业</w:t>
      </w:r>
      <w:proofErr w:type="gramStart"/>
      <w:r w:rsidRPr="001175F7">
        <w:rPr>
          <w:rFonts w:ascii="微软雅黑" w:eastAsia="微软雅黑" w:hAnsi="微软雅黑" w:cs="微软雅黑" w:hint="eastAsia"/>
          <w:spacing w:val="12"/>
          <w:lang w:eastAsia="zh-CN"/>
        </w:rPr>
        <w:t>初请金持续</w:t>
      </w:r>
      <w:proofErr w:type="gramEnd"/>
      <w:r w:rsidRPr="001175F7">
        <w:rPr>
          <w:rFonts w:ascii="微软雅黑" w:eastAsia="微软雅黑" w:hAnsi="微软雅黑" w:cs="微软雅黑" w:hint="eastAsia"/>
          <w:spacing w:val="12"/>
          <w:lang w:eastAsia="zh-CN"/>
        </w:rPr>
        <w:t>回落或暗示劳动力市场仍抱有一定韧性。美国第三季度实际</w:t>
      </w:r>
      <w:r w:rsidRPr="001175F7">
        <w:rPr>
          <w:rFonts w:ascii="微软雅黑" w:eastAsia="微软雅黑" w:hAnsi="微软雅黑" w:cs="微软雅黑"/>
          <w:spacing w:val="12"/>
          <w:lang w:eastAsia="zh-CN"/>
        </w:rPr>
        <w:t>GDP</w:t>
      </w:r>
      <w:proofErr w:type="gramStart"/>
      <w:r w:rsidRPr="001175F7">
        <w:rPr>
          <w:rFonts w:ascii="微软雅黑" w:eastAsia="微软雅黑" w:hAnsi="微软雅黑" w:cs="微软雅黑" w:hint="eastAsia"/>
          <w:spacing w:val="12"/>
          <w:lang w:eastAsia="zh-CN"/>
        </w:rPr>
        <w:t>年化季环</w:t>
      </w:r>
      <w:proofErr w:type="gramEnd"/>
      <w:r w:rsidRPr="001175F7">
        <w:rPr>
          <w:rFonts w:ascii="微软雅黑" w:eastAsia="微软雅黑" w:hAnsi="微软雅黑" w:cs="微软雅黑" w:hint="eastAsia"/>
          <w:spacing w:val="12"/>
          <w:lang w:eastAsia="zh-CN"/>
        </w:rPr>
        <w:t>比终值上修至</w:t>
      </w:r>
      <w:r w:rsidRPr="001175F7">
        <w:rPr>
          <w:rFonts w:ascii="微软雅黑" w:eastAsia="微软雅黑" w:hAnsi="微软雅黑" w:cs="微软雅黑"/>
          <w:spacing w:val="12"/>
          <w:lang w:eastAsia="zh-CN"/>
        </w:rPr>
        <w:t>3.1%</w:t>
      </w:r>
      <w:r w:rsidRPr="001175F7">
        <w:rPr>
          <w:rFonts w:ascii="微软雅黑" w:eastAsia="微软雅黑" w:hAnsi="微软雅黑" w:cs="微软雅黑" w:hint="eastAsia"/>
          <w:spacing w:val="12"/>
          <w:lang w:eastAsia="zh-CN"/>
        </w:rPr>
        <w:t>，高于预期的</w:t>
      </w:r>
      <w:r w:rsidRPr="001175F7">
        <w:rPr>
          <w:rFonts w:ascii="微软雅黑" w:eastAsia="微软雅黑" w:hAnsi="微软雅黑" w:cs="微软雅黑"/>
          <w:spacing w:val="12"/>
          <w:lang w:eastAsia="zh-CN"/>
        </w:rPr>
        <w:t>2.8%</w:t>
      </w:r>
      <w:r w:rsidRPr="001175F7">
        <w:rPr>
          <w:rFonts w:ascii="微软雅黑" w:eastAsia="微软雅黑" w:hAnsi="微软雅黑" w:cs="微软雅黑" w:hint="eastAsia"/>
          <w:spacing w:val="12"/>
          <w:lang w:eastAsia="zh-CN"/>
        </w:rPr>
        <w:t>。消费者支出增长</w:t>
      </w:r>
      <w:r w:rsidRPr="001175F7">
        <w:rPr>
          <w:rFonts w:ascii="微软雅黑" w:eastAsia="微软雅黑" w:hAnsi="微软雅黑" w:cs="微软雅黑"/>
          <w:spacing w:val="12"/>
          <w:lang w:eastAsia="zh-CN"/>
        </w:rPr>
        <w:t>3.7%</w:t>
      </w:r>
      <w:r w:rsidRPr="001175F7">
        <w:rPr>
          <w:rFonts w:ascii="微软雅黑" w:eastAsia="微软雅黑" w:hAnsi="微软雅黑" w:cs="微软雅黑" w:hint="eastAsia"/>
          <w:spacing w:val="12"/>
          <w:lang w:eastAsia="zh-CN"/>
        </w:rPr>
        <w:t>，为</w:t>
      </w:r>
      <w:r w:rsidRPr="001175F7">
        <w:rPr>
          <w:rFonts w:ascii="微软雅黑" w:eastAsia="微软雅黑" w:hAnsi="微软雅黑" w:cs="微软雅黑"/>
          <w:spacing w:val="12"/>
          <w:lang w:eastAsia="zh-CN"/>
        </w:rPr>
        <w:t>2023</w:t>
      </w:r>
      <w:r w:rsidRPr="001175F7">
        <w:rPr>
          <w:rFonts w:ascii="微软雅黑" w:eastAsia="微软雅黑" w:hAnsi="微软雅黑" w:cs="微软雅黑" w:hint="eastAsia"/>
          <w:spacing w:val="12"/>
          <w:lang w:eastAsia="zh-CN"/>
        </w:rPr>
        <w:t>年初以来的最快增速。出口增长</w:t>
      </w:r>
      <w:r w:rsidRPr="001175F7">
        <w:rPr>
          <w:rFonts w:ascii="微软雅黑" w:eastAsia="微软雅黑" w:hAnsi="微软雅黑" w:cs="微软雅黑"/>
          <w:spacing w:val="12"/>
          <w:lang w:eastAsia="zh-CN"/>
        </w:rPr>
        <w:t>9.6%</w:t>
      </w:r>
      <w:r w:rsidRPr="001175F7">
        <w:rPr>
          <w:rFonts w:ascii="微软雅黑" w:eastAsia="微软雅黑" w:hAnsi="微软雅黑" w:cs="微软雅黑" w:hint="eastAsia"/>
          <w:spacing w:val="12"/>
          <w:lang w:eastAsia="zh-CN"/>
        </w:rPr>
        <w:t>，高于此前预期的</w:t>
      </w:r>
      <w:r w:rsidRPr="001175F7">
        <w:rPr>
          <w:rFonts w:ascii="微软雅黑" w:eastAsia="微软雅黑" w:hAnsi="微软雅黑" w:cs="微软雅黑"/>
          <w:spacing w:val="12"/>
          <w:lang w:eastAsia="zh-CN"/>
        </w:rPr>
        <w:t>7.5%</w:t>
      </w:r>
      <w:r w:rsidRPr="001175F7">
        <w:rPr>
          <w:rFonts w:ascii="微软雅黑" w:eastAsia="微软雅黑" w:hAnsi="微软雅黑" w:cs="微软雅黑" w:hint="eastAsia"/>
          <w:spacing w:val="12"/>
          <w:lang w:eastAsia="zh-CN"/>
        </w:rPr>
        <w:t>。整体经济数据不减反升侧面体现需求水平不减，市场或进一步加深对未来货币政策维持紧缩的预期。往后看，短期内在美联储鹰派基调明确的情况下，市场或持续上调未来的利率预期，美元指数及美债收益率或持续缓慢上涨，贵金属价格或相对承压，操作上建议，日内轻仓做空，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Pr="00D01818">
        <w:rPr>
          <w:rFonts w:ascii="微软雅黑" w:eastAsia="微软雅黑" w:hAnsi="微软雅黑" w:cs="微软雅黑" w:hint="eastAsia"/>
          <w:spacing w:val="7"/>
          <w:lang w:eastAsia="zh-CN"/>
        </w:rPr>
        <w:t>6：COMEX黄金日线走势</w:t>
      </w:r>
      <w:r w:rsidRPr="0067592E">
        <w:rPr>
          <w:rFonts w:ascii="微软雅黑" w:eastAsia="微软雅黑" w:hAnsi="微软雅黑" w:cs="微软雅黑" w:hint="eastAsia"/>
          <w:spacing w:val="7"/>
          <w:lang w:eastAsia="zh-CN"/>
        </w:rPr>
        <w:t>图</w:t>
      </w:r>
    </w:p>
    <w:p w:rsidR="009372C5" w:rsidRDefault="001175F7">
      <w:pPr>
        <w:spacing w:before="103" w:line="256" w:lineRule="auto"/>
        <w:ind w:right="743"/>
        <w:jc w:val="both"/>
        <w:rPr>
          <w:rFonts w:ascii="微软雅黑" w:eastAsia="微软雅黑" w:hAnsi="微软雅黑" w:cs="微软雅黑"/>
          <w:spacing w:val="12"/>
          <w:sz w:val="24"/>
          <w:szCs w:val="24"/>
          <w:lang w:eastAsia="zh-CN"/>
        </w:rPr>
      </w:pPr>
      <w:r>
        <w:rPr>
          <w:noProof/>
          <w:snapToGrid/>
          <w:lang w:eastAsia="zh-CN"/>
        </w:rPr>
        <w:lastRenderedPageBreak/>
        <w:drawing>
          <wp:inline distT="0" distB="0" distL="0" distR="0" wp14:anchorId="67F4A817" wp14:editId="39334B18">
            <wp:extent cx="6096000" cy="24180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6000" cy="2418080"/>
                    </a:xfrm>
                    <a:prstGeom prst="rect">
                      <a:avLst/>
                    </a:prstGeom>
                  </pic:spPr>
                </pic:pic>
              </a:graphicData>
            </a:graphic>
          </wp:inline>
        </w:drawing>
      </w:r>
    </w:p>
    <w:p w:rsidR="007F6813" w:rsidRDefault="00115A1A" w:rsidP="00923293">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rsidR="00892B66" w:rsidRDefault="00892B66">
      <w:pPr>
        <w:spacing w:before="103" w:line="256" w:lineRule="auto"/>
        <w:ind w:right="743"/>
        <w:jc w:val="both"/>
        <w:rPr>
          <w:rFonts w:ascii="微软雅黑" w:eastAsia="微软雅黑" w:hAnsi="微软雅黑" w:cs="微软雅黑"/>
          <w:b/>
          <w:bCs/>
          <w:spacing w:val="12"/>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DE289B" w:rsidRDefault="00DB2737" w:rsidP="00DB2737">
      <w:pPr>
        <w:spacing w:before="103" w:line="256" w:lineRule="auto"/>
        <w:ind w:right="743" w:firstLineChars="200" w:firstLine="448"/>
        <w:jc w:val="both"/>
        <w:rPr>
          <w:rFonts w:ascii="微软雅黑" w:eastAsia="微软雅黑" w:hAnsi="微软雅黑" w:cs="微软雅黑"/>
          <w:spacing w:val="7"/>
          <w:lang w:eastAsia="zh-CN"/>
        </w:rPr>
      </w:pPr>
      <w:r w:rsidRPr="00DB2737">
        <w:rPr>
          <w:rFonts w:ascii="微软雅黑" w:eastAsia="微软雅黑" w:hAnsi="微软雅黑" w:cs="微软雅黑" w:hint="eastAsia"/>
          <w:spacing w:val="7"/>
          <w:lang w:eastAsia="zh-CN"/>
        </w:rPr>
        <w:t>美国能源信息署</w:t>
      </w:r>
      <w:r w:rsidRPr="00DB2737">
        <w:rPr>
          <w:rFonts w:ascii="微软雅黑" w:eastAsia="微软雅黑" w:hAnsi="微软雅黑" w:cs="微软雅黑"/>
          <w:spacing w:val="7"/>
          <w:lang w:eastAsia="zh-CN"/>
        </w:rPr>
        <w:t>(EIA)</w:t>
      </w:r>
      <w:r w:rsidRPr="00DB2737">
        <w:rPr>
          <w:rFonts w:ascii="微软雅黑" w:eastAsia="微软雅黑" w:hAnsi="微软雅黑" w:cs="微软雅黑" w:hint="eastAsia"/>
          <w:spacing w:val="7"/>
          <w:lang w:eastAsia="zh-CN"/>
        </w:rPr>
        <w:t>公布的数据显示，截至</w:t>
      </w:r>
      <w:r w:rsidRPr="00DB2737">
        <w:rPr>
          <w:rFonts w:ascii="微软雅黑" w:eastAsia="微软雅黑" w:hAnsi="微软雅黑" w:cs="微软雅黑"/>
          <w:spacing w:val="7"/>
          <w:lang w:eastAsia="zh-CN"/>
        </w:rPr>
        <w:t>12</w:t>
      </w:r>
      <w:r w:rsidRPr="00DB2737">
        <w:rPr>
          <w:rFonts w:ascii="微软雅黑" w:eastAsia="微软雅黑" w:hAnsi="微软雅黑" w:cs="微软雅黑" w:hint="eastAsia"/>
          <w:spacing w:val="7"/>
          <w:lang w:eastAsia="zh-CN"/>
        </w:rPr>
        <w:t>月</w:t>
      </w:r>
      <w:r w:rsidRPr="00DB2737">
        <w:rPr>
          <w:rFonts w:ascii="微软雅黑" w:eastAsia="微软雅黑" w:hAnsi="微软雅黑" w:cs="微软雅黑"/>
          <w:spacing w:val="7"/>
          <w:lang w:eastAsia="zh-CN"/>
        </w:rPr>
        <w:t>6</w:t>
      </w:r>
      <w:r w:rsidRPr="00DB2737">
        <w:rPr>
          <w:rFonts w:ascii="微软雅黑" w:eastAsia="微软雅黑" w:hAnsi="微软雅黑" w:cs="微软雅黑" w:hint="eastAsia"/>
          <w:spacing w:val="7"/>
          <w:lang w:eastAsia="zh-CN"/>
        </w:rPr>
        <w:t>日当周美国商业原油库存减少</w:t>
      </w:r>
      <w:r w:rsidRPr="00DB2737">
        <w:rPr>
          <w:rFonts w:ascii="微软雅黑" w:eastAsia="微软雅黑" w:hAnsi="微软雅黑" w:cs="微软雅黑"/>
          <w:spacing w:val="7"/>
          <w:lang w:eastAsia="zh-CN"/>
        </w:rPr>
        <w:t>142.5</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4.22</w:t>
      </w:r>
      <w:r w:rsidRPr="00DB2737">
        <w:rPr>
          <w:rFonts w:ascii="微软雅黑" w:eastAsia="微软雅黑" w:hAnsi="微软雅黑" w:cs="微软雅黑" w:hint="eastAsia"/>
          <w:spacing w:val="7"/>
          <w:lang w:eastAsia="zh-CN"/>
        </w:rPr>
        <w:t>亿桶，预期减少</w:t>
      </w:r>
      <w:r w:rsidRPr="00DB2737">
        <w:rPr>
          <w:rFonts w:ascii="微软雅黑" w:eastAsia="微软雅黑" w:hAnsi="微软雅黑" w:cs="微软雅黑"/>
          <w:spacing w:val="7"/>
          <w:lang w:eastAsia="zh-CN"/>
        </w:rPr>
        <w:t>90</w:t>
      </w:r>
      <w:r w:rsidRPr="00DB2737">
        <w:rPr>
          <w:rFonts w:ascii="微软雅黑" w:eastAsia="微软雅黑" w:hAnsi="微软雅黑" w:cs="微软雅黑" w:hint="eastAsia"/>
          <w:spacing w:val="7"/>
          <w:lang w:eastAsia="zh-CN"/>
        </w:rPr>
        <w:t>万桶；</w:t>
      </w:r>
      <w:proofErr w:type="gramStart"/>
      <w:r w:rsidRPr="00DB2737">
        <w:rPr>
          <w:rFonts w:ascii="微软雅黑" w:eastAsia="微软雅黑" w:hAnsi="微软雅黑" w:cs="微软雅黑" w:hint="eastAsia"/>
          <w:spacing w:val="7"/>
          <w:lang w:eastAsia="zh-CN"/>
        </w:rPr>
        <w:t>库欣原油</w:t>
      </w:r>
      <w:proofErr w:type="gramEnd"/>
      <w:r w:rsidRPr="00DB2737">
        <w:rPr>
          <w:rFonts w:ascii="微软雅黑" w:eastAsia="微软雅黑" w:hAnsi="微软雅黑" w:cs="微软雅黑" w:hint="eastAsia"/>
          <w:spacing w:val="7"/>
          <w:lang w:eastAsia="zh-CN"/>
        </w:rPr>
        <w:t>库存减少</w:t>
      </w:r>
      <w:r w:rsidRPr="00DB2737">
        <w:rPr>
          <w:rFonts w:ascii="微软雅黑" w:eastAsia="微软雅黑" w:hAnsi="微软雅黑" w:cs="微软雅黑"/>
          <w:spacing w:val="7"/>
          <w:lang w:eastAsia="zh-CN"/>
        </w:rPr>
        <w:t>129.8</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2289.4</w:t>
      </w:r>
      <w:r w:rsidRPr="00DB2737">
        <w:rPr>
          <w:rFonts w:ascii="微软雅黑" w:eastAsia="微软雅黑" w:hAnsi="微软雅黑" w:cs="微软雅黑" w:hint="eastAsia"/>
          <w:spacing w:val="7"/>
          <w:lang w:eastAsia="zh-CN"/>
        </w:rPr>
        <w:t>万桶；汽油库存增加</w:t>
      </w:r>
      <w:r w:rsidRPr="00DB2737">
        <w:rPr>
          <w:rFonts w:ascii="微软雅黑" w:eastAsia="微软雅黑" w:hAnsi="微软雅黑" w:cs="微软雅黑"/>
          <w:spacing w:val="7"/>
          <w:lang w:eastAsia="zh-CN"/>
        </w:rPr>
        <w:t>508.6</w:t>
      </w:r>
      <w:r w:rsidRPr="00DB2737">
        <w:rPr>
          <w:rFonts w:ascii="微软雅黑" w:eastAsia="微软雅黑" w:hAnsi="微软雅黑" w:cs="微软雅黑" w:hint="eastAsia"/>
          <w:spacing w:val="7"/>
          <w:lang w:eastAsia="zh-CN"/>
        </w:rPr>
        <w:t>万桶，精炼油库存增加</w:t>
      </w:r>
      <w:r w:rsidRPr="00DB2737">
        <w:rPr>
          <w:rFonts w:ascii="微软雅黑" w:eastAsia="微软雅黑" w:hAnsi="微软雅黑" w:cs="微软雅黑"/>
          <w:spacing w:val="7"/>
          <w:lang w:eastAsia="zh-CN"/>
        </w:rPr>
        <w:t>323.5</w:t>
      </w:r>
      <w:r w:rsidRPr="00DB2737">
        <w:rPr>
          <w:rFonts w:ascii="微软雅黑" w:eastAsia="微软雅黑" w:hAnsi="微软雅黑" w:cs="微软雅黑" w:hint="eastAsia"/>
          <w:spacing w:val="7"/>
          <w:lang w:eastAsia="zh-CN"/>
        </w:rPr>
        <w:t>万桶；美国战略石油储备（</w:t>
      </w:r>
      <w:r w:rsidRPr="00DB2737">
        <w:rPr>
          <w:rFonts w:ascii="微软雅黑" w:eastAsia="微软雅黑" w:hAnsi="微软雅黑" w:cs="微软雅黑"/>
          <w:spacing w:val="7"/>
          <w:lang w:eastAsia="zh-CN"/>
        </w:rPr>
        <w:t>SPR</w:t>
      </w:r>
      <w:r w:rsidRPr="00DB2737">
        <w:rPr>
          <w:rFonts w:ascii="微软雅黑" w:eastAsia="微软雅黑" w:hAnsi="微软雅黑" w:cs="微软雅黑" w:hint="eastAsia"/>
          <w:spacing w:val="7"/>
          <w:lang w:eastAsia="zh-CN"/>
        </w:rPr>
        <w:t>）库存增加</w:t>
      </w:r>
      <w:r w:rsidRPr="00DB2737">
        <w:rPr>
          <w:rFonts w:ascii="微软雅黑" w:eastAsia="微软雅黑" w:hAnsi="微软雅黑" w:cs="微软雅黑"/>
          <w:spacing w:val="7"/>
          <w:lang w:eastAsia="zh-CN"/>
        </w:rPr>
        <w:t>72</w:t>
      </w:r>
      <w:r w:rsidRPr="00DB2737">
        <w:rPr>
          <w:rFonts w:ascii="微软雅黑" w:eastAsia="微软雅黑" w:hAnsi="微软雅黑" w:cs="微软雅黑" w:hint="eastAsia"/>
          <w:spacing w:val="7"/>
          <w:lang w:eastAsia="zh-CN"/>
        </w:rPr>
        <w:t>万桶至</w:t>
      </w:r>
      <w:r w:rsidRPr="00DB2737">
        <w:rPr>
          <w:rFonts w:ascii="微软雅黑" w:eastAsia="微软雅黑" w:hAnsi="微软雅黑" w:cs="微软雅黑"/>
          <w:spacing w:val="7"/>
          <w:lang w:eastAsia="zh-CN"/>
        </w:rPr>
        <w:t>3.925</w:t>
      </w:r>
      <w:r w:rsidRPr="00DB2737">
        <w:rPr>
          <w:rFonts w:ascii="微软雅黑" w:eastAsia="微软雅黑" w:hAnsi="微软雅黑" w:cs="微软雅黑" w:hint="eastAsia"/>
          <w:spacing w:val="7"/>
          <w:lang w:eastAsia="zh-CN"/>
        </w:rPr>
        <w:t>亿桶。美国炼厂加工总量平均每天</w:t>
      </w:r>
      <w:r w:rsidRPr="00DB2737">
        <w:rPr>
          <w:rFonts w:ascii="微软雅黑" w:eastAsia="微软雅黑" w:hAnsi="微软雅黑" w:cs="微软雅黑"/>
          <w:spacing w:val="7"/>
          <w:lang w:eastAsia="zh-CN"/>
        </w:rPr>
        <w:t>1665.9</w:t>
      </w:r>
      <w:r w:rsidRPr="00DB2737">
        <w:rPr>
          <w:rFonts w:ascii="微软雅黑" w:eastAsia="微软雅黑" w:hAnsi="微软雅黑" w:cs="微软雅黑" w:hint="eastAsia"/>
          <w:spacing w:val="7"/>
          <w:lang w:eastAsia="zh-CN"/>
        </w:rPr>
        <w:t>万桶，比前一周减少</w:t>
      </w:r>
      <w:r w:rsidRPr="00DB2737">
        <w:rPr>
          <w:rFonts w:ascii="微软雅黑" w:eastAsia="微软雅黑" w:hAnsi="微软雅黑" w:cs="微软雅黑"/>
          <w:spacing w:val="7"/>
          <w:lang w:eastAsia="zh-CN"/>
        </w:rPr>
        <w:t>25.1</w:t>
      </w:r>
      <w:r w:rsidRPr="00DB2737">
        <w:rPr>
          <w:rFonts w:ascii="微软雅黑" w:eastAsia="微软雅黑" w:hAnsi="微软雅黑" w:cs="微软雅黑" w:hint="eastAsia"/>
          <w:spacing w:val="7"/>
          <w:lang w:eastAsia="zh-CN"/>
        </w:rPr>
        <w:t>万桶；炼油厂开工率</w:t>
      </w:r>
      <w:r w:rsidRPr="00DB2737">
        <w:rPr>
          <w:rFonts w:ascii="微软雅黑" w:eastAsia="微软雅黑" w:hAnsi="微软雅黑" w:cs="微软雅黑"/>
          <w:spacing w:val="7"/>
          <w:lang w:eastAsia="zh-CN"/>
        </w:rPr>
        <w:t>92.4%</w:t>
      </w:r>
      <w:r w:rsidRPr="00DB2737">
        <w:rPr>
          <w:rFonts w:ascii="微软雅黑" w:eastAsia="微软雅黑" w:hAnsi="微软雅黑" w:cs="微软雅黑" w:hint="eastAsia"/>
          <w:spacing w:val="7"/>
          <w:lang w:eastAsia="zh-CN"/>
        </w:rPr>
        <w:t>，比前一周下降</w:t>
      </w:r>
      <w:r w:rsidRPr="00DB2737">
        <w:rPr>
          <w:rFonts w:ascii="微软雅黑" w:eastAsia="微软雅黑" w:hAnsi="微软雅黑" w:cs="微软雅黑"/>
          <w:spacing w:val="7"/>
          <w:lang w:eastAsia="zh-CN"/>
        </w:rPr>
        <w:t>0.9</w:t>
      </w:r>
      <w:r w:rsidRPr="00DB2737">
        <w:rPr>
          <w:rFonts w:ascii="微软雅黑" w:eastAsia="微软雅黑" w:hAnsi="微软雅黑" w:cs="微软雅黑" w:hint="eastAsia"/>
          <w:spacing w:val="7"/>
          <w:lang w:eastAsia="zh-CN"/>
        </w:rPr>
        <w:t>个百分点。上周美国原油进口量平均每天</w:t>
      </w:r>
      <w:r w:rsidRPr="00DB2737">
        <w:rPr>
          <w:rFonts w:ascii="微软雅黑" w:eastAsia="微软雅黑" w:hAnsi="微软雅黑" w:cs="微软雅黑"/>
          <w:spacing w:val="7"/>
          <w:lang w:eastAsia="zh-CN"/>
        </w:rPr>
        <w:t>598.4</w:t>
      </w:r>
      <w:r w:rsidRPr="00DB2737">
        <w:rPr>
          <w:rFonts w:ascii="微软雅黑" w:eastAsia="微软雅黑" w:hAnsi="微软雅黑" w:cs="微软雅黑" w:hint="eastAsia"/>
          <w:spacing w:val="7"/>
          <w:lang w:eastAsia="zh-CN"/>
        </w:rPr>
        <w:t>万桶，比前一周减少</w:t>
      </w:r>
      <w:r w:rsidRPr="00DB2737">
        <w:rPr>
          <w:rFonts w:ascii="微软雅黑" w:eastAsia="微软雅黑" w:hAnsi="微软雅黑" w:cs="微软雅黑"/>
          <w:spacing w:val="7"/>
          <w:lang w:eastAsia="zh-CN"/>
        </w:rPr>
        <w:t>130.6</w:t>
      </w:r>
      <w:r w:rsidRPr="00DB2737">
        <w:rPr>
          <w:rFonts w:ascii="微软雅黑" w:eastAsia="微软雅黑" w:hAnsi="微软雅黑" w:cs="微软雅黑" w:hint="eastAsia"/>
          <w:spacing w:val="7"/>
          <w:lang w:eastAsia="zh-CN"/>
        </w:rPr>
        <w:t>万桶，成品油日均进口量</w:t>
      </w:r>
      <w:r w:rsidRPr="00DB2737">
        <w:rPr>
          <w:rFonts w:ascii="微软雅黑" w:eastAsia="微软雅黑" w:hAnsi="微软雅黑" w:cs="微软雅黑"/>
          <w:spacing w:val="7"/>
          <w:lang w:eastAsia="zh-CN"/>
        </w:rPr>
        <w:t>154.6</w:t>
      </w:r>
      <w:r w:rsidRPr="00DB2737">
        <w:rPr>
          <w:rFonts w:ascii="微软雅黑" w:eastAsia="微软雅黑" w:hAnsi="微软雅黑" w:cs="微软雅黑" w:hint="eastAsia"/>
          <w:spacing w:val="7"/>
          <w:lang w:eastAsia="zh-CN"/>
        </w:rPr>
        <w:t>桶，比前一周增长</w:t>
      </w:r>
      <w:r w:rsidRPr="00DB2737">
        <w:rPr>
          <w:rFonts w:ascii="微软雅黑" w:eastAsia="微软雅黑" w:hAnsi="微软雅黑" w:cs="微软雅黑"/>
          <w:spacing w:val="7"/>
          <w:lang w:eastAsia="zh-CN"/>
        </w:rPr>
        <w:t>6.7</w:t>
      </w:r>
      <w:r w:rsidRPr="00DB2737">
        <w:rPr>
          <w:rFonts w:ascii="微软雅黑" w:eastAsia="微软雅黑" w:hAnsi="微软雅黑" w:cs="微软雅黑" w:hint="eastAsia"/>
          <w:spacing w:val="7"/>
          <w:lang w:eastAsia="zh-CN"/>
        </w:rPr>
        <w:t>万桶。美国</w:t>
      </w:r>
      <w:r w:rsidRPr="00DB2737">
        <w:rPr>
          <w:rFonts w:ascii="微软雅黑" w:eastAsia="微软雅黑" w:hAnsi="微软雅黑" w:cs="微软雅黑"/>
          <w:spacing w:val="7"/>
          <w:lang w:eastAsia="zh-CN"/>
        </w:rPr>
        <w:t>11</w:t>
      </w:r>
      <w:r w:rsidRPr="00DB2737">
        <w:rPr>
          <w:rFonts w:ascii="微软雅黑" w:eastAsia="微软雅黑" w:hAnsi="微软雅黑" w:cs="微软雅黑" w:hint="eastAsia"/>
          <w:spacing w:val="7"/>
          <w:lang w:eastAsia="zh-CN"/>
        </w:rPr>
        <w:t>月</w:t>
      </w:r>
      <w:r w:rsidRPr="00DB2737">
        <w:rPr>
          <w:rFonts w:ascii="微软雅黑" w:eastAsia="微软雅黑" w:hAnsi="微软雅黑" w:cs="微软雅黑"/>
          <w:spacing w:val="7"/>
          <w:lang w:eastAsia="zh-CN"/>
        </w:rPr>
        <w:t>CPI</w:t>
      </w:r>
      <w:r w:rsidRPr="00DB2737">
        <w:rPr>
          <w:rFonts w:ascii="微软雅黑" w:eastAsia="微软雅黑" w:hAnsi="微软雅黑" w:cs="微软雅黑" w:hint="eastAsia"/>
          <w:spacing w:val="7"/>
          <w:lang w:eastAsia="zh-CN"/>
        </w:rPr>
        <w:t>数据表现温和，美联储</w:t>
      </w:r>
      <w:r w:rsidRPr="00DB2737">
        <w:rPr>
          <w:rFonts w:ascii="微软雅黑" w:eastAsia="微软雅黑" w:hAnsi="微软雅黑" w:cs="微软雅黑"/>
          <w:spacing w:val="7"/>
          <w:lang w:eastAsia="zh-CN"/>
        </w:rPr>
        <w:t>12</w:t>
      </w:r>
      <w:r w:rsidRPr="00DB2737">
        <w:rPr>
          <w:rFonts w:ascii="微软雅黑" w:eastAsia="微软雅黑" w:hAnsi="微软雅黑" w:cs="微软雅黑" w:hint="eastAsia"/>
          <w:spacing w:val="7"/>
          <w:lang w:eastAsia="zh-CN"/>
        </w:rPr>
        <w:t>月降息概率升高，欧洲央行如期降息</w:t>
      </w:r>
      <w:r w:rsidRPr="00DB2737">
        <w:rPr>
          <w:rFonts w:ascii="微软雅黑" w:eastAsia="微软雅黑" w:hAnsi="微软雅黑" w:cs="微软雅黑"/>
          <w:spacing w:val="7"/>
          <w:lang w:eastAsia="zh-CN"/>
        </w:rPr>
        <w:t>25</w:t>
      </w:r>
      <w:r w:rsidRPr="00DB2737">
        <w:rPr>
          <w:rFonts w:ascii="微软雅黑" w:eastAsia="微软雅黑" w:hAnsi="微软雅黑" w:cs="微软雅黑" w:hint="eastAsia"/>
          <w:spacing w:val="7"/>
          <w:lang w:eastAsia="zh-CN"/>
        </w:rPr>
        <w:t>个基点，美元指数震荡上行；中国表示将实行适度宽松货币政策提振经济预期。欧佩克联盟部长级会议延长额外减产举措至明年</w:t>
      </w:r>
      <w:r w:rsidRPr="00DB2737">
        <w:rPr>
          <w:rFonts w:ascii="微软雅黑" w:eastAsia="微软雅黑" w:hAnsi="微软雅黑" w:cs="微软雅黑"/>
          <w:spacing w:val="7"/>
          <w:lang w:eastAsia="zh-CN"/>
        </w:rPr>
        <w:t>4</w:t>
      </w:r>
      <w:r w:rsidRPr="00DB2737">
        <w:rPr>
          <w:rFonts w:ascii="微软雅黑" w:eastAsia="微软雅黑" w:hAnsi="微软雅黑" w:cs="微软雅黑" w:hint="eastAsia"/>
          <w:spacing w:val="7"/>
          <w:lang w:eastAsia="zh-CN"/>
        </w:rPr>
        <w:t>月份。以色列连续空袭叙利亚，并表示做好对伊朗核设施可能发动袭击的准备，欧美将对俄罗斯原油出口加强制裁，地缘局势有所反复。欧佩克下调全球原油需求增长预估，国际能源署预计明年供应仍较充足。整体上，欧佩克联盟推迟增产及欧美加强制裁俄罗斯支撑市场，全球经济放缓压制需求前景，短线原油期价呈现宽幅震荡。纽约商品期货交易所（</w:t>
      </w:r>
      <w:r w:rsidRPr="00DB2737">
        <w:rPr>
          <w:rFonts w:ascii="微软雅黑" w:eastAsia="微软雅黑" w:hAnsi="微软雅黑" w:cs="微软雅黑"/>
          <w:spacing w:val="7"/>
          <w:lang w:eastAsia="zh-CN"/>
        </w:rPr>
        <w:t>NYMEX</w:t>
      </w:r>
      <w:r w:rsidRPr="00DB2737">
        <w:rPr>
          <w:rFonts w:ascii="微软雅黑" w:eastAsia="微软雅黑" w:hAnsi="微软雅黑" w:cs="微软雅黑" w:hint="eastAsia"/>
          <w:spacing w:val="7"/>
          <w:lang w:eastAsia="zh-CN"/>
        </w:rPr>
        <w:t>）的西德克萨斯中质原油（</w:t>
      </w:r>
      <w:r w:rsidRPr="00DB2737">
        <w:rPr>
          <w:rFonts w:ascii="微软雅黑" w:eastAsia="微软雅黑" w:hAnsi="微软雅黑" w:cs="微软雅黑"/>
          <w:spacing w:val="7"/>
          <w:lang w:eastAsia="zh-CN"/>
        </w:rPr>
        <w:t>WTI</w:t>
      </w:r>
      <w:r w:rsidRPr="00DB2737">
        <w:rPr>
          <w:rFonts w:ascii="微软雅黑" w:eastAsia="微软雅黑" w:hAnsi="微软雅黑" w:cs="微软雅黑" w:hint="eastAsia"/>
          <w:spacing w:val="7"/>
          <w:lang w:eastAsia="zh-CN"/>
        </w:rPr>
        <w:t>）</w:t>
      </w:r>
      <w:r w:rsidRPr="00DB2737">
        <w:rPr>
          <w:rFonts w:ascii="微软雅黑" w:eastAsia="微软雅黑" w:hAnsi="微软雅黑" w:cs="微软雅黑"/>
          <w:spacing w:val="7"/>
          <w:lang w:eastAsia="zh-CN"/>
        </w:rPr>
        <w:t>2</w:t>
      </w:r>
      <w:r w:rsidRPr="00DB2737">
        <w:rPr>
          <w:rFonts w:ascii="微软雅黑" w:eastAsia="微软雅黑" w:hAnsi="微软雅黑" w:cs="微软雅黑" w:hint="eastAsia"/>
          <w:spacing w:val="7"/>
          <w:lang w:eastAsia="zh-CN"/>
        </w:rPr>
        <w:t>月</w:t>
      </w:r>
      <w:proofErr w:type="gramStart"/>
      <w:r w:rsidRPr="00DB2737">
        <w:rPr>
          <w:rFonts w:ascii="微软雅黑" w:eastAsia="微软雅黑" w:hAnsi="微软雅黑" w:cs="微软雅黑" w:hint="eastAsia"/>
          <w:spacing w:val="7"/>
          <w:lang w:eastAsia="zh-CN"/>
        </w:rPr>
        <w:t>合约周度</w:t>
      </w:r>
      <w:proofErr w:type="gramEnd"/>
      <w:r w:rsidRPr="00DB2737">
        <w:rPr>
          <w:rFonts w:ascii="微软雅黑" w:eastAsia="微软雅黑" w:hAnsi="微软雅黑" w:cs="微软雅黑" w:hint="eastAsia"/>
          <w:spacing w:val="7"/>
          <w:lang w:eastAsia="zh-CN"/>
        </w:rPr>
        <w:t>支撑位：</w:t>
      </w:r>
      <w:r w:rsidRPr="00DB2737">
        <w:rPr>
          <w:rFonts w:ascii="微软雅黑" w:eastAsia="微软雅黑" w:hAnsi="微软雅黑" w:cs="微软雅黑"/>
          <w:spacing w:val="7"/>
          <w:lang w:eastAsia="zh-CN"/>
        </w:rPr>
        <w:t>68.7</w:t>
      </w:r>
      <w:r w:rsidRPr="00DB2737">
        <w:rPr>
          <w:rFonts w:ascii="微软雅黑" w:eastAsia="微软雅黑" w:hAnsi="微软雅黑" w:cs="微软雅黑" w:hint="eastAsia"/>
          <w:spacing w:val="7"/>
          <w:lang w:eastAsia="zh-CN"/>
        </w:rPr>
        <w:t>；压力位：</w:t>
      </w:r>
      <w:r w:rsidRPr="00DB2737">
        <w:rPr>
          <w:rFonts w:ascii="微软雅黑" w:eastAsia="微软雅黑" w:hAnsi="微软雅黑" w:cs="微软雅黑"/>
          <w:spacing w:val="7"/>
          <w:lang w:eastAsia="zh-CN"/>
        </w:rPr>
        <w:t>72</w:t>
      </w:r>
      <w:r w:rsidRPr="00DB2737">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Pr="00EE7376">
        <w:rPr>
          <w:rFonts w:ascii="微软雅黑" w:eastAsia="微软雅黑" w:hAnsi="微软雅黑" w:cs="微软雅黑" w:hint="eastAsia"/>
          <w:spacing w:val="7"/>
          <w:lang w:eastAsia="zh-CN"/>
        </w:rPr>
        <w:t>7：原油（WTI）走势</w:t>
      </w:r>
      <w:r w:rsidRPr="00923293">
        <w:rPr>
          <w:rFonts w:ascii="微软雅黑" w:eastAsia="微软雅黑" w:hAnsi="微软雅黑" w:cs="微软雅黑" w:hint="eastAsia"/>
          <w:spacing w:val="7"/>
          <w:lang w:eastAsia="zh-CN"/>
        </w:rPr>
        <w:t>图</w:t>
      </w:r>
    </w:p>
    <w:p w:rsidR="009372C5" w:rsidRDefault="00DB2737">
      <w:pPr>
        <w:spacing w:before="103" w:line="256" w:lineRule="auto"/>
        <w:ind w:right="743"/>
        <w:jc w:val="both"/>
        <w:rPr>
          <w:lang w:eastAsia="zh-CN"/>
        </w:rPr>
      </w:pPr>
      <w:r>
        <w:rPr>
          <w:noProof/>
          <w:lang w:eastAsia="zh-CN"/>
        </w:rPr>
        <w:lastRenderedPageBreak/>
        <w:drawing>
          <wp:inline distT="0" distB="0" distL="0" distR="0" wp14:anchorId="082E586B" wp14:editId="7502AB81">
            <wp:extent cx="6217920" cy="3230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17920" cy="3230880"/>
                    </a:xfrm>
                    <a:prstGeom prst="rect">
                      <a:avLst/>
                    </a:prstGeom>
                  </pic:spPr>
                </pic:pic>
              </a:graphicData>
            </a:graphic>
          </wp:inline>
        </w:drawing>
      </w:r>
    </w:p>
    <w:p w:rsidR="0036330E" w:rsidRDefault="00115A1A" w:rsidP="0036330E">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7E07D2">
        <w:rPr>
          <w:rFonts w:ascii="微软雅黑" w:eastAsia="微软雅黑" w:hAnsi="微软雅黑" w:cs="微软雅黑" w:hint="eastAsia"/>
          <w:spacing w:val="7"/>
          <w:lang w:eastAsia="zh-CN"/>
        </w:rPr>
        <w:t>Wind</w:t>
      </w:r>
      <w:r>
        <w:rPr>
          <w:rFonts w:ascii="微软雅黑" w:eastAsia="微软雅黑" w:hAnsi="微软雅黑" w:cs="微软雅黑" w:hint="eastAsia"/>
          <w:spacing w:val="7"/>
          <w:lang w:eastAsia="zh-CN"/>
        </w:rPr>
        <w:t>、瑞达国际</w:t>
      </w:r>
    </w:p>
    <w:p w:rsidR="00383E15" w:rsidRDefault="00383E15" w:rsidP="00383E15">
      <w:pPr>
        <w:spacing w:before="120" w:line="190" w:lineRule="auto"/>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383E15" w:rsidRDefault="001175F7" w:rsidP="001175F7">
      <w:pPr>
        <w:spacing w:before="103" w:line="256" w:lineRule="auto"/>
        <w:ind w:right="743" w:firstLine="44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洲际期货交易所（</w:t>
      </w:r>
      <w:r w:rsidRPr="001175F7">
        <w:rPr>
          <w:rFonts w:ascii="微软雅黑" w:eastAsia="微软雅黑" w:hAnsi="微软雅黑" w:cs="微软雅黑"/>
          <w:spacing w:val="12"/>
          <w:lang w:eastAsia="zh-CN"/>
        </w:rPr>
        <w:t>ICE</w:t>
      </w:r>
      <w:r w:rsidRPr="001175F7">
        <w:rPr>
          <w:rFonts w:ascii="微软雅黑" w:eastAsia="微软雅黑" w:hAnsi="微软雅黑" w:cs="微软雅黑" w:hint="eastAsia"/>
          <w:spacing w:val="12"/>
          <w:lang w:eastAsia="zh-CN"/>
        </w:rPr>
        <w:t>）原糖期货周四收跌，印度政府食品部长表示，印度可能允许部分糖出口，前提是乙醇掺混后仍有剩余，关注印度政策。交投最活跃的</w:t>
      </w:r>
      <w:r w:rsidRPr="001175F7">
        <w:rPr>
          <w:rFonts w:ascii="微软雅黑" w:eastAsia="微软雅黑" w:hAnsi="微软雅黑" w:cs="微软雅黑"/>
          <w:spacing w:val="12"/>
          <w:lang w:eastAsia="zh-CN"/>
        </w:rPr>
        <w:t>ICE 3</w:t>
      </w:r>
      <w:r w:rsidRPr="001175F7">
        <w:rPr>
          <w:rFonts w:ascii="微软雅黑" w:eastAsia="微软雅黑" w:hAnsi="微软雅黑" w:cs="微软雅黑" w:hint="eastAsia"/>
          <w:spacing w:val="12"/>
          <w:lang w:eastAsia="zh-CN"/>
        </w:rPr>
        <w:t>月原糖期货合约</w:t>
      </w:r>
      <w:proofErr w:type="gramStart"/>
      <w:r w:rsidRPr="001175F7">
        <w:rPr>
          <w:rFonts w:ascii="微软雅黑" w:eastAsia="微软雅黑" w:hAnsi="微软雅黑" w:cs="微软雅黑" w:hint="eastAsia"/>
          <w:spacing w:val="12"/>
          <w:lang w:eastAsia="zh-CN"/>
        </w:rPr>
        <w:t>收盘收跌</w:t>
      </w:r>
      <w:proofErr w:type="gramEnd"/>
      <w:r w:rsidRPr="001175F7">
        <w:rPr>
          <w:rFonts w:ascii="微软雅黑" w:eastAsia="微软雅黑" w:hAnsi="微软雅黑" w:cs="微软雅黑"/>
          <w:spacing w:val="12"/>
          <w:lang w:eastAsia="zh-CN"/>
        </w:rPr>
        <w:t>0.25</w:t>
      </w:r>
      <w:r w:rsidRPr="001175F7">
        <w:rPr>
          <w:rFonts w:ascii="微软雅黑" w:eastAsia="微软雅黑" w:hAnsi="微软雅黑" w:cs="微软雅黑" w:hint="eastAsia"/>
          <w:spacing w:val="12"/>
          <w:lang w:eastAsia="zh-CN"/>
        </w:rPr>
        <w:t>美分或</w:t>
      </w:r>
      <w:r w:rsidRPr="001175F7">
        <w:rPr>
          <w:rFonts w:ascii="微软雅黑" w:eastAsia="微软雅黑" w:hAnsi="微软雅黑" w:cs="微软雅黑"/>
          <w:spacing w:val="12"/>
          <w:lang w:eastAsia="zh-CN"/>
        </w:rPr>
        <w:t>1.30%</w:t>
      </w:r>
      <w:r w:rsidRPr="001175F7">
        <w:rPr>
          <w:rFonts w:ascii="微软雅黑" w:eastAsia="微软雅黑" w:hAnsi="微软雅黑" w:cs="微软雅黑" w:hint="eastAsia"/>
          <w:spacing w:val="12"/>
          <w:lang w:eastAsia="zh-CN"/>
        </w:rPr>
        <w:t>，结算价每磅</w:t>
      </w:r>
      <w:r w:rsidRPr="001175F7">
        <w:rPr>
          <w:rFonts w:ascii="微软雅黑" w:eastAsia="微软雅黑" w:hAnsi="微软雅黑" w:cs="微软雅黑"/>
          <w:spacing w:val="12"/>
          <w:lang w:eastAsia="zh-CN"/>
        </w:rPr>
        <w:t>19.40</w:t>
      </w:r>
      <w:r w:rsidRPr="001175F7">
        <w:rPr>
          <w:rFonts w:ascii="微软雅黑" w:eastAsia="微软雅黑" w:hAnsi="微软雅黑" w:cs="微软雅黑" w:hint="eastAsia"/>
          <w:spacing w:val="12"/>
          <w:lang w:eastAsia="zh-CN"/>
        </w:rPr>
        <w:t>美分。据巴西蔗糖工业协会</w:t>
      </w:r>
      <w:r w:rsidRPr="001175F7">
        <w:rPr>
          <w:rFonts w:ascii="微软雅黑" w:eastAsia="微软雅黑" w:hAnsi="微软雅黑" w:cs="微软雅黑"/>
          <w:spacing w:val="12"/>
          <w:lang w:eastAsia="zh-CN"/>
        </w:rPr>
        <w:t>Unica</w:t>
      </w:r>
      <w:r w:rsidRPr="001175F7">
        <w:rPr>
          <w:rFonts w:ascii="微软雅黑" w:eastAsia="微软雅黑" w:hAnsi="微软雅黑" w:cs="微软雅黑" w:hint="eastAsia"/>
          <w:spacing w:val="12"/>
          <w:lang w:eastAsia="zh-CN"/>
        </w:rPr>
        <w:t>称，</w:t>
      </w:r>
      <w:r w:rsidRPr="001175F7">
        <w:rPr>
          <w:rFonts w:ascii="微软雅黑" w:eastAsia="微软雅黑" w:hAnsi="微软雅黑" w:cs="微软雅黑"/>
          <w:spacing w:val="12"/>
          <w:lang w:eastAsia="zh-CN"/>
        </w:rPr>
        <w:t>11</w:t>
      </w:r>
      <w:r w:rsidRPr="001175F7">
        <w:rPr>
          <w:rFonts w:ascii="微软雅黑" w:eastAsia="微软雅黑" w:hAnsi="微软雅黑" w:cs="微软雅黑" w:hint="eastAsia"/>
          <w:spacing w:val="12"/>
          <w:lang w:eastAsia="zh-CN"/>
        </w:rPr>
        <w:t>月下半月巴西中南部地区压榨甘蔗</w:t>
      </w:r>
      <w:r w:rsidRPr="001175F7">
        <w:rPr>
          <w:rFonts w:ascii="微软雅黑" w:eastAsia="微软雅黑" w:hAnsi="微软雅黑" w:cs="微软雅黑"/>
          <w:spacing w:val="12"/>
          <w:lang w:eastAsia="zh-CN"/>
        </w:rPr>
        <w:t>2035</w:t>
      </w:r>
      <w:r w:rsidRPr="001175F7">
        <w:rPr>
          <w:rFonts w:ascii="微软雅黑" w:eastAsia="微软雅黑" w:hAnsi="微软雅黑" w:cs="微软雅黑" w:hint="eastAsia"/>
          <w:spacing w:val="12"/>
          <w:lang w:eastAsia="zh-CN"/>
        </w:rPr>
        <w:t>万吨，同比下滑</w:t>
      </w:r>
      <w:r w:rsidRPr="001175F7">
        <w:rPr>
          <w:rFonts w:ascii="微软雅黑" w:eastAsia="微软雅黑" w:hAnsi="微软雅黑" w:cs="微软雅黑"/>
          <w:spacing w:val="12"/>
          <w:lang w:eastAsia="zh-CN"/>
        </w:rPr>
        <w:t>15.2%</w:t>
      </w:r>
      <w:r w:rsidRPr="001175F7">
        <w:rPr>
          <w:rFonts w:ascii="微软雅黑" w:eastAsia="微软雅黑" w:hAnsi="微软雅黑" w:cs="微软雅黑" w:hint="eastAsia"/>
          <w:spacing w:val="12"/>
          <w:lang w:eastAsia="zh-CN"/>
        </w:rPr>
        <w:t>；产糖</w:t>
      </w:r>
      <w:r w:rsidRPr="001175F7">
        <w:rPr>
          <w:rFonts w:ascii="微软雅黑" w:eastAsia="微软雅黑" w:hAnsi="微软雅黑" w:cs="微软雅黑"/>
          <w:spacing w:val="12"/>
          <w:lang w:eastAsia="zh-CN"/>
        </w:rPr>
        <w:t>108</w:t>
      </w:r>
      <w:r w:rsidRPr="001175F7">
        <w:rPr>
          <w:rFonts w:ascii="微软雅黑" w:eastAsia="微软雅黑" w:hAnsi="微软雅黑" w:cs="微软雅黑" w:hint="eastAsia"/>
          <w:spacing w:val="12"/>
          <w:lang w:eastAsia="zh-CN"/>
        </w:rPr>
        <w:t>万吨，同比下滑</w:t>
      </w:r>
      <w:r w:rsidRPr="001175F7">
        <w:rPr>
          <w:rFonts w:ascii="微软雅黑" w:eastAsia="微软雅黑" w:hAnsi="微软雅黑" w:cs="微软雅黑"/>
          <w:spacing w:val="12"/>
          <w:lang w:eastAsia="zh-CN"/>
        </w:rPr>
        <w:t>23%</w:t>
      </w:r>
      <w:r w:rsidRPr="001175F7">
        <w:rPr>
          <w:rFonts w:ascii="微软雅黑" w:eastAsia="微软雅黑" w:hAnsi="微软雅黑" w:cs="微软雅黑" w:hint="eastAsia"/>
          <w:spacing w:val="12"/>
          <w:lang w:eastAsia="zh-CN"/>
        </w:rPr>
        <w:t>；</w:t>
      </w:r>
      <w:r w:rsidRPr="001175F7">
        <w:rPr>
          <w:rFonts w:ascii="微软雅黑" w:eastAsia="微软雅黑" w:hAnsi="微软雅黑" w:cs="微软雅黑"/>
          <w:spacing w:val="12"/>
          <w:lang w:eastAsia="zh-CN"/>
        </w:rPr>
        <w:t>11</w:t>
      </w:r>
      <w:r w:rsidRPr="001175F7">
        <w:rPr>
          <w:rFonts w:ascii="微软雅黑" w:eastAsia="微软雅黑" w:hAnsi="微软雅黑" w:cs="微软雅黑" w:hint="eastAsia"/>
          <w:spacing w:val="12"/>
          <w:lang w:eastAsia="zh-CN"/>
        </w:rPr>
        <w:t>月下半月糖厂使用</w:t>
      </w:r>
      <w:r w:rsidRPr="001175F7">
        <w:rPr>
          <w:rFonts w:ascii="微软雅黑" w:eastAsia="微软雅黑" w:hAnsi="微软雅黑" w:cs="微软雅黑"/>
          <w:spacing w:val="12"/>
          <w:lang w:eastAsia="zh-CN"/>
        </w:rPr>
        <w:t>44.89%</w:t>
      </w:r>
      <w:r w:rsidRPr="001175F7">
        <w:rPr>
          <w:rFonts w:ascii="微软雅黑" w:eastAsia="微软雅黑" w:hAnsi="微软雅黑" w:cs="微软雅黑" w:hint="eastAsia"/>
          <w:spacing w:val="12"/>
          <w:lang w:eastAsia="zh-CN"/>
        </w:rPr>
        <w:t>的甘蔗比例产糖，低于去年同期</w:t>
      </w:r>
      <w:r w:rsidRPr="001175F7">
        <w:rPr>
          <w:rFonts w:ascii="微软雅黑" w:eastAsia="微软雅黑" w:hAnsi="微软雅黑" w:cs="微软雅黑"/>
          <w:spacing w:val="12"/>
          <w:lang w:eastAsia="zh-CN"/>
        </w:rPr>
        <w:t>46.54%</w:t>
      </w:r>
      <w:r w:rsidRPr="001175F7">
        <w:rPr>
          <w:rFonts w:ascii="微软雅黑" w:eastAsia="微软雅黑" w:hAnsi="微软雅黑" w:cs="微软雅黑" w:hint="eastAsia"/>
          <w:spacing w:val="12"/>
          <w:lang w:eastAsia="zh-CN"/>
        </w:rPr>
        <w:t>；</w:t>
      </w:r>
      <w:r w:rsidRPr="001175F7">
        <w:rPr>
          <w:rFonts w:ascii="微软雅黑" w:eastAsia="微软雅黑" w:hAnsi="微软雅黑" w:cs="微软雅黑"/>
          <w:spacing w:val="12"/>
          <w:lang w:eastAsia="zh-CN"/>
        </w:rPr>
        <w:t>24/25</w:t>
      </w:r>
      <w:r w:rsidRPr="001175F7">
        <w:rPr>
          <w:rFonts w:ascii="微软雅黑" w:eastAsia="微软雅黑" w:hAnsi="微软雅黑" w:cs="微软雅黑" w:hint="eastAsia"/>
          <w:spacing w:val="12"/>
          <w:lang w:eastAsia="zh-CN"/>
        </w:rPr>
        <w:t>榨季截至</w:t>
      </w:r>
      <w:r w:rsidRPr="001175F7">
        <w:rPr>
          <w:rFonts w:ascii="微软雅黑" w:eastAsia="微软雅黑" w:hAnsi="微软雅黑" w:cs="微软雅黑"/>
          <w:spacing w:val="12"/>
          <w:lang w:eastAsia="zh-CN"/>
        </w:rPr>
        <w:t>12</w:t>
      </w:r>
      <w:r w:rsidRPr="001175F7">
        <w:rPr>
          <w:rFonts w:ascii="微软雅黑" w:eastAsia="微软雅黑" w:hAnsi="微软雅黑" w:cs="微软雅黑" w:hint="eastAsia"/>
          <w:spacing w:val="12"/>
          <w:lang w:eastAsia="zh-CN"/>
        </w:rPr>
        <w:t>月</w:t>
      </w:r>
      <w:r w:rsidRPr="001175F7">
        <w:rPr>
          <w:rFonts w:ascii="微软雅黑" w:eastAsia="微软雅黑" w:hAnsi="微软雅黑" w:cs="微软雅黑"/>
          <w:spacing w:val="12"/>
          <w:lang w:eastAsia="zh-CN"/>
        </w:rPr>
        <w:t>1</w:t>
      </w:r>
      <w:r w:rsidRPr="001175F7">
        <w:rPr>
          <w:rFonts w:ascii="微软雅黑" w:eastAsia="微软雅黑" w:hAnsi="微软雅黑" w:cs="微软雅黑" w:hint="eastAsia"/>
          <w:spacing w:val="12"/>
          <w:lang w:eastAsia="zh-CN"/>
        </w:rPr>
        <w:t>日中南部累计压榨甘蔗</w:t>
      </w:r>
      <w:r w:rsidRPr="001175F7">
        <w:rPr>
          <w:rFonts w:ascii="微软雅黑" w:eastAsia="微软雅黑" w:hAnsi="微软雅黑" w:cs="微软雅黑"/>
          <w:spacing w:val="12"/>
          <w:lang w:eastAsia="zh-CN"/>
        </w:rPr>
        <w:t>6.02</w:t>
      </w:r>
      <w:r w:rsidRPr="001175F7">
        <w:rPr>
          <w:rFonts w:ascii="微软雅黑" w:eastAsia="微软雅黑" w:hAnsi="微软雅黑" w:cs="微软雅黑" w:hint="eastAsia"/>
          <w:spacing w:val="12"/>
          <w:lang w:eastAsia="zh-CN"/>
        </w:rPr>
        <w:t>亿吨，同比下滑</w:t>
      </w:r>
      <w:r w:rsidRPr="001175F7">
        <w:rPr>
          <w:rFonts w:ascii="微软雅黑" w:eastAsia="微软雅黑" w:hAnsi="微软雅黑" w:cs="微软雅黑"/>
          <w:spacing w:val="12"/>
          <w:lang w:eastAsia="zh-CN"/>
        </w:rPr>
        <w:t>2.75%</w:t>
      </w:r>
      <w:r w:rsidRPr="001175F7">
        <w:rPr>
          <w:rFonts w:ascii="微软雅黑" w:eastAsia="微软雅黑" w:hAnsi="微软雅黑" w:cs="微软雅黑" w:hint="eastAsia"/>
          <w:spacing w:val="12"/>
          <w:lang w:eastAsia="zh-CN"/>
        </w:rPr>
        <w:t>，累计产糖</w:t>
      </w:r>
      <w:r w:rsidRPr="001175F7">
        <w:rPr>
          <w:rFonts w:ascii="微软雅黑" w:eastAsia="微软雅黑" w:hAnsi="微软雅黑" w:cs="微软雅黑"/>
          <w:spacing w:val="12"/>
          <w:lang w:eastAsia="zh-CN"/>
        </w:rPr>
        <w:t>3936.1</w:t>
      </w:r>
      <w:r w:rsidRPr="001175F7">
        <w:rPr>
          <w:rFonts w:ascii="微软雅黑" w:eastAsia="微软雅黑" w:hAnsi="微软雅黑" w:cs="微软雅黑" w:hint="eastAsia"/>
          <w:spacing w:val="12"/>
          <w:lang w:eastAsia="zh-CN"/>
        </w:rPr>
        <w:t>万吨，同比下滑</w:t>
      </w:r>
      <w:r w:rsidRPr="001175F7">
        <w:rPr>
          <w:rFonts w:ascii="微软雅黑" w:eastAsia="微软雅黑" w:hAnsi="微软雅黑" w:cs="微软雅黑"/>
          <w:spacing w:val="12"/>
          <w:lang w:eastAsia="zh-CN"/>
        </w:rPr>
        <w:t>3.72%</w:t>
      </w:r>
      <w:r w:rsidRPr="001175F7">
        <w:rPr>
          <w:rFonts w:ascii="微软雅黑" w:eastAsia="微软雅黑" w:hAnsi="微软雅黑" w:cs="微软雅黑" w:hint="eastAsia"/>
          <w:spacing w:val="12"/>
          <w:lang w:eastAsia="zh-CN"/>
        </w:rPr>
        <w:t>。以上数据可以看出，</w:t>
      </w:r>
      <w:r w:rsidRPr="001175F7">
        <w:rPr>
          <w:rFonts w:ascii="微软雅黑" w:eastAsia="微软雅黑" w:hAnsi="微软雅黑" w:cs="微软雅黑"/>
          <w:spacing w:val="12"/>
          <w:lang w:eastAsia="zh-CN"/>
        </w:rPr>
        <w:t>11</w:t>
      </w:r>
      <w:r w:rsidRPr="001175F7">
        <w:rPr>
          <w:rFonts w:ascii="微软雅黑" w:eastAsia="微软雅黑" w:hAnsi="微软雅黑" w:cs="微软雅黑" w:hint="eastAsia"/>
          <w:spacing w:val="12"/>
          <w:lang w:eastAsia="zh-CN"/>
        </w:rPr>
        <w:t>月下半月巴西产糖量同比降幅持续，不过双周糖产量大于预期，数据相对利空糖市。</w:t>
      </w:r>
      <w:proofErr w:type="gramStart"/>
      <w:r w:rsidRPr="001175F7">
        <w:rPr>
          <w:rFonts w:ascii="微软雅黑" w:eastAsia="微软雅黑" w:hAnsi="微软雅黑" w:cs="微软雅黑" w:hint="eastAsia"/>
          <w:spacing w:val="12"/>
          <w:lang w:eastAsia="zh-CN"/>
        </w:rPr>
        <w:t>美糖主力</w:t>
      </w:r>
      <w:proofErr w:type="gramEnd"/>
      <w:r w:rsidRPr="001175F7">
        <w:rPr>
          <w:rFonts w:ascii="微软雅黑" w:eastAsia="微软雅黑" w:hAnsi="微软雅黑" w:cs="微软雅黑" w:hint="eastAsia"/>
          <w:spacing w:val="12"/>
          <w:lang w:eastAsia="zh-CN"/>
        </w:rPr>
        <w:t>价格关注上方压力</w:t>
      </w:r>
      <w:r w:rsidRPr="001175F7">
        <w:rPr>
          <w:rFonts w:ascii="微软雅黑" w:eastAsia="微软雅黑" w:hAnsi="微软雅黑" w:cs="微软雅黑"/>
          <w:spacing w:val="12"/>
          <w:lang w:eastAsia="zh-CN"/>
        </w:rPr>
        <w:t>22.0</w:t>
      </w:r>
      <w:r w:rsidRPr="001175F7">
        <w:rPr>
          <w:rFonts w:ascii="微软雅黑" w:eastAsia="微软雅黑" w:hAnsi="微软雅黑" w:cs="微软雅黑" w:hint="eastAsia"/>
          <w:spacing w:val="12"/>
          <w:lang w:eastAsia="zh-CN"/>
        </w:rPr>
        <w:t>美分</w:t>
      </w:r>
      <w:r w:rsidRPr="001175F7">
        <w:rPr>
          <w:rFonts w:ascii="微软雅黑" w:eastAsia="微软雅黑" w:hAnsi="微软雅黑" w:cs="微软雅黑"/>
          <w:spacing w:val="12"/>
          <w:lang w:eastAsia="zh-CN"/>
        </w:rPr>
        <w:t>/</w:t>
      </w:r>
      <w:r w:rsidRPr="001175F7">
        <w:rPr>
          <w:rFonts w:ascii="微软雅黑" w:eastAsia="微软雅黑" w:hAnsi="微软雅黑" w:cs="微软雅黑" w:hint="eastAsia"/>
          <w:spacing w:val="12"/>
          <w:lang w:eastAsia="zh-CN"/>
        </w:rPr>
        <w:t>磅，下方支撑</w:t>
      </w:r>
      <w:r w:rsidRPr="001175F7">
        <w:rPr>
          <w:rFonts w:ascii="微软雅黑" w:eastAsia="微软雅黑" w:hAnsi="微软雅黑" w:cs="微软雅黑"/>
          <w:spacing w:val="12"/>
          <w:lang w:eastAsia="zh-CN"/>
        </w:rPr>
        <w:t>18.0</w:t>
      </w:r>
      <w:r w:rsidRPr="001175F7">
        <w:rPr>
          <w:rFonts w:ascii="微软雅黑" w:eastAsia="微软雅黑" w:hAnsi="微软雅黑" w:cs="微软雅黑" w:hint="eastAsia"/>
          <w:spacing w:val="12"/>
          <w:lang w:eastAsia="zh-CN"/>
        </w:rPr>
        <w:t>美分</w:t>
      </w:r>
      <w:r w:rsidRPr="001175F7">
        <w:rPr>
          <w:rFonts w:ascii="微软雅黑" w:eastAsia="微软雅黑" w:hAnsi="微软雅黑" w:cs="微软雅黑"/>
          <w:spacing w:val="12"/>
          <w:lang w:eastAsia="zh-CN"/>
        </w:rPr>
        <w:t>/</w:t>
      </w:r>
      <w:r w:rsidRPr="001175F7">
        <w:rPr>
          <w:rFonts w:ascii="微软雅黑" w:eastAsia="微软雅黑" w:hAnsi="微软雅黑" w:cs="微软雅黑" w:hint="eastAsia"/>
          <w:spacing w:val="12"/>
          <w:lang w:eastAsia="zh-CN"/>
        </w:rPr>
        <w:t>磅。建议</w:t>
      </w:r>
      <w:r w:rsidRPr="001175F7">
        <w:rPr>
          <w:rFonts w:ascii="微软雅黑" w:eastAsia="微软雅黑" w:hAnsi="微软雅黑" w:cs="微软雅黑"/>
          <w:spacing w:val="12"/>
          <w:lang w:eastAsia="zh-CN"/>
        </w:rPr>
        <w:t>3</w:t>
      </w:r>
      <w:r w:rsidRPr="001175F7">
        <w:rPr>
          <w:rFonts w:ascii="微软雅黑" w:eastAsia="微软雅黑" w:hAnsi="微软雅黑" w:cs="微软雅黑" w:hint="eastAsia"/>
          <w:spacing w:val="12"/>
          <w:lang w:eastAsia="zh-CN"/>
        </w:rPr>
        <w:t>月</w:t>
      </w:r>
      <w:r w:rsidRPr="001175F7">
        <w:rPr>
          <w:rFonts w:ascii="微软雅黑" w:eastAsia="微软雅黑" w:hAnsi="微软雅黑" w:cs="微软雅黑"/>
          <w:spacing w:val="12"/>
          <w:lang w:eastAsia="zh-CN"/>
        </w:rPr>
        <w:t xml:space="preserve"> ICE </w:t>
      </w:r>
      <w:proofErr w:type="gramStart"/>
      <w:r w:rsidRPr="001175F7">
        <w:rPr>
          <w:rFonts w:ascii="微软雅黑" w:eastAsia="微软雅黑" w:hAnsi="微软雅黑" w:cs="微软雅黑" w:hint="eastAsia"/>
          <w:spacing w:val="12"/>
          <w:lang w:eastAsia="zh-CN"/>
        </w:rPr>
        <w:t>期糖短期</w:t>
      </w:r>
      <w:proofErr w:type="gramEnd"/>
      <w:r w:rsidRPr="001175F7">
        <w:rPr>
          <w:rFonts w:ascii="微软雅黑" w:eastAsia="微软雅黑" w:hAnsi="微软雅黑" w:cs="微软雅黑" w:hint="eastAsia"/>
          <w:spacing w:val="12"/>
          <w:lang w:eastAsia="zh-CN"/>
        </w:rPr>
        <w:t>观望。</w:t>
      </w:r>
    </w:p>
    <w:p w:rsidR="00383E15" w:rsidRDefault="00383E15" w:rsidP="00383E15">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sidR="004E3F95">
        <w:rPr>
          <w:rFonts w:ascii="微软雅黑" w:eastAsia="微软雅黑" w:hAnsi="微软雅黑" w:cs="微软雅黑" w:hint="eastAsia"/>
          <w:spacing w:val="7"/>
          <w:lang w:val="zh-CN" w:eastAsia="zh-CN"/>
        </w:rPr>
        <w:t>表</w:t>
      </w:r>
      <w:r>
        <w:rPr>
          <w:rFonts w:ascii="微软雅黑" w:eastAsia="微软雅黑" w:hAnsi="微软雅黑" w:cs="微软雅黑" w:hint="eastAsia"/>
          <w:spacing w:val="7"/>
          <w:lang w:eastAsia="zh-CN"/>
        </w:rPr>
        <w:t>8：ICE原糖</w:t>
      </w:r>
      <w:r>
        <w:rPr>
          <w:rFonts w:ascii="微软雅黑" w:eastAsia="微软雅黑" w:hAnsi="微软雅黑" w:cs="微软雅黑" w:hint="eastAsia"/>
          <w:spacing w:val="7"/>
          <w:lang w:val="zh-CN" w:eastAsia="zh-CN"/>
        </w:rPr>
        <w:t>期货主力合约日走势图</w:t>
      </w:r>
    </w:p>
    <w:p w:rsidR="00383E15" w:rsidRDefault="001175F7" w:rsidP="00383E15">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85840" cy="2153920"/>
            <wp:effectExtent l="0" t="0" r="0" b="0"/>
            <wp:docPr id="16" name="图片 16" descr="QQ截图20241220080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7" descr="QQ截图202412200801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85840" cy="2153920"/>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383E15" w:rsidRDefault="00383E15" w:rsidP="00383E15">
      <w:pPr>
        <w:spacing w:before="103" w:line="256" w:lineRule="auto"/>
        <w:ind w:right="743"/>
        <w:jc w:val="both"/>
        <w:rPr>
          <w:rFonts w:ascii="微软雅黑" w:eastAsia="微软雅黑" w:hAnsi="微软雅黑" w:cs="微软雅黑"/>
          <w:b/>
          <w:bCs/>
          <w:spacing w:val="12"/>
          <w:lang w:eastAsia="zh-CN"/>
        </w:rPr>
      </w:pPr>
    </w:p>
    <w:p w:rsidR="00383E15" w:rsidRDefault="00383E15" w:rsidP="00383E15">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383E15" w:rsidRPr="003966F3" w:rsidRDefault="001175F7" w:rsidP="001175F7">
      <w:pPr>
        <w:spacing w:before="103" w:line="256" w:lineRule="auto"/>
        <w:ind w:right="743" w:firstLine="448"/>
        <w:jc w:val="both"/>
        <w:rPr>
          <w:rFonts w:ascii="微软雅黑" w:eastAsia="微软雅黑" w:hAnsi="微软雅黑" w:cs="微软雅黑"/>
          <w:spacing w:val="12"/>
          <w:lang w:eastAsia="zh-CN"/>
        </w:rPr>
      </w:pPr>
      <w:r w:rsidRPr="001175F7">
        <w:rPr>
          <w:rFonts w:ascii="微软雅黑" w:eastAsia="微软雅黑" w:hAnsi="微软雅黑" w:cs="微软雅黑" w:hint="eastAsia"/>
          <w:spacing w:val="12"/>
          <w:lang w:eastAsia="zh-CN"/>
        </w:rPr>
        <w:t>洲际交易所</w:t>
      </w:r>
      <w:r w:rsidRPr="001175F7">
        <w:rPr>
          <w:rFonts w:ascii="微软雅黑" w:eastAsia="微软雅黑" w:hAnsi="微软雅黑" w:cs="微软雅黑"/>
          <w:spacing w:val="12"/>
          <w:lang w:eastAsia="zh-CN"/>
        </w:rPr>
        <w:t>(ICE)</w:t>
      </w:r>
      <w:r w:rsidRPr="001175F7">
        <w:rPr>
          <w:rFonts w:ascii="微软雅黑" w:eastAsia="微软雅黑" w:hAnsi="微软雅黑" w:cs="微软雅黑" w:hint="eastAsia"/>
          <w:spacing w:val="12"/>
          <w:lang w:eastAsia="zh-CN"/>
        </w:rPr>
        <w:t>棉花期货周四延续跌势，创下逾三个月低点，受累于美元走强和其他商品市场人气低迷打压。交投最活跃的</w:t>
      </w:r>
      <w:r w:rsidRPr="001175F7">
        <w:rPr>
          <w:rFonts w:ascii="微软雅黑" w:eastAsia="微软雅黑" w:hAnsi="微软雅黑" w:cs="微软雅黑"/>
          <w:spacing w:val="12"/>
          <w:lang w:eastAsia="zh-CN"/>
        </w:rPr>
        <w:t>ICE 3</w:t>
      </w:r>
      <w:r w:rsidRPr="001175F7">
        <w:rPr>
          <w:rFonts w:ascii="微软雅黑" w:eastAsia="微软雅黑" w:hAnsi="微软雅黑" w:cs="微软雅黑" w:hint="eastAsia"/>
          <w:spacing w:val="12"/>
          <w:lang w:eastAsia="zh-CN"/>
        </w:rPr>
        <w:t>月</w:t>
      </w:r>
      <w:proofErr w:type="gramStart"/>
      <w:r w:rsidRPr="001175F7">
        <w:rPr>
          <w:rFonts w:ascii="微软雅黑" w:eastAsia="微软雅黑" w:hAnsi="微软雅黑" w:cs="微软雅黑" w:hint="eastAsia"/>
          <w:spacing w:val="12"/>
          <w:lang w:eastAsia="zh-CN"/>
        </w:rPr>
        <w:t>期棉收跌</w:t>
      </w:r>
      <w:proofErr w:type="gramEnd"/>
      <w:r w:rsidRPr="001175F7">
        <w:rPr>
          <w:rFonts w:ascii="微软雅黑" w:eastAsia="微软雅黑" w:hAnsi="微软雅黑" w:cs="微软雅黑"/>
          <w:spacing w:val="12"/>
          <w:lang w:eastAsia="zh-CN"/>
        </w:rPr>
        <w:t>0.17</w:t>
      </w:r>
      <w:r w:rsidRPr="001175F7">
        <w:rPr>
          <w:rFonts w:ascii="微软雅黑" w:eastAsia="微软雅黑" w:hAnsi="微软雅黑" w:cs="微软雅黑" w:hint="eastAsia"/>
          <w:spacing w:val="12"/>
          <w:lang w:eastAsia="zh-CN"/>
        </w:rPr>
        <w:t>美分或</w:t>
      </w:r>
      <w:r w:rsidRPr="001175F7">
        <w:rPr>
          <w:rFonts w:ascii="微软雅黑" w:eastAsia="微软雅黑" w:hAnsi="微软雅黑" w:cs="微软雅黑"/>
          <w:spacing w:val="12"/>
          <w:lang w:eastAsia="zh-CN"/>
        </w:rPr>
        <w:t>0.25%</w:t>
      </w:r>
      <w:r w:rsidRPr="001175F7">
        <w:rPr>
          <w:rFonts w:ascii="微软雅黑" w:eastAsia="微软雅黑" w:hAnsi="微软雅黑" w:cs="微软雅黑" w:hint="eastAsia"/>
          <w:spacing w:val="12"/>
          <w:lang w:eastAsia="zh-CN"/>
        </w:rPr>
        <w:t>，</w:t>
      </w:r>
      <w:proofErr w:type="gramStart"/>
      <w:r w:rsidRPr="001175F7">
        <w:rPr>
          <w:rFonts w:ascii="微软雅黑" w:eastAsia="微软雅黑" w:hAnsi="微软雅黑" w:cs="微软雅黑" w:hint="eastAsia"/>
          <w:spacing w:val="12"/>
          <w:lang w:eastAsia="zh-CN"/>
        </w:rPr>
        <w:t>结算价报</w:t>
      </w:r>
      <w:proofErr w:type="gramEnd"/>
      <w:r w:rsidRPr="001175F7">
        <w:rPr>
          <w:rFonts w:ascii="微软雅黑" w:eastAsia="微软雅黑" w:hAnsi="微软雅黑" w:cs="微软雅黑"/>
          <w:spacing w:val="12"/>
          <w:lang w:eastAsia="zh-CN"/>
        </w:rPr>
        <w:t>67.91</w:t>
      </w:r>
      <w:r w:rsidRPr="001175F7">
        <w:rPr>
          <w:rFonts w:ascii="微软雅黑" w:eastAsia="微软雅黑" w:hAnsi="微软雅黑" w:cs="微软雅黑" w:hint="eastAsia"/>
          <w:spacing w:val="12"/>
          <w:lang w:eastAsia="zh-CN"/>
        </w:rPr>
        <w:t>美分</w:t>
      </w:r>
      <w:r w:rsidRPr="001175F7">
        <w:rPr>
          <w:rFonts w:ascii="微软雅黑" w:eastAsia="微软雅黑" w:hAnsi="微软雅黑" w:cs="微软雅黑"/>
          <w:spacing w:val="12"/>
          <w:lang w:eastAsia="zh-CN"/>
        </w:rPr>
        <w:t>/</w:t>
      </w:r>
      <w:r w:rsidRPr="001175F7">
        <w:rPr>
          <w:rFonts w:ascii="微软雅黑" w:eastAsia="微软雅黑" w:hAnsi="微软雅黑" w:cs="微软雅黑" w:hint="eastAsia"/>
          <w:spacing w:val="12"/>
          <w:lang w:eastAsia="zh-CN"/>
        </w:rPr>
        <w:t>磅。美国农业部发布全球棉花供需</w:t>
      </w:r>
      <w:r w:rsidRPr="001175F7">
        <w:rPr>
          <w:rFonts w:ascii="微软雅黑" w:eastAsia="微软雅黑" w:hAnsi="微软雅黑" w:cs="微软雅黑"/>
          <w:spacing w:val="12"/>
          <w:lang w:eastAsia="zh-CN"/>
        </w:rPr>
        <w:t>12</w:t>
      </w:r>
      <w:r w:rsidRPr="001175F7">
        <w:rPr>
          <w:rFonts w:ascii="微软雅黑" w:eastAsia="微软雅黑" w:hAnsi="微软雅黑" w:cs="微软雅黑" w:hint="eastAsia"/>
          <w:spacing w:val="12"/>
          <w:lang w:eastAsia="zh-CN"/>
        </w:rPr>
        <w:t>月报告，报告显示，</w:t>
      </w:r>
      <w:r w:rsidRPr="001175F7">
        <w:rPr>
          <w:rFonts w:ascii="微软雅黑" w:eastAsia="微软雅黑" w:hAnsi="微软雅黑" w:cs="微软雅黑"/>
          <w:spacing w:val="12"/>
          <w:lang w:eastAsia="zh-CN"/>
        </w:rPr>
        <w:t>2024/25</w:t>
      </w:r>
      <w:r w:rsidRPr="001175F7">
        <w:rPr>
          <w:rFonts w:ascii="微软雅黑" w:eastAsia="微软雅黑" w:hAnsi="微软雅黑" w:cs="微软雅黑" w:hint="eastAsia"/>
          <w:spacing w:val="12"/>
          <w:lang w:eastAsia="zh-CN"/>
        </w:rPr>
        <w:t>年度全球棉花产量预测值为</w:t>
      </w:r>
      <w:r w:rsidRPr="001175F7">
        <w:rPr>
          <w:rFonts w:ascii="微软雅黑" w:eastAsia="微软雅黑" w:hAnsi="微软雅黑" w:cs="微软雅黑"/>
          <w:spacing w:val="12"/>
          <w:lang w:eastAsia="zh-CN"/>
        </w:rPr>
        <w:t>2555.9</w:t>
      </w:r>
      <w:r w:rsidRPr="001175F7">
        <w:rPr>
          <w:rFonts w:ascii="微软雅黑" w:eastAsia="微软雅黑" w:hAnsi="微软雅黑" w:cs="微软雅黑" w:hint="eastAsia"/>
          <w:spacing w:val="12"/>
          <w:lang w:eastAsia="zh-CN"/>
        </w:rPr>
        <w:t>万吨，较上年度调增</w:t>
      </w:r>
      <w:r w:rsidRPr="001175F7">
        <w:rPr>
          <w:rFonts w:ascii="微软雅黑" w:eastAsia="微软雅黑" w:hAnsi="微软雅黑" w:cs="微软雅黑"/>
          <w:spacing w:val="12"/>
          <w:lang w:eastAsia="zh-CN"/>
        </w:rPr>
        <w:t>96.1</w:t>
      </w:r>
      <w:r w:rsidRPr="001175F7">
        <w:rPr>
          <w:rFonts w:ascii="微软雅黑" w:eastAsia="微软雅黑" w:hAnsi="微软雅黑" w:cs="微软雅黑" w:hint="eastAsia"/>
          <w:spacing w:val="12"/>
          <w:lang w:eastAsia="zh-CN"/>
        </w:rPr>
        <w:t>万吨。全球消费调增</w:t>
      </w:r>
      <w:r w:rsidRPr="001175F7">
        <w:rPr>
          <w:rFonts w:ascii="微软雅黑" w:eastAsia="微软雅黑" w:hAnsi="微软雅黑" w:cs="微软雅黑"/>
          <w:spacing w:val="12"/>
          <w:lang w:eastAsia="zh-CN"/>
        </w:rPr>
        <w:t>31.8</w:t>
      </w:r>
      <w:r w:rsidRPr="001175F7">
        <w:rPr>
          <w:rFonts w:ascii="微软雅黑" w:eastAsia="微软雅黑" w:hAnsi="微软雅黑" w:cs="微软雅黑" w:hint="eastAsia"/>
          <w:spacing w:val="12"/>
          <w:lang w:eastAsia="zh-CN"/>
        </w:rPr>
        <w:t>万吨至</w:t>
      </w:r>
      <w:r w:rsidRPr="001175F7">
        <w:rPr>
          <w:rFonts w:ascii="微软雅黑" w:eastAsia="微软雅黑" w:hAnsi="微软雅黑" w:cs="微软雅黑"/>
          <w:spacing w:val="12"/>
          <w:lang w:eastAsia="zh-CN"/>
        </w:rPr>
        <w:t>2521</w:t>
      </w:r>
      <w:r w:rsidRPr="001175F7">
        <w:rPr>
          <w:rFonts w:ascii="微软雅黑" w:eastAsia="微软雅黑" w:hAnsi="微软雅黑" w:cs="微软雅黑" w:hint="eastAsia"/>
          <w:spacing w:val="12"/>
          <w:lang w:eastAsia="zh-CN"/>
        </w:rPr>
        <w:t>万吨，全球期末库存调增</w:t>
      </w:r>
      <w:r w:rsidRPr="001175F7">
        <w:rPr>
          <w:rFonts w:ascii="微软雅黑" w:eastAsia="微软雅黑" w:hAnsi="微软雅黑" w:cs="微软雅黑"/>
          <w:spacing w:val="12"/>
          <w:lang w:eastAsia="zh-CN"/>
        </w:rPr>
        <w:t>40.5</w:t>
      </w:r>
      <w:r w:rsidRPr="001175F7">
        <w:rPr>
          <w:rFonts w:ascii="微软雅黑" w:eastAsia="微软雅黑" w:hAnsi="微软雅黑" w:cs="微软雅黑" w:hint="eastAsia"/>
          <w:spacing w:val="12"/>
          <w:lang w:eastAsia="zh-CN"/>
        </w:rPr>
        <w:t>万吨至</w:t>
      </w:r>
      <w:r w:rsidRPr="001175F7">
        <w:rPr>
          <w:rFonts w:ascii="微软雅黑" w:eastAsia="微软雅黑" w:hAnsi="微软雅黑" w:cs="微软雅黑"/>
          <w:spacing w:val="12"/>
          <w:lang w:eastAsia="zh-CN"/>
        </w:rPr>
        <w:t>1655.1</w:t>
      </w:r>
      <w:r w:rsidRPr="001175F7">
        <w:rPr>
          <w:rFonts w:ascii="微软雅黑" w:eastAsia="微软雅黑" w:hAnsi="微软雅黑" w:cs="微软雅黑" w:hint="eastAsia"/>
          <w:spacing w:val="12"/>
          <w:lang w:eastAsia="zh-CN"/>
        </w:rPr>
        <w:t>万吨。</w:t>
      </w:r>
      <w:r w:rsidRPr="001175F7">
        <w:rPr>
          <w:rFonts w:ascii="微软雅黑" w:eastAsia="微软雅黑" w:hAnsi="微软雅黑" w:cs="微软雅黑"/>
          <w:spacing w:val="12"/>
          <w:lang w:eastAsia="zh-CN"/>
        </w:rPr>
        <w:t>2024/25</w:t>
      </w:r>
      <w:r w:rsidRPr="001175F7">
        <w:rPr>
          <w:rFonts w:ascii="微软雅黑" w:eastAsia="微软雅黑" w:hAnsi="微软雅黑" w:cs="微软雅黑" w:hint="eastAsia"/>
          <w:spacing w:val="12"/>
          <w:lang w:eastAsia="zh-CN"/>
        </w:rPr>
        <w:t>年度全球棉花产量、消费及期末库存预估均调增，报告相对利空棉市。</w:t>
      </w:r>
    </w:p>
    <w:p w:rsidR="00383E15" w:rsidRDefault="00383E15" w:rsidP="00383E15">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sidR="004E3F95">
        <w:rPr>
          <w:rFonts w:ascii="微软雅黑" w:eastAsia="微软雅黑" w:hAnsi="微软雅黑" w:cs="微软雅黑" w:hint="eastAsia"/>
          <w:spacing w:val="7"/>
          <w:lang w:val="zh-CN" w:eastAsia="zh-CN"/>
        </w:rPr>
        <w:t>表</w:t>
      </w:r>
      <w:r>
        <w:rPr>
          <w:rFonts w:ascii="微软雅黑" w:eastAsia="微软雅黑" w:hAnsi="微软雅黑" w:cs="微软雅黑" w:hint="eastAsia"/>
          <w:spacing w:val="7"/>
          <w:lang w:eastAsia="zh-CN"/>
        </w:rPr>
        <w:t>9：ICE棉花</w:t>
      </w:r>
      <w:r>
        <w:rPr>
          <w:rFonts w:ascii="微软雅黑" w:eastAsia="微软雅黑" w:hAnsi="微软雅黑" w:cs="微软雅黑" w:hint="eastAsia"/>
          <w:spacing w:val="7"/>
          <w:lang w:val="zh-CN" w:eastAsia="zh-CN"/>
        </w:rPr>
        <w:t>期货主力合约日走势图</w:t>
      </w:r>
    </w:p>
    <w:p w:rsidR="00383E15" w:rsidRPr="002F3AE4" w:rsidRDefault="001175F7" w:rsidP="00383E15">
      <w:pPr>
        <w:spacing w:before="103" w:line="256" w:lineRule="auto"/>
        <w:ind w:right="743"/>
        <w:rPr>
          <w:rFonts w:ascii="微软雅黑" w:eastAsia="微软雅黑" w:hAnsi="微软雅黑" w:cs="微软雅黑"/>
          <w:spacing w:val="12"/>
          <w:lang w:eastAsia="zh-CN"/>
        </w:rPr>
      </w:pPr>
      <w:r>
        <w:rPr>
          <w:rFonts w:hint="eastAsia"/>
          <w:noProof/>
          <w:lang w:eastAsia="zh-CN"/>
        </w:rPr>
        <w:lastRenderedPageBreak/>
        <w:drawing>
          <wp:inline distT="0" distB="0" distL="0" distR="0">
            <wp:extent cx="6136640" cy="2153920"/>
            <wp:effectExtent l="0" t="0" r="0" b="0"/>
            <wp:docPr id="17" name="图片 17" descr="QQ截图20241220080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8" descr="QQ截图202412200801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6640" cy="2153920"/>
                    </a:xfrm>
                    <a:prstGeom prst="rect">
                      <a:avLst/>
                    </a:prstGeom>
                    <a:noFill/>
                    <a:ln>
                      <a:noFill/>
                    </a:ln>
                  </pic:spPr>
                </pic:pic>
              </a:graphicData>
            </a:graphic>
          </wp:inline>
        </w:drawing>
      </w:r>
    </w:p>
    <w:p w:rsidR="00383E15" w:rsidRDefault="00383E15" w:rsidP="00383E15">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rsidR="009372C5" w:rsidRDefault="009372C5">
      <w:pPr>
        <w:spacing w:before="120" w:line="190" w:lineRule="auto"/>
        <w:ind w:firstLine="448"/>
        <w:jc w:val="both"/>
        <w:rPr>
          <w:rFonts w:ascii="微软雅黑" w:eastAsia="微软雅黑" w:hAnsi="微软雅黑" w:cs="微软雅黑"/>
          <w:spacing w:val="7"/>
          <w:lang w:eastAsia="zh-CN"/>
        </w:rPr>
      </w:pPr>
    </w:p>
    <w:p w:rsidR="00383E15" w:rsidRPr="00383E15" w:rsidRDefault="00383E1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2"/>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3"/>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lastRenderedPageBreak/>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4"/>
      <w:footerReference w:type="default" r:id="rId25"/>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76660" w:rsidRDefault="00176660">
      <w:r>
        <w:separator/>
      </w:r>
    </w:p>
  </w:endnote>
  <w:endnote w:type="continuationSeparator" w:id="0">
    <w:p w:rsidR="00176660" w:rsidRDefault="00176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2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175F7">
                      <w:rPr>
                        <w:noProof/>
                        <w:sz w:val="28"/>
                        <w:szCs w:val="28"/>
                      </w:rPr>
                      <w:t>11</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76660" w:rsidRDefault="00176660">
      <w:r>
        <w:separator/>
      </w:r>
    </w:p>
  </w:footnote>
  <w:footnote w:type="continuationSeparator" w:id="0">
    <w:p w:rsidR="00176660" w:rsidRDefault="001766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4"/>
  <w:doNotDisplayPageBoundaries/>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04B8"/>
    <w:rsid w:val="00024574"/>
    <w:rsid w:val="000334A3"/>
    <w:rsid w:val="00033BB5"/>
    <w:rsid w:val="00035942"/>
    <w:rsid w:val="0003640D"/>
    <w:rsid w:val="00046CE1"/>
    <w:rsid w:val="0005072F"/>
    <w:rsid w:val="000509AC"/>
    <w:rsid w:val="00050CFF"/>
    <w:rsid w:val="00051B15"/>
    <w:rsid w:val="00054993"/>
    <w:rsid w:val="0005517D"/>
    <w:rsid w:val="00060769"/>
    <w:rsid w:val="000619C0"/>
    <w:rsid w:val="00064BC6"/>
    <w:rsid w:val="000667A6"/>
    <w:rsid w:val="00066E2D"/>
    <w:rsid w:val="000673AE"/>
    <w:rsid w:val="00070328"/>
    <w:rsid w:val="00072F2D"/>
    <w:rsid w:val="0007380E"/>
    <w:rsid w:val="00073F83"/>
    <w:rsid w:val="00074DDF"/>
    <w:rsid w:val="000767B0"/>
    <w:rsid w:val="0007723D"/>
    <w:rsid w:val="000844E7"/>
    <w:rsid w:val="00084D4F"/>
    <w:rsid w:val="000854BE"/>
    <w:rsid w:val="00086701"/>
    <w:rsid w:val="00087580"/>
    <w:rsid w:val="000876B8"/>
    <w:rsid w:val="000901B5"/>
    <w:rsid w:val="00091702"/>
    <w:rsid w:val="00094104"/>
    <w:rsid w:val="00097D7E"/>
    <w:rsid w:val="000A2EA5"/>
    <w:rsid w:val="000A43C7"/>
    <w:rsid w:val="000A785F"/>
    <w:rsid w:val="000B2865"/>
    <w:rsid w:val="000C024B"/>
    <w:rsid w:val="000C0428"/>
    <w:rsid w:val="000C448C"/>
    <w:rsid w:val="000C5FCD"/>
    <w:rsid w:val="000D2226"/>
    <w:rsid w:val="000F2E96"/>
    <w:rsid w:val="000F434E"/>
    <w:rsid w:val="001031A8"/>
    <w:rsid w:val="00104BEA"/>
    <w:rsid w:val="00106677"/>
    <w:rsid w:val="001072C6"/>
    <w:rsid w:val="00107653"/>
    <w:rsid w:val="001106DA"/>
    <w:rsid w:val="001113FA"/>
    <w:rsid w:val="001123C4"/>
    <w:rsid w:val="001136D4"/>
    <w:rsid w:val="00115A1A"/>
    <w:rsid w:val="001175F7"/>
    <w:rsid w:val="001177BF"/>
    <w:rsid w:val="00121521"/>
    <w:rsid w:val="0012299F"/>
    <w:rsid w:val="00123C21"/>
    <w:rsid w:val="00126F9A"/>
    <w:rsid w:val="001304A2"/>
    <w:rsid w:val="001312E0"/>
    <w:rsid w:val="001344EC"/>
    <w:rsid w:val="00134CBA"/>
    <w:rsid w:val="00135663"/>
    <w:rsid w:val="00135780"/>
    <w:rsid w:val="001357C4"/>
    <w:rsid w:val="00136308"/>
    <w:rsid w:val="001431C1"/>
    <w:rsid w:val="00143C3D"/>
    <w:rsid w:val="00145998"/>
    <w:rsid w:val="00147CC0"/>
    <w:rsid w:val="00151103"/>
    <w:rsid w:val="00151392"/>
    <w:rsid w:val="00151399"/>
    <w:rsid w:val="00153957"/>
    <w:rsid w:val="00153A31"/>
    <w:rsid w:val="00154A99"/>
    <w:rsid w:val="001571D8"/>
    <w:rsid w:val="001604D9"/>
    <w:rsid w:val="00160602"/>
    <w:rsid w:val="00161170"/>
    <w:rsid w:val="00162475"/>
    <w:rsid w:val="00166ADC"/>
    <w:rsid w:val="00166D93"/>
    <w:rsid w:val="00170A77"/>
    <w:rsid w:val="00170F25"/>
    <w:rsid w:val="00174179"/>
    <w:rsid w:val="001757BA"/>
    <w:rsid w:val="00176660"/>
    <w:rsid w:val="0018099E"/>
    <w:rsid w:val="0018153B"/>
    <w:rsid w:val="00181D4B"/>
    <w:rsid w:val="00182628"/>
    <w:rsid w:val="00183A7D"/>
    <w:rsid w:val="00186A80"/>
    <w:rsid w:val="0019366B"/>
    <w:rsid w:val="001A270F"/>
    <w:rsid w:val="001A33CE"/>
    <w:rsid w:val="001A37B9"/>
    <w:rsid w:val="001A38E1"/>
    <w:rsid w:val="001A3FA7"/>
    <w:rsid w:val="001A4594"/>
    <w:rsid w:val="001A6891"/>
    <w:rsid w:val="001B07DA"/>
    <w:rsid w:val="001B08CC"/>
    <w:rsid w:val="001B28F2"/>
    <w:rsid w:val="001B64C1"/>
    <w:rsid w:val="001C07A0"/>
    <w:rsid w:val="001C1BA8"/>
    <w:rsid w:val="001C43DE"/>
    <w:rsid w:val="001C4D7E"/>
    <w:rsid w:val="001C5971"/>
    <w:rsid w:val="001C6BEE"/>
    <w:rsid w:val="001D1E76"/>
    <w:rsid w:val="001D33C6"/>
    <w:rsid w:val="001D3DB1"/>
    <w:rsid w:val="001D4A6A"/>
    <w:rsid w:val="001E0DED"/>
    <w:rsid w:val="001F19ED"/>
    <w:rsid w:val="001F5873"/>
    <w:rsid w:val="001F5AD7"/>
    <w:rsid w:val="001F5F4F"/>
    <w:rsid w:val="001F632B"/>
    <w:rsid w:val="001F635C"/>
    <w:rsid w:val="001F6CFC"/>
    <w:rsid w:val="001F744A"/>
    <w:rsid w:val="002000F1"/>
    <w:rsid w:val="0020053E"/>
    <w:rsid w:val="0020092B"/>
    <w:rsid w:val="002031FF"/>
    <w:rsid w:val="0020772A"/>
    <w:rsid w:val="002112AA"/>
    <w:rsid w:val="002140F5"/>
    <w:rsid w:val="00214344"/>
    <w:rsid w:val="00216CCD"/>
    <w:rsid w:val="00216D52"/>
    <w:rsid w:val="00220006"/>
    <w:rsid w:val="00223327"/>
    <w:rsid w:val="00225E7B"/>
    <w:rsid w:val="0023048F"/>
    <w:rsid w:val="0023156A"/>
    <w:rsid w:val="00231B7B"/>
    <w:rsid w:val="00232C2F"/>
    <w:rsid w:val="0023500F"/>
    <w:rsid w:val="00236717"/>
    <w:rsid w:val="00242605"/>
    <w:rsid w:val="00243413"/>
    <w:rsid w:val="002435AC"/>
    <w:rsid w:val="00244725"/>
    <w:rsid w:val="00245B4A"/>
    <w:rsid w:val="00252E31"/>
    <w:rsid w:val="002538FF"/>
    <w:rsid w:val="002555E2"/>
    <w:rsid w:val="00257DA5"/>
    <w:rsid w:val="00257E05"/>
    <w:rsid w:val="00262C5F"/>
    <w:rsid w:val="0026300C"/>
    <w:rsid w:val="00263CA6"/>
    <w:rsid w:val="002640C5"/>
    <w:rsid w:val="00265E4D"/>
    <w:rsid w:val="00267E6D"/>
    <w:rsid w:val="002731E2"/>
    <w:rsid w:val="0027702B"/>
    <w:rsid w:val="00277450"/>
    <w:rsid w:val="0028035B"/>
    <w:rsid w:val="0029035C"/>
    <w:rsid w:val="002912FA"/>
    <w:rsid w:val="002932DF"/>
    <w:rsid w:val="002944E3"/>
    <w:rsid w:val="002A070E"/>
    <w:rsid w:val="002A118F"/>
    <w:rsid w:val="002A226B"/>
    <w:rsid w:val="002A3C64"/>
    <w:rsid w:val="002A410A"/>
    <w:rsid w:val="002A444F"/>
    <w:rsid w:val="002A5CD3"/>
    <w:rsid w:val="002C1437"/>
    <w:rsid w:val="002C3500"/>
    <w:rsid w:val="002C4D45"/>
    <w:rsid w:val="002D025F"/>
    <w:rsid w:val="002D3C2B"/>
    <w:rsid w:val="002D58E7"/>
    <w:rsid w:val="002D743C"/>
    <w:rsid w:val="002E09B8"/>
    <w:rsid w:val="002E2398"/>
    <w:rsid w:val="002E6964"/>
    <w:rsid w:val="002E7C56"/>
    <w:rsid w:val="002F37CD"/>
    <w:rsid w:val="002F3AE4"/>
    <w:rsid w:val="002F3D66"/>
    <w:rsid w:val="002F5E03"/>
    <w:rsid w:val="003008B4"/>
    <w:rsid w:val="00301C72"/>
    <w:rsid w:val="003020F8"/>
    <w:rsid w:val="00302F79"/>
    <w:rsid w:val="00303AE0"/>
    <w:rsid w:val="00306B08"/>
    <w:rsid w:val="00307252"/>
    <w:rsid w:val="003101C5"/>
    <w:rsid w:val="00314805"/>
    <w:rsid w:val="0031740A"/>
    <w:rsid w:val="00322591"/>
    <w:rsid w:val="00330895"/>
    <w:rsid w:val="0033158E"/>
    <w:rsid w:val="00333BD2"/>
    <w:rsid w:val="00345B22"/>
    <w:rsid w:val="003476C9"/>
    <w:rsid w:val="00347E74"/>
    <w:rsid w:val="0035249F"/>
    <w:rsid w:val="003541E5"/>
    <w:rsid w:val="00354223"/>
    <w:rsid w:val="003574A5"/>
    <w:rsid w:val="00357C26"/>
    <w:rsid w:val="0036147E"/>
    <w:rsid w:val="0036330E"/>
    <w:rsid w:val="00364B5D"/>
    <w:rsid w:val="00367A97"/>
    <w:rsid w:val="00367E46"/>
    <w:rsid w:val="003711C6"/>
    <w:rsid w:val="00376CF6"/>
    <w:rsid w:val="00380D4C"/>
    <w:rsid w:val="003812E8"/>
    <w:rsid w:val="00382260"/>
    <w:rsid w:val="00382ABC"/>
    <w:rsid w:val="00383E15"/>
    <w:rsid w:val="0038561C"/>
    <w:rsid w:val="0038605D"/>
    <w:rsid w:val="003879E8"/>
    <w:rsid w:val="00387E18"/>
    <w:rsid w:val="00387F1E"/>
    <w:rsid w:val="00390E0E"/>
    <w:rsid w:val="0039196A"/>
    <w:rsid w:val="0039436B"/>
    <w:rsid w:val="00394C16"/>
    <w:rsid w:val="003960C5"/>
    <w:rsid w:val="003966F3"/>
    <w:rsid w:val="00397C7F"/>
    <w:rsid w:val="00397F61"/>
    <w:rsid w:val="003A0146"/>
    <w:rsid w:val="003A2867"/>
    <w:rsid w:val="003A32F7"/>
    <w:rsid w:val="003A7EC7"/>
    <w:rsid w:val="003A7FFD"/>
    <w:rsid w:val="003B0E76"/>
    <w:rsid w:val="003C2FFD"/>
    <w:rsid w:val="003C3D25"/>
    <w:rsid w:val="003C4F4F"/>
    <w:rsid w:val="003C54B8"/>
    <w:rsid w:val="003C56B9"/>
    <w:rsid w:val="003D0C08"/>
    <w:rsid w:val="003D2051"/>
    <w:rsid w:val="003D21ED"/>
    <w:rsid w:val="003D4B4A"/>
    <w:rsid w:val="003D543B"/>
    <w:rsid w:val="003E08AD"/>
    <w:rsid w:val="003E1480"/>
    <w:rsid w:val="003E3292"/>
    <w:rsid w:val="003E36F9"/>
    <w:rsid w:val="003F0F5C"/>
    <w:rsid w:val="003F1B2F"/>
    <w:rsid w:val="003F2FC7"/>
    <w:rsid w:val="003F34C7"/>
    <w:rsid w:val="003F584B"/>
    <w:rsid w:val="003F7560"/>
    <w:rsid w:val="00400A1E"/>
    <w:rsid w:val="00404E57"/>
    <w:rsid w:val="00404EFC"/>
    <w:rsid w:val="0040662E"/>
    <w:rsid w:val="0041303C"/>
    <w:rsid w:val="004135DD"/>
    <w:rsid w:val="00413BB1"/>
    <w:rsid w:val="00413CAD"/>
    <w:rsid w:val="004165E1"/>
    <w:rsid w:val="004179BA"/>
    <w:rsid w:val="0042016F"/>
    <w:rsid w:val="00421423"/>
    <w:rsid w:val="00421C61"/>
    <w:rsid w:val="00423BF0"/>
    <w:rsid w:val="004240B3"/>
    <w:rsid w:val="004302E0"/>
    <w:rsid w:val="00430790"/>
    <w:rsid w:val="00431D98"/>
    <w:rsid w:val="0043483D"/>
    <w:rsid w:val="00434DFC"/>
    <w:rsid w:val="0044022E"/>
    <w:rsid w:val="00440543"/>
    <w:rsid w:val="0044318F"/>
    <w:rsid w:val="0044483C"/>
    <w:rsid w:val="00445FE3"/>
    <w:rsid w:val="0045019C"/>
    <w:rsid w:val="00457120"/>
    <w:rsid w:val="004633AA"/>
    <w:rsid w:val="00463708"/>
    <w:rsid w:val="00465155"/>
    <w:rsid w:val="00465848"/>
    <w:rsid w:val="004702E6"/>
    <w:rsid w:val="00470BA8"/>
    <w:rsid w:val="0047361A"/>
    <w:rsid w:val="004736D4"/>
    <w:rsid w:val="00474BF2"/>
    <w:rsid w:val="00475C38"/>
    <w:rsid w:val="00476EEA"/>
    <w:rsid w:val="004800A9"/>
    <w:rsid w:val="004830E1"/>
    <w:rsid w:val="00484C55"/>
    <w:rsid w:val="0048502E"/>
    <w:rsid w:val="0049083B"/>
    <w:rsid w:val="00490F16"/>
    <w:rsid w:val="004928C7"/>
    <w:rsid w:val="00493D30"/>
    <w:rsid w:val="0049409E"/>
    <w:rsid w:val="00494509"/>
    <w:rsid w:val="004A3E91"/>
    <w:rsid w:val="004A4391"/>
    <w:rsid w:val="004A576C"/>
    <w:rsid w:val="004A6D5F"/>
    <w:rsid w:val="004A6F01"/>
    <w:rsid w:val="004A70EA"/>
    <w:rsid w:val="004B1416"/>
    <w:rsid w:val="004B1974"/>
    <w:rsid w:val="004B236D"/>
    <w:rsid w:val="004B68EE"/>
    <w:rsid w:val="004C17D1"/>
    <w:rsid w:val="004C1E6F"/>
    <w:rsid w:val="004C5846"/>
    <w:rsid w:val="004C6A7C"/>
    <w:rsid w:val="004C729D"/>
    <w:rsid w:val="004D0ED4"/>
    <w:rsid w:val="004D107A"/>
    <w:rsid w:val="004D1542"/>
    <w:rsid w:val="004D1B98"/>
    <w:rsid w:val="004D2806"/>
    <w:rsid w:val="004D3D14"/>
    <w:rsid w:val="004D48C6"/>
    <w:rsid w:val="004D72AF"/>
    <w:rsid w:val="004D7761"/>
    <w:rsid w:val="004E0863"/>
    <w:rsid w:val="004E2B5C"/>
    <w:rsid w:val="004E3ED0"/>
    <w:rsid w:val="004E3F95"/>
    <w:rsid w:val="004E4B78"/>
    <w:rsid w:val="004E69F8"/>
    <w:rsid w:val="004F0E48"/>
    <w:rsid w:val="004F11FA"/>
    <w:rsid w:val="004F3F05"/>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675"/>
    <w:rsid w:val="00536FAC"/>
    <w:rsid w:val="00537254"/>
    <w:rsid w:val="00537B5B"/>
    <w:rsid w:val="0054186C"/>
    <w:rsid w:val="005432AF"/>
    <w:rsid w:val="005459F9"/>
    <w:rsid w:val="00547495"/>
    <w:rsid w:val="00551B08"/>
    <w:rsid w:val="0055304C"/>
    <w:rsid w:val="005561AE"/>
    <w:rsid w:val="0057124A"/>
    <w:rsid w:val="00574708"/>
    <w:rsid w:val="00575A07"/>
    <w:rsid w:val="00575B83"/>
    <w:rsid w:val="00576331"/>
    <w:rsid w:val="00576E52"/>
    <w:rsid w:val="00583A38"/>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40AC"/>
    <w:rsid w:val="005C4500"/>
    <w:rsid w:val="005C57E7"/>
    <w:rsid w:val="005C5B86"/>
    <w:rsid w:val="005C680A"/>
    <w:rsid w:val="005C7886"/>
    <w:rsid w:val="005D2A13"/>
    <w:rsid w:val="005D2C63"/>
    <w:rsid w:val="005D5C2D"/>
    <w:rsid w:val="005D5DCE"/>
    <w:rsid w:val="005D61F5"/>
    <w:rsid w:val="005E12E7"/>
    <w:rsid w:val="005E2060"/>
    <w:rsid w:val="005E38C6"/>
    <w:rsid w:val="005E5F4F"/>
    <w:rsid w:val="005F1EB2"/>
    <w:rsid w:val="005F4937"/>
    <w:rsid w:val="005F4A09"/>
    <w:rsid w:val="005F7926"/>
    <w:rsid w:val="005F7A56"/>
    <w:rsid w:val="005F7D1A"/>
    <w:rsid w:val="00605112"/>
    <w:rsid w:val="00605270"/>
    <w:rsid w:val="00606A48"/>
    <w:rsid w:val="00610DBF"/>
    <w:rsid w:val="00611654"/>
    <w:rsid w:val="00613E55"/>
    <w:rsid w:val="006173ED"/>
    <w:rsid w:val="00617C6E"/>
    <w:rsid w:val="00622044"/>
    <w:rsid w:val="0062240E"/>
    <w:rsid w:val="00623640"/>
    <w:rsid w:val="00624923"/>
    <w:rsid w:val="00624DBD"/>
    <w:rsid w:val="00625A5D"/>
    <w:rsid w:val="00626C1B"/>
    <w:rsid w:val="006272B9"/>
    <w:rsid w:val="00627473"/>
    <w:rsid w:val="00630B55"/>
    <w:rsid w:val="00631606"/>
    <w:rsid w:val="00635F90"/>
    <w:rsid w:val="006378E2"/>
    <w:rsid w:val="0064243E"/>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592E"/>
    <w:rsid w:val="00676450"/>
    <w:rsid w:val="00677E3D"/>
    <w:rsid w:val="006811FA"/>
    <w:rsid w:val="00681D1A"/>
    <w:rsid w:val="006837BD"/>
    <w:rsid w:val="006856AB"/>
    <w:rsid w:val="00690127"/>
    <w:rsid w:val="00692D05"/>
    <w:rsid w:val="0069322E"/>
    <w:rsid w:val="00693BCA"/>
    <w:rsid w:val="006949BB"/>
    <w:rsid w:val="00695F0D"/>
    <w:rsid w:val="00696196"/>
    <w:rsid w:val="006968FA"/>
    <w:rsid w:val="00696F64"/>
    <w:rsid w:val="006A2397"/>
    <w:rsid w:val="006A40E9"/>
    <w:rsid w:val="006B2C1F"/>
    <w:rsid w:val="006B4BE7"/>
    <w:rsid w:val="006B5572"/>
    <w:rsid w:val="006B57A3"/>
    <w:rsid w:val="006B7586"/>
    <w:rsid w:val="006C1996"/>
    <w:rsid w:val="006C206E"/>
    <w:rsid w:val="006C281B"/>
    <w:rsid w:val="006C38CB"/>
    <w:rsid w:val="006C44DC"/>
    <w:rsid w:val="006C547F"/>
    <w:rsid w:val="006C5C56"/>
    <w:rsid w:val="006C7005"/>
    <w:rsid w:val="006C7C76"/>
    <w:rsid w:val="006D1F97"/>
    <w:rsid w:val="006D29D1"/>
    <w:rsid w:val="006D540B"/>
    <w:rsid w:val="006D5E26"/>
    <w:rsid w:val="006D7D9B"/>
    <w:rsid w:val="006E0D24"/>
    <w:rsid w:val="006E5991"/>
    <w:rsid w:val="006F1AC1"/>
    <w:rsid w:val="006F36C2"/>
    <w:rsid w:val="006F6899"/>
    <w:rsid w:val="006F7417"/>
    <w:rsid w:val="00701E59"/>
    <w:rsid w:val="00702C52"/>
    <w:rsid w:val="00706D67"/>
    <w:rsid w:val="0070723F"/>
    <w:rsid w:val="0071117C"/>
    <w:rsid w:val="00712E51"/>
    <w:rsid w:val="00714A9B"/>
    <w:rsid w:val="007163AA"/>
    <w:rsid w:val="007174BA"/>
    <w:rsid w:val="0072039A"/>
    <w:rsid w:val="00723697"/>
    <w:rsid w:val="007237B9"/>
    <w:rsid w:val="00725B26"/>
    <w:rsid w:val="00726161"/>
    <w:rsid w:val="00727595"/>
    <w:rsid w:val="007317D2"/>
    <w:rsid w:val="007344DF"/>
    <w:rsid w:val="00735F21"/>
    <w:rsid w:val="007444C0"/>
    <w:rsid w:val="007469FD"/>
    <w:rsid w:val="00752CA2"/>
    <w:rsid w:val="00752F35"/>
    <w:rsid w:val="00753237"/>
    <w:rsid w:val="007532B5"/>
    <w:rsid w:val="007563E6"/>
    <w:rsid w:val="00760A58"/>
    <w:rsid w:val="00761B29"/>
    <w:rsid w:val="00765484"/>
    <w:rsid w:val="00767046"/>
    <w:rsid w:val="00767196"/>
    <w:rsid w:val="007706FF"/>
    <w:rsid w:val="007717E4"/>
    <w:rsid w:val="0077449D"/>
    <w:rsid w:val="00774769"/>
    <w:rsid w:val="00776B33"/>
    <w:rsid w:val="00776CBE"/>
    <w:rsid w:val="00777A80"/>
    <w:rsid w:val="007843B5"/>
    <w:rsid w:val="007848B4"/>
    <w:rsid w:val="00784B10"/>
    <w:rsid w:val="00796EE5"/>
    <w:rsid w:val="007A612E"/>
    <w:rsid w:val="007A70F5"/>
    <w:rsid w:val="007A7159"/>
    <w:rsid w:val="007A768E"/>
    <w:rsid w:val="007B4B50"/>
    <w:rsid w:val="007C1292"/>
    <w:rsid w:val="007C1951"/>
    <w:rsid w:val="007C1E13"/>
    <w:rsid w:val="007C30C1"/>
    <w:rsid w:val="007C6841"/>
    <w:rsid w:val="007D360D"/>
    <w:rsid w:val="007D4889"/>
    <w:rsid w:val="007D6C3F"/>
    <w:rsid w:val="007D72A9"/>
    <w:rsid w:val="007E07D2"/>
    <w:rsid w:val="007E0D70"/>
    <w:rsid w:val="007E0DF7"/>
    <w:rsid w:val="007E1950"/>
    <w:rsid w:val="007E3454"/>
    <w:rsid w:val="007E38D3"/>
    <w:rsid w:val="007E4536"/>
    <w:rsid w:val="007E5C8A"/>
    <w:rsid w:val="007F08A9"/>
    <w:rsid w:val="007F17B0"/>
    <w:rsid w:val="007F283F"/>
    <w:rsid w:val="007F3EAB"/>
    <w:rsid w:val="007F6813"/>
    <w:rsid w:val="00800C12"/>
    <w:rsid w:val="00803093"/>
    <w:rsid w:val="00805D32"/>
    <w:rsid w:val="00807BA2"/>
    <w:rsid w:val="00810407"/>
    <w:rsid w:val="00812277"/>
    <w:rsid w:val="00813E5C"/>
    <w:rsid w:val="00816288"/>
    <w:rsid w:val="0081686E"/>
    <w:rsid w:val="00822E53"/>
    <w:rsid w:val="00823A4C"/>
    <w:rsid w:val="0082432D"/>
    <w:rsid w:val="0083030D"/>
    <w:rsid w:val="00845F7E"/>
    <w:rsid w:val="00846EF5"/>
    <w:rsid w:val="008473AF"/>
    <w:rsid w:val="00853615"/>
    <w:rsid w:val="00853C1D"/>
    <w:rsid w:val="008577CC"/>
    <w:rsid w:val="00863DC4"/>
    <w:rsid w:val="008649CC"/>
    <w:rsid w:val="00864EDB"/>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5469"/>
    <w:rsid w:val="00885973"/>
    <w:rsid w:val="008861B7"/>
    <w:rsid w:val="00892B66"/>
    <w:rsid w:val="008935E1"/>
    <w:rsid w:val="008977D3"/>
    <w:rsid w:val="008A22F1"/>
    <w:rsid w:val="008A424A"/>
    <w:rsid w:val="008A5714"/>
    <w:rsid w:val="008A5987"/>
    <w:rsid w:val="008A6764"/>
    <w:rsid w:val="008A7F78"/>
    <w:rsid w:val="008B021F"/>
    <w:rsid w:val="008B0939"/>
    <w:rsid w:val="008B2641"/>
    <w:rsid w:val="008B5687"/>
    <w:rsid w:val="008B6408"/>
    <w:rsid w:val="008C13AB"/>
    <w:rsid w:val="008C1B74"/>
    <w:rsid w:val="008C4540"/>
    <w:rsid w:val="008C6A18"/>
    <w:rsid w:val="008D07D2"/>
    <w:rsid w:val="008D145E"/>
    <w:rsid w:val="008D2C31"/>
    <w:rsid w:val="008D435F"/>
    <w:rsid w:val="008D4A14"/>
    <w:rsid w:val="008D5C6C"/>
    <w:rsid w:val="008D778A"/>
    <w:rsid w:val="008E118F"/>
    <w:rsid w:val="008F35C2"/>
    <w:rsid w:val="008F419C"/>
    <w:rsid w:val="008F6863"/>
    <w:rsid w:val="00901D0A"/>
    <w:rsid w:val="00905AC1"/>
    <w:rsid w:val="00906472"/>
    <w:rsid w:val="00907E85"/>
    <w:rsid w:val="00911495"/>
    <w:rsid w:val="009142F4"/>
    <w:rsid w:val="0091608D"/>
    <w:rsid w:val="00920750"/>
    <w:rsid w:val="00921A6B"/>
    <w:rsid w:val="00923293"/>
    <w:rsid w:val="00923D06"/>
    <w:rsid w:val="00924630"/>
    <w:rsid w:val="009246BA"/>
    <w:rsid w:val="00925023"/>
    <w:rsid w:val="00925BA7"/>
    <w:rsid w:val="0092679A"/>
    <w:rsid w:val="009267BD"/>
    <w:rsid w:val="0093187B"/>
    <w:rsid w:val="0093636F"/>
    <w:rsid w:val="009372C5"/>
    <w:rsid w:val="00937E8B"/>
    <w:rsid w:val="009407A7"/>
    <w:rsid w:val="00940B7C"/>
    <w:rsid w:val="00942C9E"/>
    <w:rsid w:val="0094313F"/>
    <w:rsid w:val="00946893"/>
    <w:rsid w:val="00947F92"/>
    <w:rsid w:val="0095135A"/>
    <w:rsid w:val="00952675"/>
    <w:rsid w:val="00953355"/>
    <w:rsid w:val="0096079E"/>
    <w:rsid w:val="009616B7"/>
    <w:rsid w:val="00964466"/>
    <w:rsid w:val="00965F4E"/>
    <w:rsid w:val="00967212"/>
    <w:rsid w:val="0097197E"/>
    <w:rsid w:val="00971BDB"/>
    <w:rsid w:val="009737E1"/>
    <w:rsid w:val="009743DF"/>
    <w:rsid w:val="00975D1A"/>
    <w:rsid w:val="009770C6"/>
    <w:rsid w:val="00980114"/>
    <w:rsid w:val="00980F12"/>
    <w:rsid w:val="00984CAE"/>
    <w:rsid w:val="00984E4F"/>
    <w:rsid w:val="00985AA2"/>
    <w:rsid w:val="00991880"/>
    <w:rsid w:val="00992791"/>
    <w:rsid w:val="00992C26"/>
    <w:rsid w:val="00994508"/>
    <w:rsid w:val="00994FB7"/>
    <w:rsid w:val="00996C14"/>
    <w:rsid w:val="00996DB6"/>
    <w:rsid w:val="00996E2D"/>
    <w:rsid w:val="0099782C"/>
    <w:rsid w:val="009A09DF"/>
    <w:rsid w:val="009A17C9"/>
    <w:rsid w:val="009A2005"/>
    <w:rsid w:val="009A4AC4"/>
    <w:rsid w:val="009A6ABA"/>
    <w:rsid w:val="009A6FD4"/>
    <w:rsid w:val="009A7CE8"/>
    <w:rsid w:val="009B08F6"/>
    <w:rsid w:val="009B354F"/>
    <w:rsid w:val="009B4EAC"/>
    <w:rsid w:val="009C04AB"/>
    <w:rsid w:val="009C1622"/>
    <w:rsid w:val="009C2134"/>
    <w:rsid w:val="009C29CF"/>
    <w:rsid w:val="009C3A26"/>
    <w:rsid w:val="009C54B7"/>
    <w:rsid w:val="009C730E"/>
    <w:rsid w:val="009D033E"/>
    <w:rsid w:val="009D11CA"/>
    <w:rsid w:val="009D1E0F"/>
    <w:rsid w:val="009D2143"/>
    <w:rsid w:val="009D2751"/>
    <w:rsid w:val="009D5C5D"/>
    <w:rsid w:val="009D7E08"/>
    <w:rsid w:val="009E11E4"/>
    <w:rsid w:val="009E1A4B"/>
    <w:rsid w:val="009E1B25"/>
    <w:rsid w:val="009E22BC"/>
    <w:rsid w:val="009E2BDD"/>
    <w:rsid w:val="009E35DC"/>
    <w:rsid w:val="009E549E"/>
    <w:rsid w:val="009E6AFF"/>
    <w:rsid w:val="009E77F1"/>
    <w:rsid w:val="009E7AF6"/>
    <w:rsid w:val="009F01CD"/>
    <w:rsid w:val="009F2B4A"/>
    <w:rsid w:val="009F3905"/>
    <w:rsid w:val="009F5BE1"/>
    <w:rsid w:val="009F64F4"/>
    <w:rsid w:val="00A006BA"/>
    <w:rsid w:val="00A03585"/>
    <w:rsid w:val="00A03F1D"/>
    <w:rsid w:val="00A065C3"/>
    <w:rsid w:val="00A11E1B"/>
    <w:rsid w:val="00A165BA"/>
    <w:rsid w:val="00A16D5D"/>
    <w:rsid w:val="00A17B09"/>
    <w:rsid w:val="00A22B03"/>
    <w:rsid w:val="00A23E6E"/>
    <w:rsid w:val="00A25AF9"/>
    <w:rsid w:val="00A2617C"/>
    <w:rsid w:val="00A2655E"/>
    <w:rsid w:val="00A26778"/>
    <w:rsid w:val="00A30A89"/>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5C1"/>
    <w:rsid w:val="00A6283C"/>
    <w:rsid w:val="00A63882"/>
    <w:rsid w:val="00A66AD4"/>
    <w:rsid w:val="00A67FA5"/>
    <w:rsid w:val="00A712BC"/>
    <w:rsid w:val="00A75923"/>
    <w:rsid w:val="00A76B56"/>
    <w:rsid w:val="00A76C2D"/>
    <w:rsid w:val="00A81EB1"/>
    <w:rsid w:val="00A82150"/>
    <w:rsid w:val="00A85056"/>
    <w:rsid w:val="00A86B50"/>
    <w:rsid w:val="00A93902"/>
    <w:rsid w:val="00A94558"/>
    <w:rsid w:val="00A96D73"/>
    <w:rsid w:val="00AA03D7"/>
    <w:rsid w:val="00AA211E"/>
    <w:rsid w:val="00AA26D9"/>
    <w:rsid w:val="00AA2EF2"/>
    <w:rsid w:val="00AB3CF5"/>
    <w:rsid w:val="00AB5CA6"/>
    <w:rsid w:val="00AB6B3D"/>
    <w:rsid w:val="00AC579C"/>
    <w:rsid w:val="00AD128D"/>
    <w:rsid w:val="00AD4207"/>
    <w:rsid w:val="00AD4446"/>
    <w:rsid w:val="00AD650B"/>
    <w:rsid w:val="00AD7B15"/>
    <w:rsid w:val="00AE061F"/>
    <w:rsid w:val="00AE11F4"/>
    <w:rsid w:val="00AE127B"/>
    <w:rsid w:val="00AE1886"/>
    <w:rsid w:val="00AE2365"/>
    <w:rsid w:val="00AE4E06"/>
    <w:rsid w:val="00AE56E0"/>
    <w:rsid w:val="00AE6648"/>
    <w:rsid w:val="00AF2CE4"/>
    <w:rsid w:val="00AF2D72"/>
    <w:rsid w:val="00AF335B"/>
    <w:rsid w:val="00AF39A3"/>
    <w:rsid w:val="00AF483B"/>
    <w:rsid w:val="00AF5817"/>
    <w:rsid w:val="00B012AD"/>
    <w:rsid w:val="00B025B9"/>
    <w:rsid w:val="00B033FC"/>
    <w:rsid w:val="00B038AC"/>
    <w:rsid w:val="00B042A9"/>
    <w:rsid w:val="00B04384"/>
    <w:rsid w:val="00B05B0D"/>
    <w:rsid w:val="00B11817"/>
    <w:rsid w:val="00B1212E"/>
    <w:rsid w:val="00B1238C"/>
    <w:rsid w:val="00B13C07"/>
    <w:rsid w:val="00B154FA"/>
    <w:rsid w:val="00B1563E"/>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75125"/>
    <w:rsid w:val="00B81E5A"/>
    <w:rsid w:val="00B82C1C"/>
    <w:rsid w:val="00B84211"/>
    <w:rsid w:val="00B8630D"/>
    <w:rsid w:val="00B91BEA"/>
    <w:rsid w:val="00B9377A"/>
    <w:rsid w:val="00B94D04"/>
    <w:rsid w:val="00B95A11"/>
    <w:rsid w:val="00B96D3F"/>
    <w:rsid w:val="00B971B3"/>
    <w:rsid w:val="00BA0C15"/>
    <w:rsid w:val="00BA0C89"/>
    <w:rsid w:val="00BA177E"/>
    <w:rsid w:val="00BA2512"/>
    <w:rsid w:val="00BA3362"/>
    <w:rsid w:val="00BA607E"/>
    <w:rsid w:val="00BB1618"/>
    <w:rsid w:val="00BB6C34"/>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00DA"/>
    <w:rsid w:val="00BE1DE2"/>
    <w:rsid w:val="00BE3B20"/>
    <w:rsid w:val="00BE48CA"/>
    <w:rsid w:val="00BE52E6"/>
    <w:rsid w:val="00BF061C"/>
    <w:rsid w:val="00BF2504"/>
    <w:rsid w:val="00BF63F8"/>
    <w:rsid w:val="00BF6C5D"/>
    <w:rsid w:val="00C03B35"/>
    <w:rsid w:val="00C0669C"/>
    <w:rsid w:val="00C06C5C"/>
    <w:rsid w:val="00C07FA3"/>
    <w:rsid w:val="00C1018F"/>
    <w:rsid w:val="00C11A04"/>
    <w:rsid w:val="00C125FF"/>
    <w:rsid w:val="00C1693C"/>
    <w:rsid w:val="00C169A2"/>
    <w:rsid w:val="00C177F8"/>
    <w:rsid w:val="00C20AED"/>
    <w:rsid w:val="00C27AED"/>
    <w:rsid w:val="00C30738"/>
    <w:rsid w:val="00C41F77"/>
    <w:rsid w:val="00C43524"/>
    <w:rsid w:val="00C47281"/>
    <w:rsid w:val="00C47A0B"/>
    <w:rsid w:val="00C5222E"/>
    <w:rsid w:val="00C525C7"/>
    <w:rsid w:val="00C54666"/>
    <w:rsid w:val="00C553E1"/>
    <w:rsid w:val="00C55668"/>
    <w:rsid w:val="00C60596"/>
    <w:rsid w:val="00C605A3"/>
    <w:rsid w:val="00C6105A"/>
    <w:rsid w:val="00C64733"/>
    <w:rsid w:val="00C7013A"/>
    <w:rsid w:val="00C73CFC"/>
    <w:rsid w:val="00C7534F"/>
    <w:rsid w:val="00C7561D"/>
    <w:rsid w:val="00C77452"/>
    <w:rsid w:val="00C8020A"/>
    <w:rsid w:val="00C8215B"/>
    <w:rsid w:val="00C86014"/>
    <w:rsid w:val="00C909B6"/>
    <w:rsid w:val="00C9438D"/>
    <w:rsid w:val="00C96482"/>
    <w:rsid w:val="00CA09F2"/>
    <w:rsid w:val="00CA0E28"/>
    <w:rsid w:val="00CA14E8"/>
    <w:rsid w:val="00CA27DD"/>
    <w:rsid w:val="00CA2E8D"/>
    <w:rsid w:val="00CA2F92"/>
    <w:rsid w:val="00CA491A"/>
    <w:rsid w:val="00CA6717"/>
    <w:rsid w:val="00CA6EA5"/>
    <w:rsid w:val="00CA7281"/>
    <w:rsid w:val="00CA7EEA"/>
    <w:rsid w:val="00CB0281"/>
    <w:rsid w:val="00CB0D7B"/>
    <w:rsid w:val="00CB2E6B"/>
    <w:rsid w:val="00CB4ED8"/>
    <w:rsid w:val="00CB64F0"/>
    <w:rsid w:val="00CB65C9"/>
    <w:rsid w:val="00CC0392"/>
    <w:rsid w:val="00CC1FE0"/>
    <w:rsid w:val="00CC212E"/>
    <w:rsid w:val="00CC4FBA"/>
    <w:rsid w:val="00CD04AA"/>
    <w:rsid w:val="00CD3F2A"/>
    <w:rsid w:val="00CD460D"/>
    <w:rsid w:val="00CE0260"/>
    <w:rsid w:val="00CE2544"/>
    <w:rsid w:val="00CE31FD"/>
    <w:rsid w:val="00CE3826"/>
    <w:rsid w:val="00CE6532"/>
    <w:rsid w:val="00CE72AE"/>
    <w:rsid w:val="00CE768D"/>
    <w:rsid w:val="00CF0201"/>
    <w:rsid w:val="00CF130F"/>
    <w:rsid w:val="00CF2A06"/>
    <w:rsid w:val="00CF3FEB"/>
    <w:rsid w:val="00CF496D"/>
    <w:rsid w:val="00CF7EB3"/>
    <w:rsid w:val="00D01818"/>
    <w:rsid w:val="00D04FED"/>
    <w:rsid w:val="00D05119"/>
    <w:rsid w:val="00D06485"/>
    <w:rsid w:val="00D06B0E"/>
    <w:rsid w:val="00D07DA0"/>
    <w:rsid w:val="00D1050A"/>
    <w:rsid w:val="00D10BC5"/>
    <w:rsid w:val="00D110BB"/>
    <w:rsid w:val="00D118F9"/>
    <w:rsid w:val="00D13501"/>
    <w:rsid w:val="00D14CB7"/>
    <w:rsid w:val="00D151CD"/>
    <w:rsid w:val="00D1585D"/>
    <w:rsid w:val="00D17C79"/>
    <w:rsid w:val="00D202F1"/>
    <w:rsid w:val="00D20FBF"/>
    <w:rsid w:val="00D2107B"/>
    <w:rsid w:val="00D250A2"/>
    <w:rsid w:val="00D2577B"/>
    <w:rsid w:val="00D260A5"/>
    <w:rsid w:val="00D26C7A"/>
    <w:rsid w:val="00D27AA3"/>
    <w:rsid w:val="00D27E91"/>
    <w:rsid w:val="00D316DC"/>
    <w:rsid w:val="00D348C5"/>
    <w:rsid w:val="00D34EFB"/>
    <w:rsid w:val="00D40967"/>
    <w:rsid w:val="00D40F27"/>
    <w:rsid w:val="00D41DC2"/>
    <w:rsid w:val="00D42157"/>
    <w:rsid w:val="00D42F82"/>
    <w:rsid w:val="00D47264"/>
    <w:rsid w:val="00D519DA"/>
    <w:rsid w:val="00D52744"/>
    <w:rsid w:val="00D53F74"/>
    <w:rsid w:val="00D56D30"/>
    <w:rsid w:val="00D60B99"/>
    <w:rsid w:val="00D60C93"/>
    <w:rsid w:val="00D62D59"/>
    <w:rsid w:val="00D62F84"/>
    <w:rsid w:val="00D64D2D"/>
    <w:rsid w:val="00D7385F"/>
    <w:rsid w:val="00D74171"/>
    <w:rsid w:val="00D754A1"/>
    <w:rsid w:val="00D755EA"/>
    <w:rsid w:val="00D756EC"/>
    <w:rsid w:val="00D77F2C"/>
    <w:rsid w:val="00D8106E"/>
    <w:rsid w:val="00D818FC"/>
    <w:rsid w:val="00D81F46"/>
    <w:rsid w:val="00D81F81"/>
    <w:rsid w:val="00D85FBA"/>
    <w:rsid w:val="00D87184"/>
    <w:rsid w:val="00D87402"/>
    <w:rsid w:val="00D90EA7"/>
    <w:rsid w:val="00D932FC"/>
    <w:rsid w:val="00D94C3C"/>
    <w:rsid w:val="00D962FD"/>
    <w:rsid w:val="00D963D1"/>
    <w:rsid w:val="00D96EBE"/>
    <w:rsid w:val="00D979B0"/>
    <w:rsid w:val="00DA500C"/>
    <w:rsid w:val="00DA5348"/>
    <w:rsid w:val="00DB08A6"/>
    <w:rsid w:val="00DB2737"/>
    <w:rsid w:val="00DB4EBB"/>
    <w:rsid w:val="00DB753E"/>
    <w:rsid w:val="00DC0CCB"/>
    <w:rsid w:val="00DC19CB"/>
    <w:rsid w:val="00DC2E0F"/>
    <w:rsid w:val="00DC3ABD"/>
    <w:rsid w:val="00DC3FA3"/>
    <w:rsid w:val="00DC475D"/>
    <w:rsid w:val="00DC623C"/>
    <w:rsid w:val="00DD1B1B"/>
    <w:rsid w:val="00DD4459"/>
    <w:rsid w:val="00DE0695"/>
    <w:rsid w:val="00DE289B"/>
    <w:rsid w:val="00DE3670"/>
    <w:rsid w:val="00DE576D"/>
    <w:rsid w:val="00DE665D"/>
    <w:rsid w:val="00DE74E3"/>
    <w:rsid w:val="00DE7518"/>
    <w:rsid w:val="00DF144E"/>
    <w:rsid w:val="00DF1F4E"/>
    <w:rsid w:val="00DF32D8"/>
    <w:rsid w:val="00DF44E8"/>
    <w:rsid w:val="00DF50AC"/>
    <w:rsid w:val="00E000C8"/>
    <w:rsid w:val="00E023B4"/>
    <w:rsid w:val="00E02C64"/>
    <w:rsid w:val="00E05075"/>
    <w:rsid w:val="00E065A0"/>
    <w:rsid w:val="00E129AF"/>
    <w:rsid w:val="00E1325C"/>
    <w:rsid w:val="00E13F32"/>
    <w:rsid w:val="00E16FE2"/>
    <w:rsid w:val="00E21C10"/>
    <w:rsid w:val="00E237F2"/>
    <w:rsid w:val="00E25B98"/>
    <w:rsid w:val="00E25F8A"/>
    <w:rsid w:val="00E26BE1"/>
    <w:rsid w:val="00E270FA"/>
    <w:rsid w:val="00E31F47"/>
    <w:rsid w:val="00E328F2"/>
    <w:rsid w:val="00E33F13"/>
    <w:rsid w:val="00E36C07"/>
    <w:rsid w:val="00E42B6B"/>
    <w:rsid w:val="00E4359D"/>
    <w:rsid w:val="00E43B52"/>
    <w:rsid w:val="00E442E6"/>
    <w:rsid w:val="00E4623F"/>
    <w:rsid w:val="00E46BD8"/>
    <w:rsid w:val="00E5045F"/>
    <w:rsid w:val="00E50954"/>
    <w:rsid w:val="00E53526"/>
    <w:rsid w:val="00E540C4"/>
    <w:rsid w:val="00E54357"/>
    <w:rsid w:val="00E55D02"/>
    <w:rsid w:val="00E56235"/>
    <w:rsid w:val="00E64644"/>
    <w:rsid w:val="00E64BC5"/>
    <w:rsid w:val="00E70307"/>
    <w:rsid w:val="00E72864"/>
    <w:rsid w:val="00E72B4B"/>
    <w:rsid w:val="00E74750"/>
    <w:rsid w:val="00E75C1E"/>
    <w:rsid w:val="00E7792A"/>
    <w:rsid w:val="00E8041A"/>
    <w:rsid w:val="00E8307F"/>
    <w:rsid w:val="00E86954"/>
    <w:rsid w:val="00E90B87"/>
    <w:rsid w:val="00EA3279"/>
    <w:rsid w:val="00EA3D98"/>
    <w:rsid w:val="00EA3E74"/>
    <w:rsid w:val="00EA7F8B"/>
    <w:rsid w:val="00EB068F"/>
    <w:rsid w:val="00EB121C"/>
    <w:rsid w:val="00EB3985"/>
    <w:rsid w:val="00EB6ED9"/>
    <w:rsid w:val="00EB7560"/>
    <w:rsid w:val="00EC1B80"/>
    <w:rsid w:val="00EC510A"/>
    <w:rsid w:val="00EC5B78"/>
    <w:rsid w:val="00EC65CE"/>
    <w:rsid w:val="00EC66F3"/>
    <w:rsid w:val="00EC67EC"/>
    <w:rsid w:val="00EC7FA6"/>
    <w:rsid w:val="00ED0BDA"/>
    <w:rsid w:val="00ED0BEB"/>
    <w:rsid w:val="00ED44C1"/>
    <w:rsid w:val="00ED60B9"/>
    <w:rsid w:val="00ED700A"/>
    <w:rsid w:val="00ED7E78"/>
    <w:rsid w:val="00EE1744"/>
    <w:rsid w:val="00EE64DD"/>
    <w:rsid w:val="00EE72A7"/>
    <w:rsid w:val="00EE7376"/>
    <w:rsid w:val="00EE7E90"/>
    <w:rsid w:val="00EF0BA0"/>
    <w:rsid w:val="00EF4DC8"/>
    <w:rsid w:val="00EF5144"/>
    <w:rsid w:val="00F01C2A"/>
    <w:rsid w:val="00F07275"/>
    <w:rsid w:val="00F13913"/>
    <w:rsid w:val="00F13BE5"/>
    <w:rsid w:val="00F15E85"/>
    <w:rsid w:val="00F17CFC"/>
    <w:rsid w:val="00F22797"/>
    <w:rsid w:val="00F26190"/>
    <w:rsid w:val="00F26828"/>
    <w:rsid w:val="00F27DA4"/>
    <w:rsid w:val="00F35962"/>
    <w:rsid w:val="00F3674E"/>
    <w:rsid w:val="00F40EB7"/>
    <w:rsid w:val="00F45C72"/>
    <w:rsid w:val="00F50711"/>
    <w:rsid w:val="00F54538"/>
    <w:rsid w:val="00F5781B"/>
    <w:rsid w:val="00F66A99"/>
    <w:rsid w:val="00F674C2"/>
    <w:rsid w:val="00F746D6"/>
    <w:rsid w:val="00F75128"/>
    <w:rsid w:val="00F80428"/>
    <w:rsid w:val="00F80C87"/>
    <w:rsid w:val="00F86514"/>
    <w:rsid w:val="00F9381E"/>
    <w:rsid w:val="00F95495"/>
    <w:rsid w:val="00F9621D"/>
    <w:rsid w:val="00F96282"/>
    <w:rsid w:val="00FA188D"/>
    <w:rsid w:val="00FA4922"/>
    <w:rsid w:val="00FB1336"/>
    <w:rsid w:val="00FB2769"/>
    <w:rsid w:val="00FC4600"/>
    <w:rsid w:val="00FC5810"/>
    <w:rsid w:val="00FC6E52"/>
    <w:rsid w:val="00FC700D"/>
    <w:rsid w:val="00FD2154"/>
    <w:rsid w:val="00FD4DE9"/>
    <w:rsid w:val="00FD6CDC"/>
    <w:rsid w:val="00FE509B"/>
    <w:rsid w:val="00FF0B70"/>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D:\&#26032;&#26700;&#38754;&#23601;&#26159;&#23427;&#20102;\&#29790;&#36798;&#22269;&#38469;&#26085;&#25253;\&#20840;&#29699;&#32929;&#25351;&#26085;&#25910;&#30424;&#28072;&#36300;&#24133;(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zh-CN" altLang="en-US"/>
              <a:t>全球主要指数涨跌幅（</a:t>
            </a:r>
            <a:r>
              <a:rPr lang="en-US" altLang="zh-CN"/>
              <a:t>%</a:t>
            </a:r>
            <a:r>
              <a:rPr lang="zh-CN" altLang="en-US"/>
              <a:t>）</a:t>
            </a:r>
          </a:p>
        </c:rich>
      </c:tx>
      <c:overlay val="0"/>
    </c:title>
    <c:autoTitleDeleted val="0"/>
    <c:plotArea>
      <c:layout/>
      <c:barChart>
        <c:barDir val="col"/>
        <c:grouping val="clustered"/>
        <c:varyColors val="0"/>
        <c:ser>
          <c:idx val="0"/>
          <c:order val="0"/>
          <c:tx>
            <c:strRef>
              <c:f>Sheet3!$S$63</c:f>
              <c:strCache>
                <c:ptCount val="1"/>
                <c:pt idx="0">
                  <c:v>2024-12-19</c:v>
                </c:pt>
              </c:strCache>
            </c:strRef>
          </c:tx>
          <c:spPr>
            <a:solidFill>
              <a:srgbClr val="FF0000"/>
            </a:solidFill>
          </c:spPr>
          <c:invertIfNegative val="1"/>
          <c:dPt>
            <c:idx val="2"/>
            <c:invertIfNegative val="1"/>
            <c:bubble3D val="0"/>
            <c:extLst>
              <c:ext xmlns:c16="http://schemas.microsoft.com/office/drawing/2014/chart" uri="{C3380CC4-5D6E-409C-BE32-E72D297353CC}">
                <c16:uniqueId val="{00000000-18E7-44F3-86D1-A45F66F8086D}"/>
              </c:ext>
            </c:extLst>
          </c:dPt>
          <c:dPt>
            <c:idx val="3"/>
            <c:invertIfNegative val="1"/>
            <c:bubble3D val="0"/>
            <c:extLst>
              <c:ext xmlns:c16="http://schemas.microsoft.com/office/drawing/2014/chart" uri="{C3380CC4-5D6E-409C-BE32-E72D297353CC}">
                <c16:uniqueId val="{00000001-18E7-44F3-86D1-A45F66F8086D}"/>
              </c:ext>
            </c:extLst>
          </c:dPt>
          <c:dPt>
            <c:idx val="4"/>
            <c:invertIfNegative val="1"/>
            <c:bubble3D val="0"/>
            <c:extLst>
              <c:ext xmlns:c16="http://schemas.microsoft.com/office/drawing/2014/chart" uri="{C3380CC4-5D6E-409C-BE32-E72D297353CC}">
                <c16:uniqueId val="{00000002-18E7-44F3-86D1-A45F66F8086D}"/>
              </c:ext>
            </c:extLst>
          </c:dPt>
          <c:dPt>
            <c:idx val="5"/>
            <c:invertIfNegative val="1"/>
            <c:bubble3D val="0"/>
            <c:extLst>
              <c:ext xmlns:c16="http://schemas.microsoft.com/office/drawing/2014/chart" uri="{C3380CC4-5D6E-409C-BE32-E72D297353CC}">
                <c16:uniqueId val="{00000003-18E7-44F3-86D1-A45F66F8086D}"/>
              </c:ext>
            </c:extLst>
          </c:dPt>
          <c:dPt>
            <c:idx val="6"/>
            <c:invertIfNegative val="1"/>
            <c:bubble3D val="0"/>
            <c:extLst>
              <c:ext xmlns:c16="http://schemas.microsoft.com/office/drawing/2014/chart" uri="{C3380CC4-5D6E-409C-BE32-E72D297353CC}">
                <c16:uniqueId val="{00000004-18E7-44F3-86D1-A45F66F8086D}"/>
              </c:ext>
            </c:extLst>
          </c:dPt>
          <c:dPt>
            <c:idx val="7"/>
            <c:invertIfNegative val="1"/>
            <c:bubble3D val="0"/>
            <c:extLst>
              <c:ext xmlns:c16="http://schemas.microsoft.com/office/drawing/2014/chart" uri="{C3380CC4-5D6E-409C-BE32-E72D297353CC}">
                <c16:uniqueId val="{00000005-18E7-44F3-86D1-A45F66F8086D}"/>
              </c:ext>
            </c:extLst>
          </c:dPt>
          <c:dPt>
            <c:idx val="8"/>
            <c:invertIfNegative val="1"/>
            <c:bubble3D val="0"/>
            <c:extLst>
              <c:ext xmlns:c16="http://schemas.microsoft.com/office/drawing/2014/chart" uri="{C3380CC4-5D6E-409C-BE32-E72D297353CC}">
                <c16:uniqueId val="{00000006-18E7-44F3-86D1-A45F66F8086D}"/>
              </c:ext>
            </c:extLst>
          </c:dPt>
          <c:dPt>
            <c:idx val="9"/>
            <c:invertIfNegative val="1"/>
            <c:bubble3D val="0"/>
            <c:extLst>
              <c:ext xmlns:c16="http://schemas.microsoft.com/office/drawing/2014/chart" uri="{C3380CC4-5D6E-409C-BE32-E72D297353CC}">
                <c16:uniqueId val="{00000007-18E7-44F3-86D1-A45F66F8086D}"/>
              </c:ext>
            </c:extLst>
          </c:dPt>
          <c:dPt>
            <c:idx val="10"/>
            <c:invertIfNegative val="1"/>
            <c:bubble3D val="0"/>
            <c:extLst>
              <c:ext xmlns:c16="http://schemas.microsoft.com/office/drawing/2014/chart" uri="{C3380CC4-5D6E-409C-BE32-E72D297353CC}">
                <c16:uniqueId val="{00000008-18E7-44F3-86D1-A45F66F8086D}"/>
              </c:ext>
            </c:extLst>
          </c:dPt>
          <c:dPt>
            <c:idx val="11"/>
            <c:invertIfNegative val="1"/>
            <c:bubble3D val="0"/>
            <c:extLst>
              <c:ext xmlns:c16="http://schemas.microsoft.com/office/drawing/2014/chart" uri="{C3380CC4-5D6E-409C-BE32-E72D297353CC}">
                <c16:uniqueId val="{00000009-18E7-44F3-86D1-A45F66F8086D}"/>
              </c:ext>
            </c:extLst>
          </c:dPt>
          <c:dPt>
            <c:idx val="12"/>
            <c:invertIfNegative val="1"/>
            <c:bubble3D val="0"/>
            <c:extLst>
              <c:ext xmlns:c16="http://schemas.microsoft.com/office/drawing/2014/chart" uri="{C3380CC4-5D6E-409C-BE32-E72D297353CC}">
                <c16:uniqueId val="{0000000A-18E7-44F3-86D1-A45F66F8086D}"/>
              </c:ext>
            </c:extLst>
          </c:dPt>
          <c:dPt>
            <c:idx val="13"/>
            <c:invertIfNegative val="1"/>
            <c:bubble3D val="0"/>
            <c:extLst>
              <c:ext xmlns:c16="http://schemas.microsoft.com/office/drawing/2014/chart" uri="{C3380CC4-5D6E-409C-BE32-E72D297353CC}">
                <c16:uniqueId val="{0000000B-18E7-44F3-86D1-A45F66F8086D}"/>
              </c:ext>
            </c:extLst>
          </c:dPt>
          <c:dPt>
            <c:idx val="14"/>
            <c:invertIfNegative val="1"/>
            <c:bubble3D val="0"/>
            <c:extLst>
              <c:ext xmlns:c16="http://schemas.microsoft.com/office/drawing/2014/chart" uri="{C3380CC4-5D6E-409C-BE32-E72D297353CC}">
                <c16:uniqueId val="{0000000C-18E7-44F3-86D1-A45F66F8086D}"/>
              </c:ext>
            </c:extLst>
          </c:dPt>
          <c:cat>
            <c:strRef>
              <c:f>Sheet3!$R$64:$R$78</c:f>
              <c:strCache>
                <c:ptCount val="15"/>
                <c:pt idx="0">
                  <c:v>德国DAX</c:v>
                </c:pt>
                <c:pt idx="1">
                  <c:v>法国CAC40</c:v>
                </c:pt>
                <c:pt idx="2">
                  <c:v>英国富时100</c:v>
                </c:pt>
                <c:pt idx="3">
                  <c:v>日经225</c:v>
                </c:pt>
                <c:pt idx="4">
                  <c:v>恒生指数</c:v>
                </c:pt>
                <c:pt idx="5">
                  <c:v>富时新加坡海峡指数</c:v>
                </c:pt>
                <c:pt idx="6">
                  <c:v>上证指数</c:v>
                </c:pt>
                <c:pt idx="7">
                  <c:v>纳斯达克指数</c:v>
                </c:pt>
                <c:pt idx="8">
                  <c:v>标普500</c:v>
                </c:pt>
                <c:pt idx="9">
                  <c:v>意大利指数</c:v>
                </c:pt>
                <c:pt idx="10">
                  <c:v>道琼斯工业指数</c:v>
                </c:pt>
                <c:pt idx="11">
                  <c:v>沪深300</c:v>
                </c:pt>
                <c:pt idx="12">
                  <c:v>创业板指</c:v>
                </c:pt>
                <c:pt idx="13">
                  <c:v>深证成指</c:v>
                </c:pt>
                <c:pt idx="14">
                  <c:v>中小100</c:v>
                </c:pt>
              </c:strCache>
            </c:strRef>
          </c:cat>
          <c:val>
            <c:numRef>
              <c:f>Sheet3!$S$64:$S$78</c:f>
              <c:numCache>
                <c:formatCode>#,##0.0000_ ;\-#,##0.0000\ </c:formatCode>
                <c:ptCount val="15"/>
                <c:pt idx="0">
                  <c:v>-1.34721</c:v>
                </c:pt>
                <c:pt idx="1">
                  <c:v>-1.222135</c:v>
                </c:pt>
                <c:pt idx="2">
                  <c:v>-1.1439049999999999</c:v>
                </c:pt>
                <c:pt idx="3">
                  <c:v>-0.68607499999999999</c:v>
                </c:pt>
                <c:pt idx="4">
                  <c:v>-0.56401999999999997</c:v>
                </c:pt>
                <c:pt idx="5">
                  <c:v>-0.44290200000000002</c:v>
                </c:pt>
                <c:pt idx="6">
                  <c:v>-0.35997200000000001</c:v>
                </c:pt>
                <c:pt idx="7">
                  <c:v>-0.102719</c:v>
                </c:pt>
                <c:pt idx="8">
                  <c:v>-8.6510000000000004E-2</c:v>
                </c:pt>
                <c:pt idx="9">
                  <c:v>0</c:v>
                </c:pt>
                <c:pt idx="10">
                  <c:v>3.6312999999999998E-2</c:v>
                </c:pt>
                <c:pt idx="11">
                  <c:v>9.0653999999999998E-2</c:v>
                </c:pt>
                <c:pt idx="12">
                  <c:v>0.51793299999999998</c:v>
                </c:pt>
                <c:pt idx="13">
                  <c:v>0.61189300000000002</c:v>
                </c:pt>
                <c:pt idx="14">
                  <c:v>0.87352700000000005</c:v>
                </c:pt>
              </c:numCache>
            </c:numRef>
          </c:val>
          <c:extLst>
            <c:ext xmlns:c14="http://schemas.microsoft.com/office/drawing/2007/8/2/chart" uri="{6F2FDCE9-48DA-4B69-8628-5D25D57E5C99}">
              <c14:invertSolidFillFmt>
                <c14:spPr xmlns:c14="http://schemas.microsoft.com/office/drawing/2007/8/2/chart">
                  <a:solidFill>
                    <a:srgbClr val="92D050"/>
                  </a:solidFill>
                </c14:spPr>
              </c14:invertSolidFillFmt>
            </c:ext>
            <c:ext xmlns:c16="http://schemas.microsoft.com/office/drawing/2014/chart" uri="{C3380CC4-5D6E-409C-BE32-E72D297353CC}">
              <c16:uniqueId val="{0000000D-18E7-44F3-86D1-A45F66F8086D}"/>
            </c:ext>
          </c:extLst>
        </c:ser>
        <c:dLbls>
          <c:showLegendKey val="0"/>
          <c:showVal val="0"/>
          <c:showCatName val="0"/>
          <c:showSerName val="0"/>
          <c:showPercent val="0"/>
          <c:showBubbleSize val="0"/>
        </c:dLbls>
        <c:gapWidth val="150"/>
        <c:axId val="754402392"/>
        <c:axId val="754402784"/>
      </c:barChart>
      <c:catAx>
        <c:axId val="754402392"/>
        <c:scaling>
          <c:orientation val="minMax"/>
        </c:scaling>
        <c:delete val="0"/>
        <c:axPos val="b"/>
        <c:numFmt formatCode="m/d/yyyy" sourceLinked="0"/>
        <c:majorTickMark val="none"/>
        <c:minorTickMark val="none"/>
        <c:tickLblPos val="low"/>
        <c:spPr>
          <a:solidFill>
            <a:srgbClr val="92D050"/>
          </a:solidFill>
        </c:spPr>
        <c:txPr>
          <a:bodyPr rot="-60000000" vert="horz"/>
          <a:lstStyle/>
          <a:p>
            <a:pPr>
              <a:defRPr>
                <a:solidFill>
                  <a:srgbClr val="92D050"/>
                </a:solidFill>
              </a:defRPr>
            </a:pPr>
            <a:endParaRPr lang="zh-CN"/>
          </a:p>
        </c:txPr>
        <c:crossAx val="754402784"/>
        <c:crosses val="autoZero"/>
        <c:auto val="1"/>
        <c:lblAlgn val="ctr"/>
        <c:lblOffset val="100"/>
        <c:noMultiLvlLbl val="0"/>
      </c:catAx>
      <c:valAx>
        <c:axId val="754402784"/>
        <c:scaling>
          <c:orientation val="minMax"/>
        </c:scaling>
        <c:delete val="0"/>
        <c:axPos val="l"/>
        <c:majorGridlines/>
        <c:numFmt formatCode="#,##0.0000_ ;\-#,##0.0000\ " sourceLinked="1"/>
        <c:majorTickMark val="none"/>
        <c:minorTickMark val="none"/>
        <c:tickLblPos val="nextTo"/>
        <c:txPr>
          <a:bodyPr rot="-60000000" vert="horz"/>
          <a:lstStyle/>
          <a:p>
            <a:pPr>
              <a:defRPr/>
            </a:pPr>
            <a:endParaRPr lang="zh-CN"/>
          </a:p>
        </c:txPr>
        <c:crossAx val="754402392"/>
        <c:crosses val="autoZero"/>
        <c:crossBetween val="between"/>
      </c:valAx>
      <c:dTable>
        <c:showHorzBorder val="1"/>
        <c:showVertBorder val="1"/>
        <c:showOutline val="1"/>
        <c:showKeys val="0"/>
      </c:dTable>
      <c:spPr>
        <a:noFill/>
        <a:ln w="25400">
          <a:noFill/>
        </a:ln>
      </c:spPr>
    </c:plotArea>
    <c:plotVisOnly val="1"/>
    <c:dispBlanksAs val="gap"/>
    <c:showDLblsOverMax val="0"/>
  </c:chart>
  <c:externalData r:id="rId1">
    <c:autoUpdate val="0"/>
  </c:externalData>
</c:chartSpac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A68FAD3-E47E-4887-8DCF-FB27DD01D7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11</Pages>
  <Words>732</Words>
  <Characters>4175</Characters>
  <Application>Microsoft Office Word</Application>
  <DocSecurity>0</DocSecurity>
  <Lines>34</Lines>
  <Paragraphs>9</Paragraphs>
  <ScaleCrop>false</ScaleCrop>
  <Company/>
  <LinksUpToDate>false</LinksUpToDate>
  <CharactersWithSpaces>4898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MSI</cp:lastModifiedBy>
  <cp:revision>23</cp:revision>
  <cp:lastPrinted>2024-07-26T02:41:00Z</cp:lastPrinted>
  <dcterms:created xsi:type="dcterms:W3CDTF">2024-12-06T00:43:00Z</dcterms:created>
  <dcterms:modified xsi:type="dcterms:W3CDTF">2024-12-20T01:12:00Z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