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55D02">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A51836">
        <w:rPr>
          <w:rFonts w:ascii="微软雅黑" w:eastAsia="微软雅黑" w:hAnsi="微软雅黑" w:cs="微软雅黑"/>
          <w:b/>
          <w:bCs/>
          <w:color w:val="005D97"/>
          <w:spacing w:val="-22"/>
          <w:sz w:val="48"/>
          <w:szCs w:val="48"/>
          <w:lang w:eastAsia="zh-CN"/>
        </w:rPr>
        <w:t>26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CB3CAD">
      <w:pPr>
        <w:spacing w:before="103" w:line="257" w:lineRule="auto"/>
        <w:ind w:right="584" w:firstLineChars="200" w:firstLine="468"/>
        <w:jc w:val="both"/>
        <w:rPr>
          <w:rFonts w:ascii="微软雅黑" w:eastAsia="微软雅黑" w:hAnsi="微软雅黑" w:cs="微软雅黑"/>
          <w:spacing w:val="12"/>
          <w:lang w:eastAsia="zh-CN"/>
        </w:rPr>
      </w:pPr>
      <w:r w:rsidRPr="00CB3CAD">
        <w:rPr>
          <w:rFonts w:ascii="微软雅黑" w:eastAsia="微软雅黑" w:hAnsi="微软雅黑" w:cs="微软雅黑" w:hint="eastAsia"/>
          <w:spacing w:val="12"/>
          <w:lang w:eastAsia="zh-CN"/>
        </w:rPr>
        <w:t>受圣诞节假期影响，美股休市，</w:t>
      </w:r>
      <w:r w:rsidRPr="00CB3CAD">
        <w:rPr>
          <w:rFonts w:ascii="微软雅黑" w:eastAsia="微软雅黑" w:hAnsi="微软雅黑" w:cs="微软雅黑"/>
          <w:spacing w:val="12"/>
          <w:lang w:eastAsia="zh-CN"/>
        </w:rPr>
        <w:t>12</w:t>
      </w:r>
      <w:r w:rsidRPr="00CB3CAD">
        <w:rPr>
          <w:rFonts w:ascii="微软雅黑" w:eastAsia="微软雅黑" w:hAnsi="微软雅黑" w:cs="微软雅黑" w:hint="eastAsia"/>
          <w:spacing w:val="12"/>
          <w:lang w:eastAsia="zh-CN"/>
        </w:rPr>
        <w:t>月</w:t>
      </w:r>
      <w:r w:rsidRPr="00CB3CAD">
        <w:rPr>
          <w:rFonts w:ascii="微软雅黑" w:eastAsia="微软雅黑" w:hAnsi="微软雅黑" w:cs="微软雅黑"/>
          <w:spacing w:val="12"/>
          <w:lang w:eastAsia="zh-CN"/>
        </w:rPr>
        <w:t>26</w:t>
      </w:r>
      <w:r w:rsidRPr="00CB3CAD">
        <w:rPr>
          <w:rFonts w:ascii="微软雅黑" w:eastAsia="微软雅黑" w:hAnsi="微软雅黑" w:cs="微软雅黑" w:hint="eastAsia"/>
          <w:spacing w:val="12"/>
          <w:lang w:eastAsia="zh-CN"/>
        </w:rPr>
        <w:t>日恢复正常交易，欧洲主要股指休市，</w:t>
      </w:r>
      <w:r w:rsidRPr="00CB3CAD">
        <w:rPr>
          <w:rFonts w:ascii="微软雅黑" w:eastAsia="微软雅黑" w:hAnsi="微软雅黑" w:cs="微软雅黑"/>
          <w:spacing w:val="12"/>
          <w:lang w:eastAsia="zh-CN"/>
        </w:rPr>
        <w:t>12</w:t>
      </w:r>
      <w:r w:rsidRPr="00CB3CAD">
        <w:rPr>
          <w:rFonts w:ascii="微软雅黑" w:eastAsia="微软雅黑" w:hAnsi="微软雅黑" w:cs="微软雅黑" w:hint="eastAsia"/>
          <w:spacing w:val="12"/>
          <w:lang w:eastAsia="zh-CN"/>
        </w:rPr>
        <w:t>月</w:t>
      </w:r>
      <w:r w:rsidRPr="00CB3CAD">
        <w:rPr>
          <w:rFonts w:ascii="微软雅黑" w:eastAsia="微软雅黑" w:hAnsi="微软雅黑" w:cs="微软雅黑"/>
          <w:spacing w:val="12"/>
          <w:lang w:eastAsia="zh-CN"/>
        </w:rPr>
        <w:t>27</w:t>
      </w:r>
      <w:r w:rsidRPr="00CB3CAD">
        <w:rPr>
          <w:rFonts w:ascii="微软雅黑" w:eastAsia="微软雅黑" w:hAnsi="微软雅黑" w:cs="微软雅黑" w:hint="eastAsia"/>
          <w:spacing w:val="12"/>
          <w:lang w:eastAsia="zh-CN"/>
        </w:rPr>
        <w:t>日恢复正常交易。日本股市照常开市，日经</w:t>
      </w:r>
      <w:r w:rsidRPr="00CB3CAD">
        <w:rPr>
          <w:rFonts w:ascii="微软雅黑" w:eastAsia="微软雅黑" w:hAnsi="微软雅黑" w:cs="微软雅黑"/>
          <w:spacing w:val="12"/>
          <w:lang w:eastAsia="zh-CN"/>
        </w:rPr>
        <w:t>225</w:t>
      </w:r>
      <w:r w:rsidRPr="00CB3CAD">
        <w:rPr>
          <w:rFonts w:ascii="微软雅黑" w:eastAsia="微软雅黑" w:hAnsi="微软雅黑" w:cs="微软雅黑" w:hint="eastAsia"/>
          <w:spacing w:val="12"/>
          <w:lang w:eastAsia="zh-CN"/>
        </w:rPr>
        <w:t>指数收涨</w:t>
      </w:r>
      <w:r w:rsidRPr="00CB3CAD">
        <w:rPr>
          <w:rFonts w:ascii="微软雅黑" w:eastAsia="微软雅黑" w:hAnsi="微软雅黑" w:cs="微软雅黑"/>
          <w:spacing w:val="12"/>
          <w:lang w:eastAsia="zh-CN"/>
        </w:rPr>
        <w:t>0.24%</w:t>
      </w:r>
      <w:r w:rsidRPr="00CB3CAD">
        <w:rPr>
          <w:rFonts w:ascii="微软雅黑" w:eastAsia="微软雅黑" w:hAnsi="微软雅黑" w:cs="微软雅黑" w:hint="eastAsia"/>
          <w:spacing w:val="12"/>
          <w:lang w:eastAsia="zh-CN"/>
        </w:rPr>
        <w:t>报</w:t>
      </w:r>
      <w:r w:rsidRPr="00CB3CAD">
        <w:rPr>
          <w:rFonts w:ascii="微软雅黑" w:eastAsia="微软雅黑" w:hAnsi="微软雅黑" w:cs="微软雅黑"/>
          <w:spacing w:val="12"/>
          <w:lang w:eastAsia="zh-CN"/>
        </w:rPr>
        <w:t>39130.43</w:t>
      </w:r>
      <w:r w:rsidRPr="00CB3CAD">
        <w:rPr>
          <w:rFonts w:ascii="微软雅黑" w:eastAsia="微软雅黑" w:hAnsi="微软雅黑" w:cs="微软雅黑" w:hint="eastAsia"/>
          <w:spacing w:val="12"/>
          <w:lang w:eastAsia="zh-CN"/>
        </w:rPr>
        <w:t>点。芝商所（</w:t>
      </w:r>
      <w:r w:rsidRPr="00CB3CAD">
        <w:rPr>
          <w:rFonts w:ascii="微软雅黑" w:eastAsia="微软雅黑" w:hAnsi="微软雅黑" w:cs="微软雅黑"/>
          <w:spacing w:val="12"/>
          <w:lang w:eastAsia="zh-CN"/>
        </w:rPr>
        <w:t>CME</w:t>
      </w:r>
      <w:r w:rsidRPr="00CB3CAD">
        <w:rPr>
          <w:rFonts w:ascii="微软雅黑" w:eastAsia="微软雅黑" w:hAnsi="微软雅黑" w:cs="微软雅黑" w:hint="eastAsia"/>
          <w:spacing w:val="12"/>
          <w:lang w:eastAsia="zh-CN"/>
        </w:rPr>
        <w:t>）旗下贵金属、美油、外汇、股指期货合约，以及洲际交易所（</w:t>
      </w:r>
      <w:r w:rsidRPr="00CB3CAD">
        <w:rPr>
          <w:rFonts w:ascii="微软雅黑" w:eastAsia="微软雅黑" w:hAnsi="微软雅黑" w:cs="微软雅黑"/>
          <w:spacing w:val="12"/>
          <w:lang w:eastAsia="zh-CN"/>
        </w:rPr>
        <w:t>ICE</w:t>
      </w:r>
      <w:r w:rsidRPr="00CB3CAD">
        <w:rPr>
          <w:rFonts w:ascii="微软雅黑" w:eastAsia="微软雅黑" w:hAnsi="微软雅黑" w:cs="微软雅黑" w:hint="eastAsia"/>
          <w:spacing w:val="12"/>
          <w:lang w:eastAsia="zh-CN"/>
        </w:rPr>
        <w:t>）旗下期货合约全天交易暂停。</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CB3CAD" w:rsidP="0048502E">
      <w:pPr>
        <w:spacing w:before="103" w:line="257" w:lineRule="auto"/>
        <w:ind w:right="584"/>
        <w:jc w:val="both"/>
        <w:rPr>
          <w:lang w:eastAsia="zh-CN"/>
        </w:rPr>
      </w:pPr>
      <w:r>
        <w:rPr>
          <w:noProof/>
          <w:snapToGrid/>
          <w:lang w:eastAsia="zh-CN"/>
        </w:rPr>
        <w:drawing>
          <wp:inline distT="0" distB="0" distL="0" distR="0" wp14:anchorId="235C2D30" wp14:editId="5FF4C3B2">
            <wp:extent cx="6391275" cy="3943350"/>
            <wp:effectExtent l="0" t="0" r="9525"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CB3CAD" w:rsidRPr="00532B55" w:rsidRDefault="00CB3CAD" w:rsidP="00CB3CAD">
      <w:pPr>
        <w:spacing w:before="102" w:line="257" w:lineRule="auto"/>
        <w:ind w:right="646" w:firstLineChars="200" w:firstLine="436"/>
        <w:jc w:val="both"/>
        <w:rPr>
          <w:rFonts w:ascii="微软雅黑" w:eastAsia="微软雅黑" w:hAnsi="微软雅黑" w:cs="微软雅黑"/>
          <w:color w:val="auto"/>
          <w:spacing w:val="4"/>
          <w:lang w:eastAsia="zh-CN"/>
        </w:rPr>
      </w:pPr>
      <w:r w:rsidRPr="00532B55">
        <w:rPr>
          <w:rFonts w:ascii="微软雅黑" w:eastAsia="微软雅黑" w:hAnsi="微软雅黑" w:cs="微软雅黑" w:hint="eastAsia"/>
          <w:color w:val="auto"/>
          <w:spacing w:val="4"/>
          <w:lang w:eastAsia="zh-CN"/>
        </w:rPr>
        <w:t>【</w:t>
      </w:r>
      <w:r w:rsidRPr="00CB3CAD">
        <w:rPr>
          <w:rFonts w:ascii="微软雅黑" w:eastAsia="微软雅黑" w:hAnsi="微软雅黑" w:cs="微软雅黑" w:hint="eastAsia"/>
          <w:color w:val="auto"/>
          <w:spacing w:val="4"/>
          <w:lang w:eastAsia="zh-CN"/>
        </w:rPr>
        <w:t>哈马斯表示，以色列的新条件推迟了达成协议的时间；以色列总理内塔尼亚胡表示，哈马斯正在违背在人质谈判中达成的协议。</w:t>
      </w:r>
      <w:r w:rsidRPr="00532B55">
        <w:rPr>
          <w:rFonts w:ascii="微软雅黑" w:eastAsia="微软雅黑" w:hAnsi="微软雅黑" w:cs="微软雅黑" w:hint="eastAsia"/>
          <w:color w:val="auto"/>
          <w:spacing w:val="4"/>
          <w:lang w:eastAsia="zh-CN"/>
        </w:rPr>
        <w:t>】</w:t>
      </w:r>
    </w:p>
    <w:p w:rsidR="00532B55" w:rsidRPr="00532B55" w:rsidRDefault="00532B55" w:rsidP="00532B55">
      <w:pPr>
        <w:spacing w:before="102" w:line="257" w:lineRule="auto"/>
        <w:ind w:right="646" w:firstLineChars="200" w:firstLine="436"/>
        <w:jc w:val="both"/>
        <w:rPr>
          <w:rFonts w:ascii="微软雅黑" w:eastAsia="微软雅黑" w:hAnsi="微软雅黑" w:cs="微软雅黑"/>
          <w:color w:val="auto"/>
          <w:spacing w:val="4"/>
          <w:lang w:eastAsia="zh-CN"/>
        </w:rPr>
      </w:pPr>
      <w:r w:rsidRPr="00532B55">
        <w:rPr>
          <w:rFonts w:ascii="微软雅黑" w:eastAsia="微软雅黑" w:hAnsi="微软雅黑" w:cs="微软雅黑" w:hint="eastAsia"/>
          <w:color w:val="auto"/>
          <w:spacing w:val="4"/>
          <w:lang w:eastAsia="zh-CN"/>
        </w:rPr>
        <w:t>【</w:t>
      </w:r>
      <w:r w:rsidR="00CB3CAD" w:rsidRPr="00CB3CAD">
        <w:rPr>
          <w:rFonts w:ascii="微软雅黑" w:eastAsia="微软雅黑" w:hAnsi="微软雅黑" w:cs="微软雅黑" w:hint="eastAsia"/>
          <w:color w:val="auto"/>
          <w:spacing w:val="4"/>
          <w:lang w:eastAsia="zh-CN"/>
        </w:rPr>
        <w:t>日本政府</w:t>
      </w:r>
      <w:r w:rsidR="00CB3CAD" w:rsidRPr="00CB3CAD">
        <w:rPr>
          <w:rFonts w:ascii="微软雅黑" w:eastAsia="微软雅黑" w:hAnsi="微软雅黑" w:cs="微软雅黑"/>
          <w:color w:val="auto"/>
          <w:spacing w:val="4"/>
          <w:lang w:eastAsia="zh-CN"/>
        </w:rPr>
        <w:t>2025</w:t>
      </w:r>
      <w:r w:rsidR="00CB3CAD" w:rsidRPr="00CB3CAD">
        <w:rPr>
          <w:rFonts w:ascii="微软雅黑" w:eastAsia="微软雅黑" w:hAnsi="微软雅黑" w:cs="微软雅黑" w:hint="eastAsia"/>
          <w:color w:val="auto"/>
          <w:spacing w:val="4"/>
          <w:lang w:eastAsia="zh-CN"/>
        </w:rPr>
        <w:t>年度一般会计预算案支出总额预计达</w:t>
      </w:r>
      <w:r w:rsidR="00CB3CAD" w:rsidRPr="00CB3CAD">
        <w:rPr>
          <w:rFonts w:ascii="微软雅黑" w:eastAsia="微软雅黑" w:hAnsi="微软雅黑" w:cs="微软雅黑"/>
          <w:color w:val="auto"/>
          <w:spacing w:val="4"/>
          <w:lang w:eastAsia="zh-CN"/>
        </w:rPr>
        <w:t>115.5</w:t>
      </w:r>
      <w:r w:rsidR="00CB3CAD" w:rsidRPr="00CB3CAD">
        <w:rPr>
          <w:rFonts w:ascii="微软雅黑" w:eastAsia="微软雅黑" w:hAnsi="微软雅黑" w:cs="微软雅黑" w:hint="eastAsia"/>
          <w:color w:val="auto"/>
          <w:spacing w:val="4"/>
          <w:lang w:eastAsia="zh-CN"/>
        </w:rPr>
        <w:t>万亿日元，创历史新高，其中税收预计为</w:t>
      </w:r>
      <w:r w:rsidR="00CB3CAD" w:rsidRPr="00CB3CAD">
        <w:rPr>
          <w:rFonts w:ascii="微软雅黑" w:eastAsia="微软雅黑" w:hAnsi="微软雅黑" w:cs="微软雅黑"/>
          <w:color w:val="auto"/>
          <w:spacing w:val="4"/>
          <w:lang w:eastAsia="zh-CN"/>
        </w:rPr>
        <w:t>78.4</w:t>
      </w:r>
      <w:r w:rsidR="00CB3CAD" w:rsidRPr="00CB3CAD">
        <w:rPr>
          <w:rFonts w:ascii="微软雅黑" w:eastAsia="微软雅黑" w:hAnsi="微软雅黑" w:cs="微软雅黑" w:hint="eastAsia"/>
          <w:color w:val="auto"/>
          <w:spacing w:val="4"/>
          <w:lang w:eastAsia="zh-CN"/>
        </w:rPr>
        <w:t>万亿日元，同样刷新纪录。防卫费、社会保障费及国债费用增加是预算增长的主要原因。</w:t>
      </w:r>
      <w:r w:rsidRPr="00532B55">
        <w:rPr>
          <w:rFonts w:ascii="微软雅黑" w:eastAsia="微软雅黑" w:hAnsi="微软雅黑" w:cs="微软雅黑" w:hint="eastAsia"/>
          <w:color w:val="auto"/>
          <w:spacing w:val="4"/>
          <w:lang w:eastAsia="zh-CN"/>
        </w:rPr>
        <w:t>】</w:t>
      </w:r>
    </w:p>
    <w:p w:rsidR="00532B55" w:rsidRPr="00532B55" w:rsidRDefault="00532B55" w:rsidP="00532B55">
      <w:pPr>
        <w:spacing w:before="102" w:line="257" w:lineRule="auto"/>
        <w:ind w:right="646" w:firstLineChars="200" w:firstLine="436"/>
        <w:jc w:val="both"/>
        <w:rPr>
          <w:rFonts w:ascii="微软雅黑" w:eastAsia="微软雅黑" w:hAnsi="微软雅黑" w:cs="微软雅黑"/>
          <w:color w:val="auto"/>
          <w:spacing w:val="4"/>
          <w:lang w:eastAsia="zh-CN"/>
        </w:rPr>
      </w:pPr>
      <w:r w:rsidRPr="00532B55">
        <w:rPr>
          <w:rFonts w:ascii="微软雅黑" w:eastAsia="微软雅黑" w:hAnsi="微软雅黑" w:cs="微软雅黑" w:hint="eastAsia"/>
          <w:color w:val="auto"/>
          <w:spacing w:val="4"/>
          <w:lang w:eastAsia="zh-CN"/>
        </w:rPr>
        <w:t>【</w:t>
      </w:r>
      <w:r w:rsidR="00CB3CAD" w:rsidRPr="00CB3CAD">
        <w:rPr>
          <w:rFonts w:ascii="微软雅黑" w:eastAsia="微软雅黑" w:hAnsi="微软雅黑" w:cs="微软雅黑" w:hint="eastAsia"/>
          <w:color w:val="auto"/>
          <w:spacing w:val="4"/>
          <w:lang w:eastAsia="zh-CN"/>
        </w:rPr>
        <w:t>日本政府将</w:t>
      </w:r>
      <w:r w:rsidR="00CB3CAD" w:rsidRPr="00CB3CAD">
        <w:rPr>
          <w:rFonts w:ascii="微软雅黑" w:eastAsia="微软雅黑" w:hAnsi="微软雅黑" w:cs="微软雅黑"/>
          <w:color w:val="auto"/>
          <w:spacing w:val="4"/>
          <w:lang w:eastAsia="zh-CN"/>
        </w:rPr>
        <w:t>2024/25</w:t>
      </w:r>
      <w:r w:rsidR="00CB3CAD" w:rsidRPr="00CB3CAD">
        <w:rPr>
          <w:rFonts w:ascii="微软雅黑" w:eastAsia="微软雅黑" w:hAnsi="微软雅黑" w:cs="微软雅黑" w:hint="eastAsia"/>
          <w:color w:val="auto"/>
          <w:spacing w:val="4"/>
          <w:lang w:eastAsia="zh-CN"/>
        </w:rPr>
        <w:t>财年</w:t>
      </w:r>
      <w:r w:rsidR="00CB3CAD" w:rsidRPr="00CB3CAD">
        <w:rPr>
          <w:rFonts w:ascii="微软雅黑" w:eastAsia="微软雅黑" w:hAnsi="微软雅黑" w:cs="微软雅黑"/>
          <w:color w:val="auto"/>
          <w:spacing w:val="4"/>
          <w:lang w:eastAsia="zh-CN"/>
        </w:rPr>
        <w:t>GDP</w:t>
      </w:r>
      <w:r w:rsidR="00CB3CAD" w:rsidRPr="00CB3CAD">
        <w:rPr>
          <w:rFonts w:ascii="微软雅黑" w:eastAsia="微软雅黑" w:hAnsi="微软雅黑" w:cs="微软雅黑" w:hint="eastAsia"/>
          <w:color w:val="auto"/>
          <w:spacing w:val="4"/>
          <w:lang w:eastAsia="zh-CN"/>
        </w:rPr>
        <w:t>增速预估下修为</w:t>
      </w:r>
      <w:r w:rsidR="00CB3CAD" w:rsidRPr="00CB3CAD">
        <w:rPr>
          <w:rFonts w:ascii="微软雅黑" w:eastAsia="微软雅黑" w:hAnsi="微软雅黑" w:cs="微软雅黑"/>
          <w:color w:val="auto"/>
          <w:spacing w:val="4"/>
          <w:lang w:eastAsia="zh-CN"/>
        </w:rPr>
        <w:t>0.4%</w:t>
      </w:r>
      <w:r w:rsidR="00CB3CAD" w:rsidRPr="00CB3CAD">
        <w:rPr>
          <w:rFonts w:ascii="微软雅黑" w:eastAsia="微软雅黑" w:hAnsi="微软雅黑" w:cs="微软雅黑" w:hint="eastAsia"/>
          <w:color w:val="auto"/>
          <w:spacing w:val="4"/>
          <w:lang w:eastAsia="zh-CN"/>
        </w:rPr>
        <w:t>，先前预估为</w:t>
      </w:r>
      <w:r w:rsidR="00CB3CAD" w:rsidRPr="00CB3CAD">
        <w:rPr>
          <w:rFonts w:ascii="微软雅黑" w:eastAsia="微软雅黑" w:hAnsi="微软雅黑" w:cs="微软雅黑"/>
          <w:color w:val="auto"/>
          <w:spacing w:val="4"/>
          <w:lang w:eastAsia="zh-CN"/>
        </w:rPr>
        <w:t>0.7%</w:t>
      </w:r>
      <w:r w:rsidR="00CB3CAD" w:rsidRPr="00CB3CAD">
        <w:rPr>
          <w:rFonts w:ascii="微软雅黑" w:eastAsia="微软雅黑" w:hAnsi="微软雅黑" w:cs="微软雅黑" w:hint="eastAsia"/>
          <w:color w:val="auto"/>
          <w:spacing w:val="4"/>
          <w:lang w:eastAsia="zh-CN"/>
        </w:rPr>
        <w:t>。</w:t>
      </w:r>
      <w:r w:rsidRPr="00532B55">
        <w:rPr>
          <w:rFonts w:ascii="微软雅黑" w:eastAsia="微软雅黑" w:hAnsi="微软雅黑" w:cs="微软雅黑" w:hint="eastAsia"/>
          <w:color w:val="auto"/>
          <w:spacing w:val="4"/>
          <w:lang w:eastAsia="zh-CN"/>
        </w:rPr>
        <w:t>】</w:t>
      </w:r>
    </w:p>
    <w:p w:rsidR="00CB3CAD" w:rsidRPr="00CB3CAD" w:rsidRDefault="00CB3CAD" w:rsidP="00CB3CAD">
      <w:pPr>
        <w:spacing w:before="102" w:line="257" w:lineRule="auto"/>
        <w:ind w:right="646" w:firstLineChars="200" w:firstLine="436"/>
        <w:jc w:val="both"/>
        <w:rPr>
          <w:rFonts w:ascii="微软雅黑" w:eastAsia="微软雅黑" w:hAnsi="微软雅黑" w:cs="微软雅黑"/>
          <w:color w:val="auto"/>
          <w:spacing w:val="4"/>
          <w:lang w:eastAsia="zh-CN"/>
        </w:rPr>
      </w:pPr>
      <w:r w:rsidRPr="00CB3CAD">
        <w:rPr>
          <w:rFonts w:ascii="微软雅黑" w:eastAsia="微软雅黑" w:hAnsi="微软雅黑" w:cs="微软雅黑" w:hint="eastAsia"/>
          <w:color w:val="auto"/>
          <w:spacing w:val="4"/>
          <w:lang w:eastAsia="zh-CN"/>
        </w:rPr>
        <w:t>【日本央行行长植田和男表示，预计日本经济明年将更接近于可持续实现央行</w:t>
      </w:r>
      <w:r w:rsidRPr="00CB3CAD">
        <w:rPr>
          <w:rFonts w:ascii="微软雅黑" w:eastAsia="微软雅黑" w:hAnsi="微软雅黑" w:cs="微软雅黑"/>
          <w:color w:val="auto"/>
          <w:spacing w:val="4"/>
          <w:lang w:eastAsia="zh-CN"/>
        </w:rPr>
        <w:t>2%</w:t>
      </w:r>
      <w:r w:rsidRPr="00CB3CAD">
        <w:rPr>
          <w:rFonts w:ascii="微软雅黑" w:eastAsia="微软雅黑" w:hAnsi="微软雅黑" w:cs="微软雅黑" w:hint="eastAsia"/>
          <w:color w:val="auto"/>
          <w:spacing w:val="4"/>
          <w:lang w:eastAsia="zh-CN"/>
        </w:rPr>
        <w:t>的通胀目标，并暗示下次加息的时机即将到来。】</w:t>
      </w:r>
    </w:p>
    <w:p w:rsidR="00DB08A6" w:rsidRDefault="00CB3CAD" w:rsidP="00CB3CAD">
      <w:pPr>
        <w:spacing w:before="102" w:line="257" w:lineRule="auto"/>
        <w:ind w:right="646" w:firstLineChars="200" w:firstLine="436"/>
        <w:jc w:val="both"/>
        <w:rPr>
          <w:rFonts w:ascii="微软雅黑" w:eastAsia="微软雅黑" w:hAnsi="微软雅黑" w:cs="微软雅黑"/>
          <w:color w:val="auto"/>
          <w:spacing w:val="4"/>
          <w:lang w:eastAsia="zh-CN"/>
        </w:rPr>
      </w:pPr>
      <w:r w:rsidRPr="00CB3CAD">
        <w:rPr>
          <w:rFonts w:ascii="微软雅黑" w:eastAsia="微软雅黑" w:hAnsi="微软雅黑" w:cs="微软雅黑" w:hint="eastAsia"/>
          <w:color w:val="auto"/>
          <w:spacing w:val="4"/>
          <w:lang w:eastAsia="zh-CN"/>
        </w:rPr>
        <w:t>【韩国央行在</w:t>
      </w:r>
      <w:r w:rsidRPr="00CB3CAD">
        <w:rPr>
          <w:rFonts w:ascii="微软雅黑" w:eastAsia="微软雅黑" w:hAnsi="微软雅黑" w:cs="微软雅黑"/>
          <w:color w:val="auto"/>
          <w:spacing w:val="4"/>
          <w:lang w:eastAsia="zh-CN"/>
        </w:rPr>
        <w:t>2025</w:t>
      </w:r>
      <w:r w:rsidRPr="00CB3CAD">
        <w:rPr>
          <w:rFonts w:ascii="微软雅黑" w:eastAsia="微软雅黑" w:hAnsi="微软雅黑" w:cs="微软雅黑" w:hint="eastAsia"/>
          <w:color w:val="auto"/>
          <w:spacing w:val="4"/>
          <w:lang w:eastAsia="zh-CN"/>
        </w:rPr>
        <w:t>年货币政策报告中表示，明年将进一步降息，以减轻经济下行风险。】</w:t>
      </w: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lastRenderedPageBreak/>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532B55" w:rsidP="00CB3CAD">
            <w:pPr>
              <w:pStyle w:val="TableText"/>
              <w:ind w:firstLine="392"/>
              <w:rPr>
                <w:lang w:eastAsia="zh-CN"/>
              </w:rPr>
            </w:pPr>
            <w:r>
              <w:t>2024/12/2</w:t>
            </w:r>
            <w:r w:rsidR="00CB3CAD">
              <w:t>6</w:t>
            </w:r>
          </w:p>
        </w:tc>
        <w:tc>
          <w:tcPr>
            <w:tcW w:w="1134" w:type="dxa"/>
            <w:tcBorders>
              <w:left w:val="nil"/>
            </w:tcBorders>
            <w:shd w:val="clear" w:color="auto" w:fill="auto"/>
          </w:tcPr>
          <w:p w:rsidR="001604D9" w:rsidRPr="00853C1D" w:rsidRDefault="00CB3CAD" w:rsidP="008C6AB2">
            <w:pPr>
              <w:pStyle w:val="TableText"/>
              <w:ind w:firstLine="392"/>
              <w:rPr>
                <w:lang w:eastAsia="zh-CN"/>
              </w:rPr>
            </w:pPr>
            <w:r>
              <w:rPr>
                <w:rFonts w:hint="eastAsia"/>
                <w:lang w:eastAsia="zh-CN"/>
              </w:rPr>
              <w:t>2</w:t>
            </w:r>
            <w:r>
              <w:rPr>
                <w:lang w:eastAsia="zh-CN"/>
              </w:rPr>
              <w:t>1:30</w:t>
            </w:r>
          </w:p>
        </w:tc>
        <w:tc>
          <w:tcPr>
            <w:tcW w:w="6524" w:type="dxa"/>
            <w:shd w:val="clear" w:color="auto" w:fill="auto"/>
          </w:tcPr>
          <w:p w:rsidR="001604D9" w:rsidRDefault="00CB3CAD" w:rsidP="00DE289B">
            <w:pPr>
              <w:pStyle w:val="TableText"/>
              <w:ind w:firstLine="392"/>
              <w:rPr>
                <w:b w:val="0"/>
                <w:lang w:eastAsia="zh-CN"/>
              </w:rPr>
            </w:pPr>
            <w:r w:rsidRPr="00CB3CAD">
              <w:rPr>
                <w:rFonts w:hint="eastAsia"/>
                <w:b w:val="0"/>
                <w:lang w:eastAsia="zh-CN"/>
              </w:rPr>
              <w:t>美国至</w:t>
            </w:r>
            <w:r w:rsidRPr="00CB3CAD">
              <w:rPr>
                <w:b w:val="0"/>
                <w:lang w:eastAsia="zh-CN"/>
              </w:rPr>
              <w:t>12</w:t>
            </w:r>
            <w:r w:rsidRPr="00CB3CAD">
              <w:rPr>
                <w:rFonts w:hint="eastAsia"/>
                <w:b w:val="0"/>
                <w:lang w:eastAsia="zh-CN"/>
              </w:rPr>
              <w:t>月</w:t>
            </w:r>
            <w:r w:rsidRPr="00CB3CAD">
              <w:rPr>
                <w:b w:val="0"/>
                <w:lang w:eastAsia="zh-CN"/>
              </w:rPr>
              <w:t>21</w:t>
            </w:r>
            <w:r w:rsidRPr="00CB3CAD">
              <w:rPr>
                <w:rFonts w:hint="eastAsia"/>
                <w:b w:val="0"/>
                <w:lang w:eastAsia="zh-CN"/>
              </w:rPr>
              <w:t>日当周初请失业金人数</w:t>
            </w:r>
          </w:p>
        </w:tc>
      </w:tr>
      <w:tr w:rsidR="001604D9" w:rsidTr="00214344">
        <w:trPr>
          <w:trHeight w:val="618"/>
        </w:trPr>
        <w:tc>
          <w:tcPr>
            <w:tcW w:w="1731" w:type="dxa"/>
            <w:tcBorders>
              <w:top w:val="nil"/>
              <w:left w:val="nil"/>
              <w:bottom w:val="nil"/>
              <w:right w:val="nil"/>
            </w:tcBorders>
            <w:shd w:val="clear" w:color="auto" w:fill="D3EAFF"/>
          </w:tcPr>
          <w:p w:rsidR="001604D9" w:rsidRDefault="00F674C2" w:rsidP="00CB3CAD">
            <w:pPr>
              <w:pStyle w:val="TableText"/>
              <w:ind w:firstLine="392"/>
              <w:rPr>
                <w:lang w:eastAsia="zh-CN"/>
              </w:rPr>
            </w:pPr>
            <w:r>
              <w:t>2024/12/</w:t>
            </w:r>
            <w:r w:rsidR="00B6108B">
              <w:t>2</w:t>
            </w:r>
            <w:r w:rsidR="00CB3CAD">
              <w:t>6</w:t>
            </w:r>
          </w:p>
        </w:tc>
        <w:tc>
          <w:tcPr>
            <w:tcW w:w="1134" w:type="dxa"/>
            <w:tcBorders>
              <w:left w:val="nil"/>
            </w:tcBorders>
            <w:shd w:val="clear" w:color="auto" w:fill="D3EAFF"/>
          </w:tcPr>
          <w:p w:rsidR="001604D9" w:rsidRPr="00853C1D" w:rsidRDefault="001604D9" w:rsidP="00B6108B">
            <w:pPr>
              <w:pStyle w:val="TableText"/>
              <w:ind w:firstLine="392"/>
              <w:rPr>
                <w:lang w:eastAsia="zh-CN"/>
              </w:rPr>
            </w:pPr>
          </w:p>
        </w:tc>
        <w:tc>
          <w:tcPr>
            <w:tcW w:w="6524" w:type="dxa"/>
            <w:shd w:val="clear" w:color="auto" w:fill="D3EAFF"/>
          </w:tcPr>
          <w:p w:rsidR="009E11E4" w:rsidRDefault="00532B55" w:rsidP="001604D9">
            <w:pPr>
              <w:pStyle w:val="TableText"/>
              <w:ind w:firstLine="392"/>
              <w:rPr>
                <w:b w:val="0"/>
                <w:lang w:eastAsia="zh-CN"/>
              </w:rPr>
            </w:pPr>
            <w:r w:rsidRPr="00532B55">
              <w:rPr>
                <w:rFonts w:hint="eastAsia"/>
                <w:b w:val="0"/>
                <w:lang w:eastAsia="zh-CN"/>
              </w:rPr>
              <w:t>全球多地金融市场因圣诞假期休市</w:t>
            </w:r>
          </w:p>
        </w:tc>
      </w:tr>
    </w:tbl>
    <w:p w:rsidR="00882A0E" w:rsidRDefault="00882A0E" w:rsidP="00942C9E">
      <w:pPr>
        <w:spacing w:before="102" w:line="257" w:lineRule="auto"/>
        <w:ind w:right="646" w:firstLineChars="200" w:firstLine="420"/>
        <w:jc w:val="both"/>
        <w:rPr>
          <w:lang w:eastAsia="zh-CN"/>
        </w:rPr>
      </w:pPr>
    </w:p>
    <w:p w:rsidR="009372C5" w:rsidRDefault="00950FB2">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882A0E" w:rsidRPr="00882A0E" w:rsidRDefault="00950FB2" w:rsidP="00B6108B">
      <w:pPr>
        <w:spacing w:before="103" w:line="256" w:lineRule="auto"/>
        <w:ind w:right="743" w:firstLineChars="200" w:firstLine="468"/>
        <w:jc w:val="both"/>
        <w:rPr>
          <w:rFonts w:ascii="微软雅黑" w:eastAsia="微软雅黑" w:hAnsi="微软雅黑" w:cs="微软雅黑"/>
          <w:spacing w:val="12"/>
          <w:lang w:eastAsia="zh-CN"/>
        </w:rPr>
      </w:pPr>
      <w:r w:rsidRPr="00950FB2">
        <w:rPr>
          <w:rFonts w:ascii="微软雅黑" w:eastAsia="微软雅黑" w:hAnsi="微软雅黑" w:cs="微软雅黑" w:hint="eastAsia"/>
          <w:spacing w:val="12"/>
          <w:lang w:eastAsia="zh-CN"/>
        </w:rPr>
        <w:t>美元指数涨</w:t>
      </w:r>
      <w:r w:rsidRPr="00950FB2">
        <w:rPr>
          <w:rFonts w:ascii="微软雅黑" w:eastAsia="微软雅黑" w:hAnsi="微软雅黑" w:cs="微软雅黑"/>
          <w:spacing w:val="12"/>
          <w:lang w:eastAsia="zh-CN"/>
        </w:rPr>
        <w:t>0.03%</w:t>
      </w:r>
      <w:r w:rsidRPr="00950FB2">
        <w:rPr>
          <w:rFonts w:ascii="微软雅黑" w:eastAsia="微软雅黑" w:hAnsi="微软雅黑" w:cs="微软雅黑" w:hint="eastAsia"/>
          <w:spacing w:val="12"/>
          <w:lang w:eastAsia="zh-CN"/>
        </w:rPr>
        <w:t>报</w:t>
      </w:r>
      <w:r w:rsidRPr="00950FB2">
        <w:rPr>
          <w:rFonts w:ascii="微软雅黑" w:eastAsia="微软雅黑" w:hAnsi="微软雅黑" w:cs="微软雅黑"/>
          <w:spacing w:val="12"/>
          <w:lang w:eastAsia="zh-CN"/>
        </w:rPr>
        <w:t>108.11</w:t>
      </w:r>
      <w:r w:rsidRPr="00950FB2">
        <w:rPr>
          <w:rFonts w:ascii="微软雅黑" w:eastAsia="微软雅黑" w:hAnsi="微软雅黑" w:cs="微软雅黑" w:hint="eastAsia"/>
          <w:spacing w:val="12"/>
          <w:lang w:eastAsia="zh-CN"/>
        </w:rPr>
        <w:t>，非美货币多数下跌，欧元兑美元跌</w:t>
      </w:r>
      <w:r w:rsidRPr="00950FB2">
        <w:rPr>
          <w:rFonts w:ascii="微软雅黑" w:eastAsia="微软雅黑" w:hAnsi="微软雅黑" w:cs="微软雅黑"/>
          <w:spacing w:val="12"/>
          <w:lang w:eastAsia="zh-CN"/>
        </w:rPr>
        <w:t>0.07%</w:t>
      </w:r>
      <w:r w:rsidRPr="00950FB2">
        <w:rPr>
          <w:rFonts w:ascii="微软雅黑" w:eastAsia="微软雅黑" w:hAnsi="微软雅黑" w:cs="微软雅黑" w:hint="eastAsia"/>
          <w:spacing w:val="12"/>
          <w:lang w:eastAsia="zh-CN"/>
        </w:rPr>
        <w:t>报</w:t>
      </w:r>
      <w:r w:rsidRPr="00950FB2">
        <w:rPr>
          <w:rFonts w:ascii="微软雅黑" w:eastAsia="微软雅黑" w:hAnsi="微软雅黑" w:cs="微软雅黑"/>
          <w:spacing w:val="12"/>
          <w:lang w:eastAsia="zh-CN"/>
        </w:rPr>
        <w:t>1.0399</w:t>
      </w:r>
      <w:r w:rsidRPr="00950FB2">
        <w:rPr>
          <w:rFonts w:ascii="微软雅黑" w:eastAsia="微软雅黑" w:hAnsi="微软雅黑" w:cs="微软雅黑" w:hint="eastAsia"/>
          <w:spacing w:val="12"/>
          <w:lang w:eastAsia="zh-CN"/>
        </w:rPr>
        <w:t>，英镑兑美元涨</w:t>
      </w:r>
      <w:r w:rsidRPr="00950FB2">
        <w:rPr>
          <w:rFonts w:ascii="微软雅黑" w:eastAsia="微软雅黑" w:hAnsi="微软雅黑" w:cs="微软雅黑"/>
          <w:spacing w:val="12"/>
          <w:lang w:eastAsia="zh-CN"/>
        </w:rPr>
        <w:t>0.04%</w:t>
      </w:r>
      <w:r w:rsidRPr="00950FB2">
        <w:rPr>
          <w:rFonts w:ascii="微软雅黑" w:eastAsia="微软雅黑" w:hAnsi="微软雅黑" w:cs="微软雅黑" w:hint="eastAsia"/>
          <w:spacing w:val="12"/>
          <w:lang w:eastAsia="zh-CN"/>
        </w:rPr>
        <w:t>报</w:t>
      </w:r>
      <w:r w:rsidRPr="00950FB2">
        <w:rPr>
          <w:rFonts w:ascii="微软雅黑" w:eastAsia="微软雅黑" w:hAnsi="微软雅黑" w:cs="微软雅黑"/>
          <w:spacing w:val="12"/>
          <w:lang w:eastAsia="zh-CN"/>
        </w:rPr>
        <w:t>1.2541</w:t>
      </w:r>
      <w:r w:rsidRPr="00950FB2">
        <w:rPr>
          <w:rFonts w:ascii="微软雅黑" w:eastAsia="微软雅黑" w:hAnsi="微软雅黑" w:cs="微软雅黑" w:hint="eastAsia"/>
          <w:spacing w:val="12"/>
          <w:lang w:eastAsia="zh-CN"/>
        </w:rPr>
        <w:t>，澳元兑美元跌</w:t>
      </w:r>
      <w:r w:rsidRPr="00950FB2">
        <w:rPr>
          <w:rFonts w:ascii="微软雅黑" w:eastAsia="微软雅黑" w:hAnsi="微软雅黑" w:cs="微软雅黑"/>
          <w:spacing w:val="12"/>
          <w:lang w:eastAsia="zh-CN"/>
        </w:rPr>
        <w:t>0.2%</w:t>
      </w:r>
      <w:r w:rsidRPr="00950FB2">
        <w:rPr>
          <w:rFonts w:ascii="微软雅黑" w:eastAsia="微软雅黑" w:hAnsi="微软雅黑" w:cs="微软雅黑" w:hint="eastAsia"/>
          <w:spacing w:val="12"/>
          <w:lang w:eastAsia="zh-CN"/>
        </w:rPr>
        <w:t>报</w:t>
      </w:r>
      <w:r w:rsidRPr="00950FB2">
        <w:rPr>
          <w:rFonts w:ascii="微软雅黑" w:eastAsia="微软雅黑" w:hAnsi="微软雅黑" w:cs="微软雅黑"/>
          <w:spacing w:val="12"/>
          <w:lang w:eastAsia="zh-CN"/>
        </w:rPr>
        <w:t>0.6237</w:t>
      </w:r>
      <w:r w:rsidRPr="00950FB2">
        <w:rPr>
          <w:rFonts w:ascii="微软雅黑" w:eastAsia="微软雅黑" w:hAnsi="微软雅黑" w:cs="微软雅黑" w:hint="eastAsia"/>
          <w:spacing w:val="12"/>
          <w:lang w:eastAsia="zh-CN"/>
        </w:rPr>
        <w:t>，美元兑日元涨</w:t>
      </w:r>
      <w:r w:rsidRPr="00950FB2">
        <w:rPr>
          <w:rFonts w:ascii="微软雅黑" w:eastAsia="微软雅黑" w:hAnsi="微软雅黑" w:cs="微软雅黑"/>
          <w:spacing w:val="12"/>
          <w:lang w:eastAsia="zh-CN"/>
        </w:rPr>
        <w:t>0.03%</w:t>
      </w:r>
      <w:r w:rsidRPr="00950FB2">
        <w:rPr>
          <w:rFonts w:ascii="微软雅黑" w:eastAsia="微软雅黑" w:hAnsi="微软雅黑" w:cs="微软雅黑" w:hint="eastAsia"/>
          <w:spacing w:val="12"/>
          <w:lang w:eastAsia="zh-CN"/>
        </w:rPr>
        <w:t>报</w:t>
      </w:r>
      <w:r w:rsidRPr="00950FB2">
        <w:rPr>
          <w:rFonts w:ascii="微软雅黑" w:eastAsia="微软雅黑" w:hAnsi="微软雅黑" w:cs="微软雅黑"/>
          <w:spacing w:val="12"/>
          <w:lang w:eastAsia="zh-CN"/>
        </w:rPr>
        <w:t>157.21</w:t>
      </w:r>
      <w:r w:rsidRPr="00950FB2">
        <w:rPr>
          <w:rFonts w:ascii="微软雅黑" w:eastAsia="微软雅黑" w:hAnsi="微软雅黑" w:cs="微软雅黑" w:hint="eastAsia"/>
          <w:spacing w:val="12"/>
          <w:lang w:eastAsia="zh-CN"/>
        </w:rPr>
        <w:t>。周二，在圣诞假期清淡的交易中，美元小幅上涨，受到美国利率差异改善的支撑。自</w:t>
      </w:r>
      <w:r w:rsidRPr="00950FB2">
        <w:rPr>
          <w:rFonts w:ascii="微软雅黑" w:eastAsia="微软雅黑" w:hAnsi="微软雅黑" w:cs="微软雅黑"/>
          <w:spacing w:val="12"/>
          <w:lang w:eastAsia="zh-CN"/>
        </w:rPr>
        <w:t>9</w:t>
      </w:r>
      <w:r w:rsidRPr="00950FB2">
        <w:rPr>
          <w:rFonts w:ascii="微软雅黑" w:eastAsia="微软雅黑" w:hAnsi="微软雅黑" w:cs="微软雅黑" w:hint="eastAsia"/>
          <w:spacing w:val="12"/>
          <w:lang w:eastAsia="zh-CN"/>
        </w:rPr>
        <w:t>月底以来，美元已累计上涨超过</w:t>
      </w:r>
      <w:r w:rsidRPr="00950FB2">
        <w:rPr>
          <w:rFonts w:ascii="微软雅黑" w:eastAsia="微软雅黑" w:hAnsi="微软雅黑" w:cs="微软雅黑"/>
          <w:spacing w:val="12"/>
          <w:lang w:eastAsia="zh-CN"/>
        </w:rPr>
        <w:t>7%</w:t>
      </w:r>
      <w:r w:rsidRPr="00950FB2">
        <w:rPr>
          <w:rFonts w:ascii="微软雅黑" w:eastAsia="微软雅黑" w:hAnsi="微软雅黑" w:cs="微软雅黑" w:hint="eastAsia"/>
          <w:spacing w:val="12"/>
          <w:lang w:eastAsia="zh-CN"/>
        </w:rPr>
        <w:t>，部分受益于市场预期美国经济将在新总统特朗普政策的推动下加速增长。同时，顽固的通胀压力降低了市场对美联储大幅降息的预期，这进一步推动了美国国债收益率上升。这种情况与其他全球经济体和央行的增长前景及利率预期形成鲜明对比，美联储的政策展望扩大了美国与非美国家之间的利率差异。欧元兑美元延续跌势。过去几周，日元表现疲软，主要原因是日本政府官员淡化了近期加息的可能性。根据日本央行上周公布的会议纪要，央行官员在</w:t>
      </w:r>
      <w:r w:rsidRPr="00950FB2">
        <w:rPr>
          <w:rFonts w:ascii="微软雅黑" w:eastAsia="微软雅黑" w:hAnsi="微软雅黑" w:cs="微软雅黑"/>
          <w:spacing w:val="12"/>
          <w:lang w:eastAsia="zh-CN"/>
        </w:rPr>
        <w:t>10</w:t>
      </w:r>
      <w:r w:rsidRPr="00950FB2">
        <w:rPr>
          <w:rFonts w:ascii="微软雅黑" w:eastAsia="微软雅黑" w:hAnsi="微软雅黑" w:cs="微软雅黑" w:hint="eastAsia"/>
          <w:spacing w:val="12"/>
          <w:lang w:eastAsia="zh-CN"/>
        </w:rPr>
        <w:t>月一致同意，如果经济按预期发展，将继续推进加息。但同时，有部分官员强调需要谨慎应对美国经济政策的不确定性。展望未来，随着年末临近，交易量可能保持清淡，经济数据的发布也较为稀少。市场预计在</w:t>
      </w:r>
      <w:r w:rsidRPr="00950FB2">
        <w:rPr>
          <w:rFonts w:ascii="微软雅黑" w:eastAsia="微软雅黑" w:hAnsi="微软雅黑" w:cs="微软雅黑"/>
          <w:spacing w:val="12"/>
          <w:lang w:eastAsia="zh-CN"/>
        </w:rPr>
        <w:t>1</w:t>
      </w:r>
      <w:r w:rsidRPr="00950FB2">
        <w:rPr>
          <w:rFonts w:ascii="微软雅黑" w:eastAsia="微软雅黑" w:hAnsi="微软雅黑" w:cs="微软雅黑" w:hint="eastAsia"/>
          <w:spacing w:val="12"/>
          <w:lang w:eastAsia="zh-CN"/>
        </w:rPr>
        <w:t>月</w:t>
      </w:r>
      <w:r w:rsidRPr="00950FB2">
        <w:rPr>
          <w:rFonts w:ascii="微软雅黑" w:eastAsia="微软雅黑" w:hAnsi="微软雅黑" w:cs="微软雅黑"/>
          <w:spacing w:val="12"/>
          <w:lang w:eastAsia="zh-CN"/>
        </w:rPr>
        <w:t>10</w:t>
      </w:r>
      <w:r w:rsidRPr="00950FB2">
        <w:rPr>
          <w:rFonts w:ascii="微软雅黑" w:eastAsia="微软雅黑" w:hAnsi="微软雅黑" w:cs="微软雅黑" w:hint="eastAsia"/>
          <w:spacing w:val="12"/>
          <w:lang w:eastAsia="zh-CN"/>
        </w:rPr>
        <w:t>日美国就业报告发布之前，利率将继续成为外汇市场的主要驱动力。此外，特朗普重返白宫带来的不确定性依然存在，其预计的关税、减税和移民限制政策可能对整体经济政策产生何种影响仍需观察。短期内，美元指数可能在高位维持震荡。</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260D21">
      <w:pPr>
        <w:spacing w:before="103" w:line="256" w:lineRule="auto"/>
        <w:ind w:right="743"/>
        <w:jc w:val="both"/>
        <w:rPr>
          <w:lang w:eastAsia="zh-CN"/>
        </w:rPr>
      </w:pPr>
      <w:r w:rsidRPr="00260D21">
        <w:rPr>
          <w:noProof/>
          <w:lang w:eastAsia="zh-CN"/>
        </w:rPr>
        <w:lastRenderedPageBreak/>
        <w:drawing>
          <wp:inline distT="0" distB="0" distL="0" distR="0">
            <wp:extent cx="6353175" cy="3633839"/>
            <wp:effectExtent l="0" t="0" r="0" b="5080"/>
            <wp:docPr id="2" name="图片 2" descr="C:\Users\Administrator\Documents\WeChat Files\wxid_vkxlzo0vqu7s22\FileStorage\Temp\173517458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517458173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0094" cy="3637796"/>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82A0E" w:rsidRDefault="00882A0E">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564C28" w:rsidRDefault="00CB3CAD">
      <w:pPr>
        <w:spacing w:before="103" w:line="256" w:lineRule="auto"/>
        <w:ind w:right="743" w:firstLine="448"/>
        <w:jc w:val="both"/>
        <w:rPr>
          <w:rFonts w:ascii="微软雅黑" w:eastAsia="微软雅黑" w:hAnsi="微软雅黑" w:cs="微软雅黑"/>
          <w:spacing w:val="12"/>
          <w:lang w:eastAsia="zh-CN"/>
        </w:rPr>
      </w:pPr>
      <w:r w:rsidRPr="00CB3CAD">
        <w:rPr>
          <w:rFonts w:ascii="微软雅黑" w:eastAsia="微软雅黑" w:hAnsi="微软雅黑" w:cs="微软雅黑"/>
          <w:spacing w:val="12"/>
          <w:lang w:eastAsia="zh-CN"/>
        </w:rPr>
        <w:t>12</w:t>
      </w:r>
      <w:r w:rsidRPr="00CB3CAD">
        <w:rPr>
          <w:rFonts w:ascii="微软雅黑" w:eastAsia="微软雅黑" w:hAnsi="微软雅黑" w:cs="微软雅黑" w:hint="eastAsia"/>
          <w:spacing w:val="12"/>
          <w:lang w:eastAsia="zh-CN"/>
        </w:rPr>
        <w:t>月</w:t>
      </w:r>
      <w:r w:rsidRPr="00CB3CAD">
        <w:rPr>
          <w:rFonts w:ascii="微软雅黑" w:eastAsia="微软雅黑" w:hAnsi="微软雅黑" w:cs="微软雅黑"/>
          <w:spacing w:val="12"/>
          <w:lang w:eastAsia="zh-CN"/>
        </w:rPr>
        <w:t>25</w:t>
      </w:r>
      <w:r w:rsidRPr="00CB3CAD">
        <w:rPr>
          <w:rFonts w:ascii="微软雅黑" w:eastAsia="微软雅黑" w:hAnsi="微软雅黑" w:cs="微软雅黑" w:hint="eastAsia"/>
          <w:spacing w:val="12"/>
          <w:lang w:eastAsia="zh-CN"/>
        </w:rPr>
        <w:t>日，美国股市因圣诞节休市。本周，美国市场迎来圣诞节假期，不少投资者因假期暂时离场，市场交投相对平淡，超大型股成为市场关注焦点，从过往行情来看，圣诞节前后有望出现上涨行情。策略上，建议轻仓逢低做多。</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图3：S&amp;P500走势图</w:t>
      </w:r>
      <w:r w:rsidRPr="00EE7376">
        <w:rPr>
          <w:rFonts w:ascii="新宋体" w:eastAsia="新宋体" w:hAnsi="新宋体"/>
          <w:b/>
          <w:lang w:eastAsia="zh-CN"/>
        </w:rPr>
        <w:br w:type="textWrapping" w:clear="all"/>
      </w:r>
      <w:r w:rsidR="00CB3CAD" w:rsidRPr="00C123DF">
        <w:rPr>
          <w:rFonts w:ascii="新宋体" w:eastAsia="新宋体" w:hAnsi="新宋体"/>
          <w:b/>
          <w:noProof/>
          <w:lang w:eastAsia="zh-CN"/>
        </w:rPr>
        <w:drawing>
          <wp:inline distT="0" distB="0" distL="0" distR="0" wp14:anchorId="1C3C5E07" wp14:editId="52EFE485">
            <wp:extent cx="6135771" cy="1762125"/>
            <wp:effectExtent l="0" t="0" r="0" b="0"/>
            <wp:docPr id="16" name="图片 16" descr="C:\Users\Administrator\Documents\WeChat Files\wxid_vkxlzo0vqu7s22\FileStorage\Temp\1735086600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508660006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2975" cy="1764194"/>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C125FF" w:rsidRDefault="00C125FF">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rsidR="005D2A13" w:rsidRDefault="00CB3CAD">
      <w:pPr>
        <w:spacing w:before="103" w:line="256" w:lineRule="auto"/>
        <w:ind w:right="743" w:firstLine="448"/>
        <w:jc w:val="both"/>
        <w:rPr>
          <w:rFonts w:ascii="微软雅黑" w:eastAsia="微软雅黑" w:hAnsi="微软雅黑" w:cs="微软雅黑"/>
          <w:spacing w:val="12"/>
          <w:lang w:eastAsia="zh-CN"/>
        </w:rPr>
      </w:pPr>
      <w:r w:rsidRPr="00CB3CAD">
        <w:rPr>
          <w:rFonts w:ascii="微软雅黑" w:eastAsia="微软雅黑" w:hAnsi="微软雅黑" w:cs="微软雅黑" w:hint="eastAsia"/>
          <w:spacing w:val="12"/>
          <w:lang w:eastAsia="zh-CN"/>
        </w:rPr>
        <w:t>截至</w:t>
      </w:r>
      <w:r w:rsidRPr="00CB3CAD">
        <w:rPr>
          <w:rFonts w:ascii="微软雅黑" w:eastAsia="微软雅黑" w:hAnsi="微软雅黑" w:cs="微软雅黑"/>
          <w:spacing w:val="12"/>
          <w:lang w:eastAsia="zh-CN"/>
        </w:rPr>
        <w:t>12</w:t>
      </w:r>
      <w:r w:rsidRPr="00CB3CAD">
        <w:rPr>
          <w:rFonts w:ascii="微软雅黑" w:eastAsia="微软雅黑" w:hAnsi="微软雅黑" w:cs="微软雅黑" w:hint="eastAsia"/>
          <w:spacing w:val="12"/>
          <w:lang w:eastAsia="zh-CN"/>
        </w:rPr>
        <w:t>月</w:t>
      </w:r>
      <w:r w:rsidRPr="00CB3CAD">
        <w:rPr>
          <w:rFonts w:ascii="微软雅黑" w:eastAsia="微软雅黑" w:hAnsi="微软雅黑" w:cs="微软雅黑"/>
          <w:spacing w:val="12"/>
          <w:lang w:eastAsia="zh-CN"/>
        </w:rPr>
        <w:t>25</w:t>
      </w:r>
      <w:r w:rsidRPr="00CB3CAD">
        <w:rPr>
          <w:rFonts w:ascii="微软雅黑" w:eastAsia="微软雅黑" w:hAnsi="微软雅黑" w:cs="微软雅黑" w:hint="eastAsia"/>
          <w:spacing w:val="12"/>
          <w:lang w:eastAsia="zh-CN"/>
        </w:rPr>
        <w:t>日，富时中国</w:t>
      </w:r>
      <w:r w:rsidRPr="00CB3CAD">
        <w:rPr>
          <w:rFonts w:ascii="微软雅黑" w:eastAsia="微软雅黑" w:hAnsi="微软雅黑" w:cs="微软雅黑"/>
          <w:spacing w:val="12"/>
          <w:lang w:eastAsia="zh-CN"/>
        </w:rPr>
        <w:t>A50</w:t>
      </w:r>
      <w:r w:rsidRPr="00CB3CAD">
        <w:rPr>
          <w:rFonts w:ascii="微软雅黑" w:eastAsia="微软雅黑" w:hAnsi="微软雅黑" w:cs="微软雅黑" w:hint="eastAsia"/>
          <w:spacing w:val="12"/>
          <w:lang w:eastAsia="zh-CN"/>
        </w:rPr>
        <w:t>指数上涨</w:t>
      </w:r>
      <w:r w:rsidRPr="00CB3CAD">
        <w:rPr>
          <w:rFonts w:ascii="微软雅黑" w:eastAsia="微软雅黑" w:hAnsi="微软雅黑" w:cs="微软雅黑"/>
          <w:spacing w:val="12"/>
          <w:lang w:eastAsia="zh-CN"/>
        </w:rPr>
        <w:t>0.34%</w:t>
      </w:r>
      <w:r w:rsidRPr="00CB3CAD">
        <w:rPr>
          <w:rFonts w:ascii="微软雅黑" w:eastAsia="微软雅黑" w:hAnsi="微软雅黑" w:cs="微软雅黑" w:hint="eastAsia"/>
          <w:spacing w:val="12"/>
          <w:lang w:eastAsia="zh-CN"/>
        </w:rPr>
        <w:t>至</w:t>
      </w:r>
      <w:r w:rsidRPr="00CB3CAD">
        <w:rPr>
          <w:rFonts w:ascii="微软雅黑" w:eastAsia="微软雅黑" w:hAnsi="微软雅黑" w:cs="微软雅黑"/>
          <w:spacing w:val="12"/>
          <w:lang w:eastAsia="zh-CN"/>
        </w:rPr>
        <w:t>13642.02</w:t>
      </w:r>
      <w:r w:rsidRPr="00CB3CAD">
        <w:rPr>
          <w:rFonts w:ascii="微软雅黑" w:eastAsia="微软雅黑" w:hAnsi="微软雅黑" w:cs="微软雅黑" w:hint="eastAsia"/>
          <w:spacing w:val="12"/>
          <w:lang w:eastAsia="zh-CN"/>
        </w:rPr>
        <w:t>点；新交所富时</w:t>
      </w:r>
      <w:r w:rsidRPr="00CB3CAD">
        <w:rPr>
          <w:rFonts w:ascii="微软雅黑" w:eastAsia="微软雅黑" w:hAnsi="微软雅黑" w:cs="微软雅黑"/>
          <w:spacing w:val="12"/>
          <w:lang w:eastAsia="zh-CN"/>
        </w:rPr>
        <w:t>A50</w:t>
      </w:r>
      <w:r w:rsidRPr="00CB3CAD">
        <w:rPr>
          <w:rFonts w:ascii="微软雅黑" w:eastAsia="微软雅黑" w:hAnsi="微软雅黑" w:cs="微软雅黑" w:hint="eastAsia"/>
          <w:spacing w:val="12"/>
          <w:lang w:eastAsia="zh-CN"/>
        </w:rPr>
        <w:t>期指主力合约上涨</w:t>
      </w:r>
      <w:r w:rsidRPr="00CB3CAD">
        <w:rPr>
          <w:rFonts w:ascii="微软雅黑" w:eastAsia="微软雅黑" w:hAnsi="微软雅黑" w:cs="微软雅黑"/>
          <w:spacing w:val="12"/>
          <w:lang w:eastAsia="zh-CN"/>
        </w:rPr>
        <w:t>0.47%</w:t>
      </w:r>
      <w:r w:rsidRPr="00CB3CAD">
        <w:rPr>
          <w:rFonts w:ascii="微软雅黑" w:eastAsia="微软雅黑" w:hAnsi="微软雅黑" w:cs="微软雅黑" w:hint="eastAsia"/>
          <w:spacing w:val="12"/>
          <w:lang w:eastAsia="zh-CN"/>
        </w:rPr>
        <w:t>至</w:t>
      </w:r>
      <w:r w:rsidRPr="00CB3CAD">
        <w:rPr>
          <w:rFonts w:ascii="微软雅黑" w:eastAsia="微软雅黑" w:hAnsi="微软雅黑" w:cs="微软雅黑"/>
          <w:spacing w:val="12"/>
          <w:lang w:eastAsia="zh-CN"/>
        </w:rPr>
        <w:t>13659</w:t>
      </w:r>
      <w:r w:rsidRPr="00CB3CAD">
        <w:rPr>
          <w:rFonts w:ascii="微软雅黑" w:eastAsia="微软雅黑" w:hAnsi="微软雅黑" w:cs="微软雅黑" w:hint="eastAsia"/>
          <w:spacing w:val="12"/>
          <w:lang w:eastAsia="zh-CN"/>
        </w:rPr>
        <w:t>点。国内方面，经济基本面，</w:t>
      </w:r>
      <w:r w:rsidRPr="00CB3CAD">
        <w:rPr>
          <w:rFonts w:ascii="微软雅黑" w:eastAsia="微软雅黑" w:hAnsi="微软雅黑" w:cs="微软雅黑"/>
          <w:spacing w:val="12"/>
          <w:lang w:eastAsia="zh-CN"/>
        </w:rPr>
        <w:t>11</w:t>
      </w:r>
      <w:r w:rsidRPr="00CB3CAD">
        <w:rPr>
          <w:rFonts w:ascii="微软雅黑" w:eastAsia="微软雅黑" w:hAnsi="微软雅黑" w:cs="微软雅黑" w:hint="eastAsia"/>
          <w:spacing w:val="12"/>
          <w:lang w:eastAsia="zh-CN"/>
        </w:rPr>
        <w:t>月房地产市场销售及景气度有所好转；工业增长较上月加快；社零受到</w:t>
      </w:r>
      <w:r w:rsidRPr="00CB3CAD">
        <w:rPr>
          <w:rFonts w:ascii="微软雅黑" w:eastAsia="微软雅黑" w:hAnsi="微软雅黑" w:cs="微软雅黑"/>
          <w:spacing w:val="12"/>
          <w:lang w:eastAsia="zh-CN"/>
        </w:rPr>
        <w:t>10</w:t>
      </w:r>
      <w:r w:rsidRPr="00CB3CAD">
        <w:rPr>
          <w:rFonts w:ascii="微软雅黑" w:eastAsia="微软雅黑" w:hAnsi="微软雅黑" w:cs="微软雅黑" w:hint="eastAsia"/>
          <w:spacing w:val="12"/>
          <w:lang w:eastAsia="zh-CN"/>
        </w:rPr>
        <w:t>月高基数和以旧换新政策效应边际递减影响大幅回落；固定</w:t>
      </w:r>
      <w:r w:rsidRPr="00CB3CAD">
        <w:rPr>
          <w:rFonts w:ascii="微软雅黑" w:eastAsia="微软雅黑" w:hAnsi="微软雅黑" w:cs="微软雅黑" w:hint="eastAsia"/>
          <w:spacing w:val="12"/>
          <w:lang w:eastAsia="zh-CN"/>
        </w:rPr>
        <w:lastRenderedPageBreak/>
        <w:t>资产投资保持平稳。结合此前的通胀和</w:t>
      </w:r>
      <w:r w:rsidRPr="00CB3CAD">
        <w:rPr>
          <w:rFonts w:ascii="微软雅黑" w:eastAsia="微软雅黑" w:hAnsi="微软雅黑" w:cs="微软雅黑"/>
          <w:spacing w:val="12"/>
          <w:lang w:eastAsia="zh-CN"/>
        </w:rPr>
        <w:t>PMI</w:t>
      </w:r>
      <w:r w:rsidRPr="00CB3CAD">
        <w:rPr>
          <w:rFonts w:ascii="微软雅黑" w:eastAsia="微软雅黑" w:hAnsi="微软雅黑" w:cs="微软雅黑" w:hint="eastAsia"/>
          <w:spacing w:val="12"/>
          <w:lang w:eastAsia="zh-CN"/>
        </w:rPr>
        <w:t>数据，</w:t>
      </w:r>
      <w:r w:rsidRPr="00CB3CAD">
        <w:rPr>
          <w:rFonts w:ascii="微软雅黑" w:eastAsia="微软雅黑" w:hAnsi="微软雅黑" w:cs="微软雅黑"/>
          <w:spacing w:val="12"/>
          <w:lang w:eastAsia="zh-CN"/>
        </w:rPr>
        <w:t>11</w:t>
      </w:r>
      <w:r w:rsidRPr="00CB3CAD">
        <w:rPr>
          <w:rFonts w:ascii="微软雅黑" w:eastAsia="微软雅黑" w:hAnsi="微软雅黑" w:cs="微软雅黑" w:hint="eastAsia"/>
          <w:spacing w:val="12"/>
          <w:lang w:eastAsia="zh-CN"/>
        </w:rPr>
        <w:t>月经济基本面相较</w:t>
      </w:r>
      <w:r w:rsidRPr="00CB3CAD">
        <w:rPr>
          <w:rFonts w:ascii="微软雅黑" w:eastAsia="微软雅黑" w:hAnsi="微软雅黑" w:cs="微软雅黑"/>
          <w:spacing w:val="12"/>
          <w:lang w:eastAsia="zh-CN"/>
        </w:rPr>
        <w:t>10</w:t>
      </w:r>
      <w:r w:rsidRPr="00CB3CAD">
        <w:rPr>
          <w:rFonts w:ascii="微软雅黑" w:eastAsia="微软雅黑" w:hAnsi="微软雅黑" w:cs="微软雅黑" w:hint="eastAsia"/>
          <w:spacing w:val="12"/>
          <w:lang w:eastAsia="zh-CN"/>
        </w:rPr>
        <w:t>月份有进一步修复，但整体力度相对较缓。整体来看，国内年底相关会议已经落地，市场短期暂时处于数据与政策空窗期，在此情况下股指预计维持震荡格局，从长期来看，政策对经济起到托底，随着明年相关政策的逐步落地，经济有望企稳回升，并推动投资者信心回暖。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CB3CAD">
      <w:pPr>
        <w:spacing w:before="103" w:line="256" w:lineRule="auto"/>
        <w:ind w:right="743"/>
        <w:jc w:val="both"/>
        <w:rPr>
          <w:rFonts w:ascii="新宋体" w:eastAsia="新宋体" w:hAnsi="新宋体"/>
        </w:rPr>
      </w:pPr>
      <w:r w:rsidRPr="00DD223A">
        <w:rPr>
          <w:rFonts w:ascii="新宋体" w:eastAsia="新宋体" w:hAnsi="新宋体"/>
          <w:noProof/>
          <w:lang w:eastAsia="zh-CN"/>
        </w:rPr>
        <w:drawing>
          <wp:inline distT="0" distB="0" distL="0" distR="0" wp14:anchorId="10267E3F" wp14:editId="2FC601D1">
            <wp:extent cx="6297777" cy="1809750"/>
            <wp:effectExtent l="0" t="0" r="8255" b="0"/>
            <wp:docPr id="20" name="图片 20" descr="C:\Users\Administrator\Documents\WeChat Files\wxid_vkxlzo0vqu7s22\FileStorage\Temp\1735172042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517204264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6787" cy="1812339"/>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574708" w:rsidRDefault="00574708">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CB3CAD" w:rsidP="00564C28">
      <w:pPr>
        <w:spacing w:before="103" w:line="256" w:lineRule="auto"/>
        <w:ind w:right="743" w:firstLineChars="200" w:firstLine="468"/>
        <w:jc w:val="both"/>
        <w:rPr>
          <w:rFonts w:ascii="微软雅黑" w:eastAsia="微软雅黑" w:hAnsi="微软雅黑" w:cs="微软雅黑"/>
          <w:spacing w:val="12"/>
          <w:lang w:eastAsia="zh-CN"/>
        </w:rPr>
      </w:pPr>
      <w:r w:rsidRPr="00CB3CAD">
        <w:rPr>
          <w:rFonts w:ascii="微软雅黑" w:eastAsia="微软雅黑" w:hAnsi="微软雅黑" w:cs="微软雅黑" w:hint="eastAsia"/>
          <w:spacing w:val="12"/>
          <w:lang w:eastAsia="zh-CN"/>
        </w:rPr>
        <w:t>观点：隔夜</w:t>
      </w:r>
      <w:r w:rsidRPr="00CB3CAD">
        <w:rPr>
          <w:rFonts w:ascii="微软雅黑" w:eastAsia="微软雅黑" w:hAnsi="微软雅黑" w:cs="微软雅黑"/>
          <w:spacing w:val="12"/>
          <w:lang w:eastAsia="zh-CN"/>
        </w:rPr>
        <w:t>COMEX</w:t>
      </w:r>
      <w:r w:rsidRPr="00CB3CAD">
        <w:rPr>
          <w:rFonts w:ascii="微软雅黑" w:eastAsia="微软雅黑" w:hAnsi="微软雅黑" w:cs="微软雅黑" w:hint="eastAsia"/>
          <w:spacing w:val="12"/>
          <w:lang w:eastAsia="zh-CN"/>
        </w:rPr>
        <w:t>铜震荡走势，报收</w:t>
      </w:r>
      <w:r w:rsidRPr="00CB3CAD">
        <w:rPr>
          <w:rFonts w:ascii="微软雅黑" w:eastAsia="微软雅黑" w:hAnsi="微软雅黑" w:cs="微软雅黑"/>
          <w:spacing w:val="12"/>
          <w:lang w:eastAsia="zh-CN"/>
        </w:rPr>
        <w:t>4.105</w:t>
      </w:r>
      <w:r w:rsidRPr="00CB3CAD">
        <w:rPr>
          <w:rFonts w:ascii="微软雅黑" w:eastAsia="微软雅黑" w:hAnsi="微软雅黑" w:cs="微软雅黑" w:hint="eastAsia"/>
          <w:spacing w:val="12"/>
          <w:lang w:eastAsia="zh-CN"/>
        </w:rPr>
        <w:t>美元</w:t>
      </w:r>
      <w:r w:rsidRPr="00CB3CAD">
        <w:rPr>
          <w:rFonts w:ascii="微软雅黑" w:eastAsia="微软雅黑" w:hAnsi="微软雅黑" w:cs="微软雅黑"/>
          <w:spacing w:val="12"/>
          <w:lang w:eastAsia="zh-CN"/>
        </w:rPr>
        <w:t>/</w:t>
      </w:r>
      <w:r w:rsidRPr="00CB3CAD">
        <w:rPr>
          <w:rFonts w:ascii="微软雅黑" w:eastAsia="微软雅黑" w:hAnsi="微软雅黑" w:cs="微软雅黑" w:hint="eastAsia"/>
          <w:spacing w:val="12"/>
          <w:lang w:eastAsia="zh-CN"/>
        </w:rPr>
        <w:t>磅，涨跌幅</w:t>
      </w:r>
      <w:r w:rsidRPr="00CB3CAD">
        <w:rPr>
          <w:rFonts w:ascii="微软雅黑" w:eastAsia="微软雅黑" w:hAnsi="微软雅黑" w:cs="微软雅黑"/>
          <w:spacing w:val="12"/>
          <w:lang w:eastAsia="zh-CN"/>
        </w:rPr>
        <w:t>-0.12%</w:t>
      </w:r>
      <w:r w:rsidRPr="00CB3CAD">
        <w:rPr>
          <w:rFonts w:ascii="微软雅黑" w:eastAsia="微软雅黑" w:hAnsi="微软雅黑" w:cs="微软雅黑" w:hint="eastAsia"/>
          <w:spacing w:val="12"/>
          <w:lang w:eastAsia="zh-CN"/>
        </w:rPr>
        <w:t>。国际方面，日本央行行长植田和男表示，预计日本经济明年将更接近于可持续实现央行</w:t>
      </w:r>
      <w:r w:rsidRPr="00CB3CAD">
        <w:rPr>
          <w:rFonts w:ascii="微软雅黑" w:eastAsia="微软雅黑" w:hAnsi="微软雅黑" w:cs="微软雅黑"/>
          <w:spacing w:val="12"/>
          <w:lang w:eastAsia="zh-CN"/>
        </w:rPr>
        <w:t>2%</w:t>
      </w:r>
      <w:r w:rsidRPr="00CB3CAD">
        <w:rPr>
          <w:rFonts w:ascii="微软雅黑" w:eastAsia="微软雅黑" w:hAnsi="微软雅黑" w:cs="微软雅黑" w:hint="eastAsia"/>
          <w:spacing w:val="12"/>
          <w:lang w:eastAsia="zh-CN"/>
        </w:rPr>
        <w:t>的通胀目标，并暗示下次加息的时机即将到来。国内方面，央行</w:t>
      </w:r>
      <w:r w:rsidRPr="00CB3CAD">
        <w:rPr>
          <w:rFonts w:ascii="微软雅黑" w:eastAsia="微软雅黑" w:hAnsi="微软雅黑" w:cs="微软雅黑"/>
          <w:spacing w:val="12"/>
          <w:lang w:eastAsia="zh-CN"/>
        </w:rPr>
        <w:t>12</w:t>
      </w:r>
      <w:r w:rsidRPr="00CB3CAD">
        <w:rPr>
          <w:rFonts w:ascii="微软雅黑" w:eastAsia="微软雅黑" w:hAnsi="微软雅黑" w:cs="微软雅黑" w:hint="eastAsia"/>
          <w:spacing w:val="12"/>
          <w:lang w:eastAsia="zh-CN"/>
        </w:rPr>
        <w:t>月</w:t>
      </w:r>
      <w:r w:rsidRPr="00CB3CAD">
        <w:rPr>
          <w:rFonts w:ascii="微软雅黑" w:eastAsia="微软雅黑" w:hAnsi="微软雅黑" w:cs="微软雅黑"/>
          <w:spacing w:val="12"/>
          <w:lang w:eastAsia="zh-CN"/>
        </w:rPr>
        <w:t>25</w:t>
      </w:r>
      <w:r w:rsidRPr="00CB3CAD">
        <w:rPr>
          <w:rFonts w:ascii="微软雅黑" w:eastAsia="微软雅黑" w:hAnsi="微软雅黑" w:cs="微软雅黑" w:hint="eastAsia"/>
          <w:spacing w:val="12"/>
          <w:lang w:eastAsia="zh-CN"/>
        </w:rPr>
        <w:t>日开展</w:t>
      </w:r>
      <w:r w:rsidRPr="00CB3CAD">
        <w:rPr>
          <w:rFonts w:ascii="微软雅黑" w:eastAsia="微软雅黑" w:hAnsi="微软雅黑" w:cs="微软雅黑"/>
          <w:spacing w:val="12"/>
          <w:lang w:eastAsia="zh-CN"/>
        </w:rPr>
        <w:t>3000</w:t>
      </w:r>
      <w:r w:rsidRPr="00CB3CAD">
        <w:rPr>
          <w:rFonts w:ascii="微软雅黑" w:eastAsia="微软雅黑" w:hAnsi="微软雅黑" w:cs="微软雅黑" w:hint="eastAsia"/>
          <w:spacing w:val="12"/>
          <w:lang w:eastAsia="zh-CN"/>
        </w:rPr>
        <w:t>亿元中期借贷便利（</w:t>
      </w:r>
      <w:r w:rsidRPr="00CB3CAD">
        <w:rPr>
          <w:rFonts w:ascii="微软雅黑" w:eastAsia="微软雅黑" w:hAnsi="微软雅黑" w:cs="微软雅黑"/>
          <w:spacing w:val="12"/>
          <w:lang w:eastAsia="zh-CN"/>
        </w:rPr>
        <w:t>MLF</w:t>
      </w:r>
      <w:r w:rsidRPr="00CB3CAD">
        <w:rPr>
          <w:rFonts w:ascii="微软雅黑" w:eastAsia="微软雅黑" w:hAnsi="微软雅黑" w:cs="微软雅黑" w:hint="eastAsia"/>
          <w:spacing w:val="12"/>
          <w:lang w:eastAsia="zh-CN"/>
        </w:rPr>
        <w:t>）操作，期限</w:t>
      </w:r>
      <w:r w:rsidRPr="00CB3CAD">
        <w:rPr>
          <w:rFonts w:ascii="微软雅黑" w:eastAsia="微软雅黑" w:hAnsi="微软雅黑" w:cs="微软雅黑"/>
          <w:spacing w:val="12"/>
          <w:lang w:eastAsia="zh-CN"/>
        </w:rPr>
        <w:t>1</w:t>
      </w:r>
      <w:r w:rsidRPr="00CB3CAD">
        <w:rPr>
          <w:rFonts w:ascii="微软雅黑" w:eastAsia="微软雅黑" w:hAnsi="微软雅黑" w:cs="微软雅黑" w:hint="eastAsia"/>
          <w:spacing w:val="12"/>
          <w:lang w:eastAsia="zh-CN"/>
        </w:rPr>
        <w:t>年，最高投标利率</w:t>
      </w:r>
      <w:r w:rsidRPr="00CB3CAD">
        <w:rPr>
          <w:rFonts w:ascii="微软雅黑" w:eastAsia="微软雅黑" w:hAnsi="微软雅黑" w:cs="微软雅黑"/>
          <w:spacing w:val="12"/>
          <w:lang w:eastAsia="zh-CN"/>
        </w:rPr>
        <w:t>2.30%</w:t>
      </w:r>
      <w:r w:rsidRPr="00CB3CAD">
        <w:rPr>
          <w:rFonts w:ascii="微软雅黑" w:eastAsia="微软雅黑" w:hAnsi="微软雅黑" w:cs="微软雅黑" w:hint="eastAsia"/>
          <w:spacing w:val="12"/>
          <w:lang w:eastAsia="zh-CN"/>
        </w:rPr>
        <w:t>，最低投标利率</w:t>
      </w:r>
      <w:r w:rsidRPr="00CB3CAD">
        <w:rPr>
          <w:rFonts w:ascii="微软雅黑" w:eastAsia="微软雅黑" w:hAnsi="微软雅黑" w:cs="微软雅黑"/>
          <w:spacing w:val="12"/>
          <w:lang w:eastAsia="zh-CN"/>
        </w:rPr>
        <w:t>1.90%</w:t>
      </w:r>
      <w:r w:rsidRPr="00CB3CAD">
        <w:rPr>
          <w:rFonts w:ascii="微软雅黑" w:eastAsia="微软雅黑" w:hAnsi="微软雅黑" w:cs="微软雅黑" w:hint="eastAsia"/>
          <w:spacing w:val="12"/>
          <w:lang w:eastAsia="zh-CN"/>
        </w:rPr>
        <w:t>，中标利率</w:t>
      </w:r>
      <w:r w:rsidRPr="00CB3CAD">
        <w:rPr>
          <w:rFonts w:ascii="微软雅黑" w:eastAsia="微软雅黑" w:hAnsi="微软雅黑" w:cs="微软雅黑"/>
          <w:spacing w:val="12"/>
          <w:lang w:eastAsia="zh-CN"/>
        </w:rPr>
        <w:t>2.00%</w:t>
      </w:r>
      <w:r w:rsidRPr="00CB3CAD">
        <w:rPr>
          <w:rFonts w:ascii="微软雅黑" w:eastAsia="微软雅黑" w:hAnsi="微软雅黑" w:cs="微软雅黑" w:hint="eastAsia"/>
          <w:spacing w:val="12"/>
          <w:lang w:eastAsia="zh-CN"/>
        </w:rPr>
        <w:t>。本月</w:t>
      </w:r>
      <w:r w:rsidRPr="00CB3CAD">
        <w:rPr>
          <w:rFonts w:ascii="微软雅黑" w:eastAsia="微软雅黑" w:hAnsi="微软雅黑" w:cs="微软雅黑"/>
          <w:spacing w:val="12"/>
          <w:lang w:eastAsia="zh-CN"/>
        </w:rPr>
        <w:t>MLF</w:t>
      </w:r>
      <w:r w:rsidRPr="00CB3CAD">
        <w:rPr>
          <w:rFonts w:ascii="微软雅黑" w:eastAsia="微软雅黑" w:hAnsi="微软雅黑" w:cs="微软雅黑" w:hint="eastAsia"/>
          <w:spacing w:val="12"/>
          <w:lang w:eastAsia="zh-CN"/>
        </w:rPr>
        <w:t>缩量续作反映市场流动性充裕，资金面保持宽松态势。库存方面，截至</w:t>
      </w:r>
      <w:r w:rsidRPr="00CB3CAD">
        <w:rPr>
          <w:rFonts w:ascii="微软雅黑" w:eastAsia="微软雅黑" w:hAnsi="微软雅黑" w:cs="微软雅黑"/>
          <w:spacing w:val="12"/>
          <w:lang w:eastAsia="zh-CN"/>
        </w:rPr>
        <w:t>12</w:t>
      </w:r>
      <w:r w:rsidRPr="00CB3CAD">
        <w:rPr>
          <w:rFonts w:ascii="微软雅黑" w:eastAsia="微软雅黑" w:hAnsi="微软雅黑" w:cs="微软雅黑" w:hint="eastAsia"/>
          <w:spacing w:val="12"/>
          <w:lang w:eastAsia="zh-CN"/>
        </w:rPr>
        <w:t>月</w:t>
      </w:r>
      <w:r w:rsidRPr="00CB3CAD">
        <w:rPr>
          <w:rFonts w:ascii="微软雅黑" w:eastAsia="微软雅黑" w:hAnsi="微软雅黑" w:cs="微软雅黑"/>
          <w:spacing w:val="12"/>
          <w:lang w:eastAsia="zh-CN"/>
        </w:rPr>
        <w:t>25</w:t>
      </w:r>
      <w:r w:rsidRPr="00CB3CAD">
        <w:rPr>
          <w:rFonts w:ascii="微软雅黑" w:eastAsia="微软雅黑" w:hAnsi="微软雅黑" w:cs="微软雅黑" w:hint="eastAsia"/>
          <w:spacing w:val="12"/>
          <w:lang w:eastAsia="zh-CN"/>
        </w:rPr>
        <w:t>日，</w:t>
      </w:r>
      <w:r w:rsidRPr="00CB3CAD">
        <w:rPr>
          <w:rFonts w:ascii="微软雅黑" w:eastAsia="微软雅黑" w:hAnsi="微软雅黑" w:cs="微软雅黑"/>
          <w:spacing w:val="12"/>
          <w:lang w:eastAsia="zh-CN"/>
        </w:rPr>
        <w:t>LME</w:t>
      </w:r>
      <w:r w:rsidRPr="00CB3CAD">
        <w:rPr>
          <w:rFonts w:ascii="微软雅黑" w:eastAsia="微软雅黑" w:hAnsi="微软雅黑" w:cs="微软雅黑" w:hint="eastAsia"/>
          <w:spacing w:val="12"/>
          <w:lang w:eastAsia="zh-CN"/>
        </w:rPr>
        <w:t>铜库存为</w:t>
      </w:r>
      <w:r w:rsidRPr="00CB3CAD">
        <w:rPr>
          <w:rFonts w:ascii="微软雅黑" w:eastAsia="微软雅黑" w:hAnsi="微软雅黑" w:cs="微软雅黑"/>
          <w:spacing w:val="12"/>
          <w:lang w:eastAsia="zh-CN"/>
        </w:rPr>
        <w:t>272725</w:t>
      </w:r>
      <w:r w:rsidRPr="00CB3CAD">
        <w:rPr>
          <w:rFonts w:ascii="微软雅黑" w:eastAsia="微软雅黑" w:hAnsi="微软雅黑" w:cs="微软雅黑" w:hint="eastAsia"/>
          <w:spacing w:val="12"/>
          <w:lang w:eastAsia="zh-CN"/>
        </w:rPr>
        <w:t>吨，环比</w:t>
      </w:r>
      <w:r w:rsidRPr="00CB3CAD">
        <w:rPr>
          <w:rFonts w:ascii="微软雅黑" w:eastAsia="微软雅黑" w:hAnsi="微软雅黑" w:cs="微软雅黑"/>
          <w:spacing w:val="12"/>
          <w:lang w:eastAsia="zh-CN"/>
        </w:rPr>
        <w:t>+300</w:t>
      </w:r>
      <w:r w:rsidRPr="00CB3CAD">
        <w:rPr>
          <w:rFonts w:ascii="微软雅黑" w:eastAsia="微软雅黑" w:hAnsi="微软雅黑" w:cs="微软雅黑" w:hint="eastAsia"/>
          <w:spacing w:val="12"/>
          <w:lang w:eastAsia="zh-CN"/>
        </w:rPr>
        <w:t>吨；</w:t>
      </w:r>
      <w:r w:rsidRPr="00CB3CAD">
        <w:rPr>
          <w:rFonts w:ascii="微软雅黑" w:eastAsia="微软雅黑" w:hAnsi="微软雅黑" w:cs="微软雅黑"/>
          <w:spacing w:val="12"/>
          <w:lang w:eastAsia="zh-CN"/>
        </w:rPr>
        <w:t>COMEX</w:t>
      </w:r>
      <w:r w:rsidRPr="00CB3CAD">
        <w:rPr>
          <w:rFonts w:ascii="微软雅黑" w:eastAsia="微软雅黑" w:hAnsi="微软雅黑" w:cs="微软雅黑" w:hint="eastAsia"/>
          <w:spacing w:val="12"/>
          <w:lang w:eastAsia="zh-CN"/>
        </w:rPr>
        <w:t>铜库存</w:t>
      </w:r>
      <w:r w:rsidRPr="00CB3CAD">
        <w:rPr>
          <w:rFonts w:ascii="微软雅黑" w:eastAsia="微软雅黑" w:hAnsi="微软雅黑" w:cs="微软雅黑"/>
          <w:spacing w:val="12"/>
          <w:lang w:eastAsia="zh-CN"/>
        </w:rPr>
        <w:t>95217</w:t>
      </w:r>
      <w:r w:rsidRPr="00CB3CAD">
        <w:rPr>
          <w:rFonts w:ascii="微软雅黑" w:eastAsia="微软雅黑" w:hAnsi="微软雅黑" w:cs="微软雅黑" w:hint="eastAsia"/>
          <w:spacing w:val="12"/>
          <w:lang w:eastAsia="zh-CN"/>
        </w:rPr>
        <w:t>短吨，环比</w:t>
      </w:r>
      <w:r w:rsidRPr="00CB3CAD">
        <w:rPr>
          <w:rFonts w:ascii="微软雅黑" w:eastAsia="微软雅黑" w:hAnsi="微软雅黑" w:cs="微软雅黑"/>
          <w:spacing w:val="12"/>
          <w:lang w:eastAsia="zh-CN"/>
        </w:rPr>
        <w:t>+463</w:t>
      </w:r>
      <w:r w:rsidRPr="00CB3CAD">
        <w:rPr>
          <w:rFonts w:ascii="微软雅黑" w:eastAsia="微软雅黑" w:hAnsi="微软雅黑" w:cs="微软雅黑" w:hint="eastAsia"/>
          <w:spacing w:val="12"/>
          <w:lang w:eastAsia="zh-CN"/>
        </w:rPr>
        <w:t>短吨；</w:t>
      </w:r>
      <w:r w:rsidRPr="00CB3CAD">
        <w:rPr>
          <w:rFonts w:ascii="微软雅黑" w:eastAsia="微软雅黑" w:hAnsi="微软雅黑" w:cs="微软雅黑"/>
          <w:spacing w:val="12"/>
          <w:lang w:eastAsia="zh-CN"/>
        </w:rPr>
        <w:t>SHFE</w:t>
      </w:r>
      <w:r w:rsidRPr="00CB3CAD">
        <w:rPr>
          <w:rFonts w:ascii="微软雅黑" w:eastAsia="微软雅黑" w:hAnsi="微软雅黑" w:cs="微软雅黑" w:hint="eastAsia"/>
          <w:spacing w:val="12"/>
          <w:lang w:eastAsia="zh-CN"/>
        </w:rPr>
        <w:t>每日仓单</w:t>
      </w:r>
      <w:r w:rsidRPr="00CB3CAD">
        <w:rPr>
          <w:rFonts w:ascii="微软雅黑" w:eastAsia="微软雅黑" w:hAnsi="微软雅黑" w:cs="微软雅黑"/>
          <w:spacing w:val="12"/>
          <w:lang w:eastAsia="zh-CN"/>
        </w:rPr>
        <w:t>14659</w:t>
      </w:r>
      <w:r w:rsidRPr="00CB3CAD">
        <w:rPr>
          <w:rFonts w:ascii="微软雅黑" w:eastAsia="微软雅黑" w:hAnsi="微软雅黑" w:cs="微软雅黑" w:hint="eastAsia"/>
          <w:spacing w:val="12"/>
          <w:lang w:eastAsia="zh-CN"/>
        </w:rPr>
        <w:t>吨，环比</w:t>
      </w:r>
      <w:r w:rsidRPr="00CB3CAD">
        <w:rPr>
          <w:rFonts w:ascii="微软雅黑" w:eastAsia="微软雅黑" w:hAnsi="微软雅黑" w:cs="微软雅黑"/>
          <w:spacing w:val="12"/>
          <w:lang w:eastAsia="zh-CN"/>
        </w:rPr>
        <w:t>-856</w:t>
      </w:r>
      <w:r w:rsidRPr="00CB3CAD">
        <w:rPr>
          <w:rFonts w:ascii="微软雅黑" w:eastAsia="微软雅黑" w:hAnsi="微软雅黑" w:cs="微软雅黑" w:hint="eastAsia"/>
          <w:spacing w:val="12"/>
          <w:lang w:eastAsia="zh-CN"/>
        </w:rPr>
        <w:t>吨。美元美债方面，圣诞节美国众交</w:t>
      </w:r>
      <w:r>
        <w:rPr>
          <w:rFonts w:ascii="微软雅黑" w:eastAsia="微软雅黑" w:hAnsi="微软雅黑" w:cs="微软雅黑" w:hint="eastAsia"/>
          <w:spacing w:val="12"/>
          <w:lang w:eastAsia="zh-CN"/>
        </w:rPr>
        <w:t>易所休市一日。操作建议，纽铜主力合约轻仓震荡偏弱交易，仅供参考</w:t>
      </w:r>
      <w:r w:rsidR="00532B55" w:rsidRPr="00532B55">
        <w:rPr>
          <w:rFonts w:ascii="微软雅黑" w:eastAsia="微软雅黑" w:hAnsi="微软雅黑" w:cs="微软雅黑" w:hint="eastAsia"/>
          <w:spacing w:val="12"/>
          <w:lang w:eastAsia="zh-CN"/>
        </w:rPr>
        <w:t>。</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CB3CAD">
      <w:pPr>
        <w:spacing w:before="103" w:line="256" w:lineRule="auto"/>
        <w:ind w:right="743"/>
        <w:jc w:val="both"/>
      </w:pPr>
      <w:r>
        <w:rPr>
          <w:noProof/>
          <w:lang w:eastAsia="zh-CN"/>
        </w:rPr>
        <w:drawing>
          <wp:inline distT="0" distB="0" distL="0" distR="0" wp14:anchorId="714C692B" wp14:editId="1B6B7841">
            <wp:extent cx="6123486" cy="2971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6979" cy="2978349"/>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C125FF" w:rsidRPr="00C125FF" w:rsidRDefault="00D26BBF" w:rsidP="00574708">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12</w:t>
      </w:r>
      <w:r>
        <w:rPr>
          <w:rFonts w:ascii="微软雅黑" w:eastAsia="微软雅黑" w:hAnsi="微软雅黑" w:cs="微软雅黑" w:hint="eastAsia"/>
          <w:spacing w:val="12"/>
          <w:lang w:eastAsia="zh-CN"/>
        </w:rPr>
        <w:t>月2</w:t>
      </w:r>
      <w:r w:rsidR="00A87E54">
        <w:rPr>
          <w:rFonts w:ascii="微软雅黑" w:eastAsia="微软雅黑" w:hAnsi="微软雅黑" w:cs="微软雅黑"/>
          <w:spacing w:val="12"/>
          <w:lang w:eastAsia="zh-CN"/>
        </w:rPr>
        <w:t>5</w:t>
      </w:r>
      <w:r>
        <w:rPr>
          <w:rFonts w:ascii="微软雅黑" w:eastAsia="微软雅黑" w:hAnsi="微软雅黑" w:cs="微软雅黑" w:hint="eastAsia"/>
          <w:spacing w:val="12"/>
          <w:lang w:eastAsia="zh-CN"/>
        </w:rPr>
        <w:t>日，</w:t>
      </w:r>
      <w:r w:rsidR="00A87E54">
        <w:rPr>
          <w:rFonts w:ascii="微软雅黑" w:eastAsia="微软雅黑" w:hAnsi="微软雅黑" w:cs="微软雅黑" w:hint="eastAsia"/>
          <w:spacing w:val="12"/>
          <w:lang w:eastAsia="zh-CN"/>
        </w:rPr>
        <w:t>纽约商品交易所（</w:t>
      </w:r>
      <w:r w:rsidR="00CC212E">
        <w:rPr>
          <w:rFonts w:ascii="微软雅黑" w:eastAsia="微软雅黑" w:hAnsi="微软雅黑" w:cs="微软雅黑" w:hint="eastAsia"/>
          <w:spacing w:val="12"/>
          <w:lang w:eastAsia="zh-CN"/>
        </w:rPr>
        <w:t>COMEX</w:t>
      </w:r>
      <w:r w:rsidR="00A87E54">
        <w:rPr>
          <w:rFonts w:ascii="微软雅黑" w:eastAsia="微软雅黑" w:hAnsi="微软雅黑" w:cs="微软雅黑" w:hint="eastAsia"/>
          <w:spacing w:val="12"/>
          <w:lang w:eastAsia="zh-CN"/>
        </w:rPr>
        <w:t>）因圣诞节假期休市</w:t>
      </w:r>
      <w:r w:rsidR="00CC212E" w:rsidRPr="00CC212E">
        <w:rPr>
          <w:rFonts w:ascii="微软雅黑" w:eastAsia="微软雅黑" w:hAnsi="微软雅黑" w:cs="微软雅黑" w:hint="eastAsia"/>
          <w:spacing w:val="12"/>
          <w:lang w:eastAsia="zh-CN"/>
        </w:rPr>
        <w:t>。</w:t>
      </w:r>
      <w:r w:rsidR="00260D21" w:rsidRPr="00260D21">
        <w:rPr>
          <w:rFonts w:ascii="微软雅黑" w:eastAsia="微软雅黑" w:hAnsi="微软雅黑" w:cs="微软雅黑" w:hint="eastAsia"/>
          <w:spacing w:val="12"/>
          <w:lang w:eastAsia="zh-CN"/>
        </w:rPr>
        <w:t>近期地缘冲突持续，昨日俄罗斯袭击乌克兰能源网络，冲突风险或小幅抬升。日本央行行长植田和男表示，预计日本经济明年将更接近于可持续实现央行</w:t>
      </w:r>
      <w:r w:rsidR="00260D21" w:rsidRPr="00260D21">
        <w:rPr>
          <w:rFonts w:ascii="微软雅黑" w:eastAsia="微软雅黑" w:hAnsi="微软雅黑" w:cs="微软雅黑"/>
          <w:spacing w:val="12"/>
          <w:lang w:eastAsia="zh-CN"/>
        </w:rPr>
        <w:t>2%</w:t>
      </w:r>
      <w:r w:rsidR="00260D21" w:rsidRPr="00260D21">
        <w:rPr>
          <w:rFonts w:ascii="微软雅黑" w:eastAsia="微软雅黑" w:hAnsi="微软雅黑" w:cs="微软雅黑" w:hint="eastAsia"/>
          <w:spacing w:val="12"/>
          <w:lang w:eastAsia="zh-CN"/>
        </w:rPr>
        <w:t>的通胀目标，并暗示下次加息的时机即将到来。但他也警告说，有必要仔细研究围绕海外经济的“高度不确定性”的影响，特别是即将上任的美国当选总统特朗普政府的经济政策。此外，植田还指出，明年日本企业和工会之间的薪资谈判前景也很关键，整体发言基调偏鹰或有利后继日元稳步回升。往后看，短期内贵金属价格受避险需求影响或有所抬升，整体价格或得到一定支撑。操作上建议，日内观望为主，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260D21">
      <w:pPr>
        <w:spacing w:before="103" w:line="256" w:lineRule="auto"/>
        <w:ind w:right="743"/>
        <w:jc w:val="both"/>
        <w:rPr>
          <w:rFonts w:ascii="微软雅黑" w:eastAsia="微软雅黑" w:hAnsi="微软雅黑" w:cs="微软雅黑"/>
          <w:spacing w:val="12"/>
          <w:sz w:val="24"/>
          <w:szCs w:val="24"/>
          <w:lang w:eastAsia="zh-CN"/>
        </w:rPr>
      </w:pPr>
      <w:r w:rsidRPr="00260D21">
        <w:rPr>
          <w:rFonts w:ascii="微软雅黑" w:eastAsia="微软雅黑" w:hAnsi="微软雅黑" w:cs="微软雅黑"/>
          <w:noProof/>
          <w:spacing w:val="12"/>
          <w:sz w:val="24"/>
          <w:szCs w:val="24"/>
          <w:lang w:eastAsia="zh-CN"/>
        </w:rPr>
        <w:lastRenderedPageBreak/>
        <w:drawing>
          <wp:inline distT="0" distB="0" distL="0" distR="0">
            <wp:extent cx="6475688" cy="3695700"/>
            <wp:effectExtent l="0" t="0" r="1905" b="0"/>
            <wp:docPr id="11" name="图片 11" descr="C:\Users\Administrator\Documents\WeChat Files\wxid_vkxlzo0vqu7s22\FileStorage\Temp\1735174652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3517465247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2242" cy="3699440"/>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D26BBF" w:rsidRDefault="00260D21">
      <w:pPr>
        <w:spacing w:before="103" w:line="256" w:lineRule="auto"/>
        <w:ind w:right="743" w:firstLineChars="200" w:firstLine="448"/>
        <w:jc w:val="both"/>
        <w:rPr>
          <w:rFonts w:ascii="微软雅黑" w:eastAsia="微软雅黑" w:hAnsi="微软雅黑" w:cs="微软雅黑"/>
          <w:spacing w:val="7"/>
          <w:lang w:eastAsia="zh-CN"/>
        </w:rPr>
      </w:pPr>
      <w:r w:rsidRPr="00260D21">
        <w:rPr>
          <w:rFonts w:ascii="微软雅黑" w:eastAsia="微软雅黑" w:hAnsi="微软雅黑" w:cs="微软雅黑" w:hint="eastAsia"/>
          <w:spacing w:val="7"/>
          <w:lang w:eastAsia="zh-CN"/>
        </w:rPr>
        <w:t>美国</w:t>
      </w:r>
      <w:r w:rsidRPr="00260D21">
        <w:rPr>
          <w:rFonts w:ascii="微软雅黑" w:eastAsia="微软雅黑" w:hAnsi="微软雅黑" w:cs="微软雅黑"/>
          <w:spacing w:val="7"/>
          <w:lang w:eastAsia="zh-CN"/>
        </w:rPr>
        <w:t>11</w:t>
      </w:r>
      <w:r w:rsidRPr="00260D21">
        <w:rPr>
          <w:rFonts w:ascii="微软雅黑" w:eastAsia="微软雅黑" w:hAnsi="微软雅黑" w:cs="微软雅黑" w:hint="eastAsia"/>
          <w:spacing w:val="7"/>
          <w:lang w:eastAsia="zh-CN"/>
        </w:rPr>
        <w:t>月</w:t>
      </w:r>
      <w:r w:rsidRPr="00260D21">
        <w:rPr>
          <w:rFonts w:ascii="微软雅黑" w:eastAsia="微软雅黑" w:hAnsi="微软雅黑" w:cs="微软雅黑"/>
          <w:spacing w:val="7"/>
          <w:lang w:eastAsia="zh-CN"/>
        </w:rPr>
        <w:t>PCE</w:t>
      </w:r>
      <w:r w:rsidRPr="00260D21">
        <w:rPr>
          <w:rFonts w:ascii="微软雅黑" w:eastAsia="微软雅黑" w:hAnsi="微软雅黑" w:cs="微软雅黑" w:hint="eastAsia"/>
          <w:spacing w:val="7"/>
          <w:lang w:eastAsia="zh-CN"/>
        </w:rPr>
        <w:t>物价指数略低于预期，美联储预计明年采取谨慎降息态度，美元指数呈现冲高回落。欧佩克联盟将自愿减产措施延长至</w:t>
      </w:r>
      <w:r w:rsidRPr="00260D21">
        <w:rPr>
          <w:rFonts w:ascii="微软雅黑" w:eastAsia="微软雅黑" w:hAnsi="微软雅黑" w:cs="微软雅黑"/>
          <w:spacing w:val="7"/>
          <w:lang w:eastAsia="zh-CN"/>
        </w:rPr>
        <w:t>2025</w:t>
      </w:r>
      <w:r w:rsidRPr="00260D21">
        <w:rPr>
          <w:rFonts w:ascii="微软雅黑" w:eastAsia="微软雅黑" w:hAnsi="微软雅黑" w:cs="微软雅黑" w:hint="eastAsia"/>
          <w:spacing w:val="7"/>
          <w:lang w:eastAsia="zh-CN"/>
        </w:rPr>
        <w:t>年</w:t>
      </w:r>
      <w:r w:rsidRPr="00260D21">
        <w:rPr>
          <w:rFonts w:ascii="微软雅黑" w:eastAsia="微软雅黑" w:hAnsi="微软雅黑" w:cs="微软雅黑"/>
          <w:spacing w:val="7"/>
          <w:lang w:eastAsia="zh-CN"/>
        </w:rPr>
        <w:t>4</w:t>
      </w:r>
      <w:r w:rsidRPr="00260D21">
        <w:rPr>
          <w:rFonts w:ascii="微软雅黑" w:eastAsia="微软雅黑" w:hAnsi="微软雅黑" w:cs="微软雅黑" w:hint="eastAsia"/>
          <w:spacing w:val="7"/>
          <w:lang w:eastAsia="zh-CN"/>
        </w:rPr>
        <w:t>月；叙利亚局势较为动荡，欧美将对俄罗斯石油出口加强制裁，地缘局势有所反复；特朗普施压欧洲采购能源，美国石油钻井数据</w:t>
      </w:r>
      <w:r>
        <w:rPr>
          <w:rFonts w:ascii="微软雅黑" w:eastAsia="微软雅黑" w:hAnsi="微软雅黑" w:cs="微软雅黑" w:hint="eastAsia"/>
          <w:spacing w:val="7"/>
          <w:lang w:eastAsia="zh-CN"/>
        </w:rPr>
        <w:t>低迷，全球需求放缓忧虑加剧市场震荡，短线原油期价呈现宽幅震荡。操作上，建议短线交易为主</w:t>
      </w:r>
      <w:r w:rsidR="00F17954" w:rsidRPr="00F17954">
        <w:rPr>
          <w:rFonts w:ascii="微软雅黑" w:eastAsia="微软雅黑" w:hAnsi="微软雅黑" w:cs="微软雅黑" w:hint="eastAsia"/>
          <w:spacing w:val="7"/>
          <w:lang w:eastAsia="zh-CN"/>
        </w:rPr>
        <w:t>。</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260D21">
      <w:pPr>
        <w:spacing w:before="103" w:line="256" w:lineRule="auto"/>
        <w:ind w:right="743"/>
        <w:jc w:val="both"/>
        <w:rPr>
          <w:lang w:eastAsia="zh-CN"/>
        </w:rPr>
      </w:pPr>
      <w:r w:rsidRPr="00260D21">
        <w:rPr>
          <w:noProof/>
          <w:lang w:eastAsia="zh-CN"/>
        </w:rPr>
        <w:lastRenderedPageBreak/>
        <w:drawing>
          <wp:inline distT="0" distB="0" distL="0" distR="0">
            <wp:extent cx="6343650" cy="3618051"/>
            <wp:effectExtent l="0" t="0" r="0" b="1905"/>
            <wp:docPr id="13" name="图片 13" descr="C:\Users\Administrator\Documents\WeChat Files\wxid_vkxlzo0vqu7s22\FileStorage\Temp\1735174713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vkxlzo0vqu7s22\FileStorage\Temp\173517471317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3608" cy="3623731"/>
                    </a:xfrm>
                    <a:prstGeom prst="rect">
                      <a:avLst/>
                    </a:prstGeom>
                    <a:noFill/>
                    <a:ln>
                      <a:noFill/>
                    </a:ln>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383E15" w:rsidRDefault="00383E15" w:rsidP="00383E15">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635708" w:rsidRPr="00635708" w:rsidRDefault="00F26D8A" w:rsidP="00635708">
      <w:pPr>
        <w:spacing w:before="103" w:line="256" w:lineRule="auto"/>
        <w:ind w:right="743" w:firstLine="448"/>
        <w:jc w:val="both"/>
        <w:rPr>
          <w:rFonts w:ascii="微软雅黑" w:eastAsia="微软雅黑" w:hAnsi="微软雅黑" w:cs="微软雅黑"/>
          <w:spacing w:val="12"/>
          <w:lang w:eastAsia="zh-CN"/>
        </w:rPr>
      </w:pPr>
      <w:r w:rsidRPr="00F26D8A">
        <w:rPr>
          <w:rFonts w:ascii="微软雅黑" w:eastAsia="微软雅黑" w:hAnsi="微软雅黑" w:cs="微软雅黑" w:hint="eastAsia"/>
          <w:spacing w:val="12"/>
          <w:lang w:eastAsia="zh-CN"/>
        </w:rPr>
        <w:t>因周三适逢圣诞节假期，洲际期货交易所（</w:t>
      </w:r>
      <w:r w:rsidRPr="00F26D8A">
        <w:rPr>
          <w:rFonts w:ascii="微软雅黑" w:eastAsia="微软雅黑" w:hAnsi="微软雅黑" w:cs="微软雅黑"/>
          <w:spacing w:val="12"/>
          <w:lang w:eastAsia="zh-CN"/>
        </w:rPr>
        <w:t>ICE</w:t>
      </w:r>
      <w:r w:rsidRPr="00F26D8A">
        <w:rPr>
          <w:rFonts w:ascii="微软雅黑" w:eastAsia="微软雅黑" w:hAnsi="微软雅黑" w:cs="微软雅黑" w:hint="eastAsia"/>
          <w:spacing w:val="12"/>
          <w:lang w:eastAsia="zh-CN"/>
        </w:rPr>
        <w:t>）市场休市</w:t>
      </w:r>
      <w:r>
        <w:rPr>
          <w:rFonts w:ascii="微软雅黑" w:eastAsia="微软雅黑" w:hAnsi="微软雅黑" w:cs="微软雅黑" w:hint="eastAsia"/>
          <w:spacing w:val="12"/>
          <w:lang w:eastAsia="zh-CN"/>
        </w:rPr>
        <w:t>。</w:t>
      </w:r>
    </w:p>
    <w:p w:rsidR="00635708" w:rsidRPr="00635708" w:rsidRDefault="00635708" w:rsidP="00635708">
      <w:pPr>
        <w:spacing w:before="103" w:line="256" w:lineRule="auto"/>
        <w:ind w:right="743" w:firstLine="448"/>
        <w:jc w:val="both"/>
        <w:rPr>
          <w:rFonts w:ascii="微软雅黑" w:eastAsia="微软雅黑" w:hAnsi="微软雅黑" w:cs="微软雅黑"/>
          <w:spacing w:val="12"/>
          <w:lang w:eastAsia="zh-CN"/>
        </w:rPr>
      </w:pPr>
      <w:r w:rsidRPr="00635708">
        <w:rPr>
          <w:rFonts w:ascii="微软雅黑" w:eastAsia="微软雅黑" w:hAnsi="微软雅黑" w:cs="微软雅黑" w:hint="eastAsia"/>
          <w:spacing w:val="12"/>
          <w:lang w:eastAsia="zh-CN"/>
        </w:rPr>
        <w:t>巴西港口等待运输食糖船只减少，市场对原糖需求度减弱。巴西航运机构</w:t>
      </w:r>
      <w:r w:rsidRPr="00635708">
        <w:rPr>
          <w:rFonts w:ascii="微软雅黑" w:eastAsia="微软雅黑" w:hAnsi="微软雅黑" w:cs="微软雅黑"/>
          <w:spacing w:val="12"/>
          <w:lang w:eastAsia="zh-CN"/>
        </w:rPr>
        <w:t>Williams</w:t>
      </w:r>
      <w:r w:rsidRPr="00635708">
        <w:rPr>
          <w:rFonts w:ascii="微软雅黑" w:eastAsia="微软雅黑" w:hAnsi="微软雅黑" w:cs="微软雅黑" w:hint="eastAsia"/>
          <w:spacing w:val="12"/>
          <w:lang w:eastAsia="zh-CN"/>
        </w:rPr>
        <w:t>发布的数据显示，截至</w:t>
      </w:r>
      <w:r w:rsidRPr="00635708">
        <w:rPr>
          <w:rFonts w:ascii="微软雅黑" w:eastAsia="微软雅黑" w:hAnsi="微软雅黑" w:cs="微软雅黑"/>
          <w:spacing w:val="12"/>
          <w:lang w:eastAsia="zh-CN"/>
        </w:rPr>
        <w:t>12</w:t>
      </w:r>
      <w:r w:rsidRPr="00635708">
        <w:rPr>
          <w:rFonts w:ascii="微软雅黑" w:eastAsia="微软雅黑" w:hAnsi="微软雅黑" w:cs="微软雅黑" w:hint="eastAsia"/>
          <w:spacing w:val="12"/>
          <w:lang w:eastAsia="zh-CN"/>
        </w:rPr>
        <w:t>月</w:t>
      </w:r>
      <w:r w:rsidRPr="00635708">
        <w:rPr>
          <w:rFonts w:ascii="微软雅黑" w:eastAsia="微软雅黑" w:hAnsi="微软雅黑" w:cs="微软雅黑"/>
          <w:spacing w:val="12"/>
          <w:lang w:eastAsia="zh-CN"/>
        </w:rPr>
        <w:t>18</w:t>
      </w:r>
      <w:r w:rsidRPr="00635708">
        <w:rPr>
          <w:rFonts w:ascii="微软雅黑" w:eastAsia="微软雅黑" w:hAnsi="微软雅黑" w:cs="微软雅黑" w:hint="eastAsia"/>
          <w:spacing w:val="12"/>
          <w:lang w:eastAsia="zh-CN"/>
        </w:rPr>
        <w:t>日当周巴西港口等待装运食糖的船只数量为</w:t>
      </w:r>
      <w:r w:rsidRPr="00635708">
        <w:rPr>
          <w:rFonts w:ascii="微软雅黑" w:eastAsia="微软雅黑" w:hAnsi="微软雅黑" w:cs="微软雅黑"/>
          <w:spacing w:val="12"/>
          <w:lang w:eastAsia="zh-CN"/>
        </w:rPr>
        <w:t>43</w:t>
      </w:r>
      <w:r w:rsidRPr="00635708">
        <w:rPr>
          <w:rFonts w:ascii="微软雅黑" w:eastAsia="微软雅黑" w:hAnsi="微软雅黑" w:cs="微软雅黑" w:hint="eastAsia"/>
          <w:spacing w:val="12"/>
          <w:lang w:eastAsia="zh-CN"/>
        </w:rPr>
        <w:t>艘，此前一周为</w:t>
      </w:r>
      <w:r w:rsidRPr="00635708">
        <w:rPr>
          <w:rFonts w:ascii="微软雅黑" w:eastAsia="微软雅黑" w:hAnsi="微软雅黑" w:cs="微软雅黑"/>
          <w:spacing w:val="12"/>
          <w:lang w:eastAsia="zh-CN"/>
        </w:rPr>
        <w:t>55</w:t>
      </w:r>
      <w:r w:rsidRPr="00635708">
        <w:rPr>
          <w:rFonts w:ascii="微软雅黑" w:eastAsia="微软雅黑" w:hAnsi="微软雅黑" w:cs="微软雅黑" w:hint="eastAsia"/>
          <w:spacing w:val="12"/>
          <w:lang w:eastAsia="zh-CN"/>
        </w:rPr>
        <w:t>艘。港口等待装运的食糖数量为</w:t>
      </w:r>
      <w:r w:rsidRPr="00635708">
        <w:rPr>
          <w:rFonts w:ascii="微软雅黑" w:eastAsia="微软雅黑" w:hAnsi="微软雅黑" w:cs="微软雅黑"/>
          <w:spacing w:val="12"/>
          <w:lang w:eastAsia="zh-CN"/>
        </w:rPr>
        <w:t>145.42</w:t>
      </w:r>
      <w:r w:rsidRPr="00635708">
        <w:rPr>
          <w:rFonts w:ascii="微软雅黑" w:eastAsia="微软雅黑" w:hAnsi="微软雅黑" w:cs="微软雅黑" w:hint="eastAsia"/>
          <w:spacing w:val="12"/>
          <w:lang w:eastAsia="zh-CN"/>
        </w:rPr>
        <w:t>万吨，此前一周</w:t>
      </w:r>
      <w:r w:rsidRPr="00635708">
        <w:rPr>
          <w:rFonts w:ascii="微软雅黑" w:eastAsia="微软雅黑" w:hAnsi="微软雅黑" w:cs="微软雅黑"/>
          <w:spacing w:val="12"/>
          <w:lang w:eastAsia="zh-CN"/>
        </w:rPr>
        <w:t>194.77</w:t>
      </w:r>
      <w:r w:rsidRPr="00635708">
        <w:rPr>
          <w:rFonts w:ascii="微软雅黑" w:eastAsia="微软雅黑" w:hAnsi="微软雅黑" w:cs="微软雅黑" w:hint="eastAsia"/>
          <w:spacing w:val="12"/>
          <w:lang w:eastAsia="zh-CN"/>
        </w:rPr>
        <w:t>万吨。另外印度政府食品部长表示，印度可能允许部分糖出口，前提是乙醇掺混后仍有剩余，关注印度政策。</w:t>
      </w:r>
    </w:p>
    <w:p w:rsidR="00211589" w:rsidRDefault="00635708" w:rsidP="00635708">
      <w:pPr>
        <w:spacing w:before="103" w:line="256" w:lineRule="auto"/>
        <w:ind w:right="743" w:firstLine="448"/>
        <w:jc w:val="both"/>
        <w:rPr>
          <w:rFonts w:ascii="微软雅黑" w:eastAsia="微软雅黑" w:hAnsi="微软雅黑" w:cs="微软雅黑"/>
          <w:spacing w:val="12"/>
          <w:lang w:eastAsia="zh-CN"/>
        </w:rPr>
      </w:pPr>
      <w:r w:rsidRPr="00635708">
        <w:rPr>
          <w:rFonts w:ascii="微软雅黑" w:eastAsia="微软雅黑" w:hAnsi="微软雅黑" w:cs="微软雅黑" w:hint="eastAsia"/>
          <w:spacing w:val="12"/>
          <w:lang w:eastAsia="zh-CN"/>
        </w:rPr>
        <w:t>美糖主力价格关注上方压力</w:t>
      </w:r>
      <w:r w:rsidRPr="00635708">
        <w:rPr>
          <w:rFonts w:ascii="微软雅黑" w:eastAsia="微软雅黑" w:hAnsi="微软雅黑" w:cs="微软雅黑"/>
          <w:spacing w:val="12"/>
          <w:lang w:eastAsia="zh-CN"/>
        </w:rPr>
        <w:t>22.0</w:t>
      </w:r>
      <w:r w:rsidRPr="00635708">
        <w:rPr>
          <w:rFonts w:ascii="微软雅黑" w:eastAsia="微软雅黑" w:hAnsi="微软雅黑" w:cs="微软雅黑" w:hint="eastAsia"/>
          <w:spacing w:val="12"/>
          <w:lang w:eastAsia="zh-CN"/>
        </w:rPr>
        <w:t>美分</w:t>
      </w:r>
      <w:r w:rsidRPr="00635708">
        <w:rPr>
          <w:rFonts w:ascii="微软雅黑" w:eastAsia="微软雅黑" w:hAnsi="微软雅黑" w:cs="微软雅黑"/>
          <w:spacing w:val="12"/>
          <w:lang w:eastAsia="zh-CN"/>
        </w:rPr>
        <w:t>/</w:t>
      </w:r>
      <w:r w:rsidRPr="00635708">
        <w:rPr>
          <w:rFonts w:ascii="微软雅黑" w:eastAsia="微软雅黑" w:hAnsi="微软雅黑" w:cs="微软雅黑" w:hint="eastAsia"/>
          <w:spacing w:val="12"/>
          <w:lang w:eastAsia="zh-CN"/>
        </w:rPr>
        <w:t>磅，下方支撑</w:t>
      </w:r>
      <w:r w:rsidRPr="00635708">
        <w:rPr>
          <w:rFonts w:ascii="微软雅黑" w:eastAsia="微软雅黑" w:hAnsi="微软雅黑" w:cs="微软雅黑"/>
          <w:spacing w:val="12"/>
          <w:lang w:eastAsia="zh-CN"/>
        </w:rPr>
        <w:t>18.0</w:t>
      </w:r>
      <w:r w:rsidRPr="00635708">
        <w:rPr>
          <w:rFonts w:ascii="微软雅黑" w:eastAsia="微软雅黑" w:hAnsi="微软雅黑" w:cs="微软雅黑" w:hint="eastAsia"/>
          <w:spacing w:val="12"/>
          <w:lang w:eastAsia="zh-CN"/>
        </w:rPr>
        <w:t>美分</w:t>
      </w:r>
      <w:r w:rsidRPr="00635708">
        <w:rPr>
          <w:rFonts w:ascii="微软雅黑" w:eastAsia="微软雅黑" w:hAnsi="微软雅黑" w:cs="微软雅黑"/>
          <w:spacing w:val="12"/>
          <w:lang w:eastAsia="zh-CN"/>
        </w:rPr>
        <w:t>/</w:t>
      </w:r>
      <w:r w:rsidRPr="00635708">
        <w:rPr>
          <w:rFonts w:ascii="微软雅黑" w:eastAsia="微软雅黑" w:hAnsi="微软雅黑" w:cs="微软雅黑" w:hint="eastAsia"/>
          <w:spacing w:val="12"/>
          <w:lang w:eastAsia="zh-CN"/>
        </w:rPr>
        <w:t>磅。建议</w:t>
      </w:r>
      <w:r w:rsidRPr="00635708">
        <w:rPr>
          <w:rFonts w:ascii="微软雅黑" w:eastAsia="微软雅黑" w:hAnsi="微软雅黑" w:cs="微软雅黑"/>
          <w:spacing w:val="12"/>
          <w:lang w:eastAsia="zh-CN"/>
        </w:rPr>
        <w:t>3</w:t>
      </w:r>
      <w:r w:rsidRPr="00635708">
        <w:rPr>
          <w:rFonts w:ascii="微软雅黑" w:eastAsia="微软雅黑" w:hAnsi="微软雅黑" w:cs="微软雅黑" w:hint="eastAsia"/>
          <w:spacing w:val="12"/>
          <w:lang w:eastAsia="zh-CN"/>
        </w:rPr>
        <w:t>月</w:t>
      </w:r>
      <w:r w:rsidRPr="00635708">
        <w:rPr>
          <w:rFonts w:ascii="微软雅黑" w:eastAsia="微软雅黑" w:hAnsi="微软雅黑" w:cs="微软雅黑"/>
          <w:spacing w:val="12"/>
          <w:lang w:eastAsia="zh-CN"/>
        </w:rPr>
        <w:t xml:space="preserve"> ICE </w:t>
      </w:r>
      <w:r w:rsidRPr="00635708">
        <w:rPr>
          <w:rFonts w:ascii="微软雅黑" w:eastAsia="微软雅黑" w:hAnsi="微软雅黑" w:cs="微软雅黑" w:hint="eastAsia"/>
          <w:spacing w:val="12"/>
          <w:lang w:eastAsia="zh-CN"/>
        </w:rPr>
        <w:t>期糖短期观望。</w:t>
      </w:r>
    </w:p>
    <w:p w:rsidR="00383E15" w:rsidRDefault="00383E15" w:rsidP="00211589">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8：ICE原糖</w:t>
      </w:r>
      <w:r>
        <w:rPr>
          <w:rFonts w:ascii="微软雅黑" w:eastAsia="微软雅黑" w:hAnsi="微软雅黑" w:cs="微软雅黑" w:hint="eastAsia"/>
          <w:spacing w:val="7"/>
          <w:lang w:val="zh-CN" w:eastAsia="zh-CN"/>
        </w:rPr>
        <w:t>期货主力合约日走势图</w:t>
      </w:r>
    </w:p>
    <w:p w:rsidR="00383E15" w:rsidRDefault="00635708" w:rsidP="00383E15">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183382" cy="2571750"/>
            <wp:effectExtent l="0" t="0" r="8255" b="0"/>
            <wp:docPr id="19" name="图片 19" descr="QQ截图2024122508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1" descr="QQ截图202412250804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0622" cy="2574761"/>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83E15" w:rsidRDefault="00383E15" w:rsidP="00383E15">
      <w:pPr>
        <w:spacing w:before="103" w:line="256" w:lineRule="auto"/>
        <w:ind w:right="743"/>
        <w:jc w:val="both"/>
        <w:rPr>
          <w:rFonts w:ascii="微软雅黑" w:eastAsia="微软雅黑" w:hAnsi="微软雅黑" w:cs="微软雅黑"/>
          <w:b/>
          <w:bCs/>
          <w:spacing w:val="12"/>
          <w:lang w:eastAsia="zh-CN"/>
        </w:rPr>
      </w:pPr>
    </w:p>
    <w:p w:rsidR="00383E15" w:rsidRDefault="00383E15" w:rsidP="00383E15">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635708" w:rsidRPr="00635708" w:rsidRDefault="00F26D8A" w:rsidP="00635708">
      <w:pPr>
        <w:spacing w:before="103" w:line="256" w:lineRule="auto"/>
        <w:ind w:right="743" w:firstLine="448"/>
        <w:jc w:val="both"/>
        <w:rPr>
          <w:rFonts w:ascii="微软雅黑" w:eastAsia="微软雅黑" w:hAnsi="微软雅黑" w:cs="微软雅黑"/>
          <w:spacing w:val="12"/>
          <w:lang w:eastAsia="zh-CN"/>
        </w:rPr>
      </w:pPr>
      <w:r w:rsidRPr="00F26D8A">
        <w:rPr>
          <w:rFonts w:ascii="微软雅黑" w:eastAsia="微软雅黑" w:hAnsi="微软雅黑" w:cs="微软雅黑" w:hint="eastAsia"/>
          <w:spacing w:val="12"/>
          <w:lang w:eastAsia="zh-CN"/>
        </w:rPr>
        <w:t>因周三适逢圣诞节假期，洲际期货交易所（</w:t>
      </w:r>
      <w:r w:rsidRPr="00F26D8A">
        <w:rPr>
          <w:rFonts w:ascii="微软雅黑" w:eastAsia="微软雅黑" w:hAnsi="微软雅黑" w:cs="微软雅黑"/>
          <w:spacing w:val="12"/>
          <w:lang w:eastAsia="zh-CN"/>
        </w:rPr>
        <w:t>ICE</w:t>
      </w:r>
      <w:r w:rsidRPr="00F26D8A">
        <w:rPr>
          <w:rFonts w:ascii="微软雅黑" w:eastAsia="微软雅黑" w:hAnsi="微软雅黑" w:cs="微软雅黑" w:hint="eastAsia"/>
          <w:spacing w:val="12"/>
          <w:lang w:eastAsia="zh-CN"/>
        </w:rPr>
        <w:t>）市场休市</w:t>
      </w:r>
      <w:r>
        <w:rPr>
          <w:rFonts w:ascii="微软雅黑" w:eastAsia="微软雅黑" w:hAnsi="微软雅黑" w:cs="微软雅黑" w:hint="eastAsia"/>
          <w:spacing w:val="12"/>
          <w:lang w:eastAsia="zh-CN"/>
        </w:rPr>
        <w:t>。</w:t>
      </w:r>
    </w:p>
    <w:p w:rsidR="00383E15" w:rsidRPr="003966F3" w:rsidRDefault="00635708" w:rsidP="00635708">
      <w:pPr>
        <w:spacing w:before="103" w:line="256" w:lineRule="auto"/>
        <w:ind w:right="743" w:firstLine="448"/>
        <w:jc w:val="both"/>
        <w:rPr>
          <w:rFonts w:ascii="微软雅黑" w:eastAsia="微软雅黑" w:hAnsi="微软雅黑" w:cs="微软雅黑"/>
          <w:spacing w:val="12"/>
          <w:lang w:eastAsia="zh-CN"/>
        </w:rPr>
      </w:pPr>
      <w:r w:rsidRPr="00635708">
        <w:rPr>
          <w:rFonts w:ascii="微软雅黑" w:eastAsia="微软雅黑" w:hAnsi="微软雅黑" w:cs="微软雅黑" w:hint="eastAsia"/>
          <w:spacing w:val="12"/>
          <w:lang w:eastAsia="zh-CN"/>
        </w:rPr>
        <w:t>据美国农业部</w:t>
      </w:r>
      <w:r w:rsidRPr="00635708">
        <w:rPr>
          <w:rFonts w:ascii="微软雅黑" w:eastAsia="微软雅黑" w:hAnsi="微软雅黑" w:cs="微软雅黑"/>
          <w:spacing w:val="12"/>
          <w:lang w:eastAsia="zh-CN"/>
        </w:rPr>
        <w:t>(USDA)</w:t>
      </w:r>
      <w:r w:rsidRPr="00635708">
        <w:rPr>
          <w:rFonts w:ascii="微软雅黑" w:eastAsia="微软雅黑" w:hAnsi="微软雅黑" w:cs="微软雅黑" w:hint="eastAsia"/>
          <w:spacing w:val="12"/>
          <w:lang w:eastAsia="zh-CN"/>
        </w:rPr>
        <w:t>报告显示，</w:t>
      </w:r>
      <w:r w:rsidRPr="00635708">
        <w:rPr>
          <w:rFonts w:ascii="微软雅黑" w:eastAsia="微软雅黑" w:hAnsi="微软雅黑" w:cs="微软雅黑"/>
          <w:spacing w:val="12"/>
          <w:lang w:eastAsia="zh-CN"/>
        </w:rPr>
        <w:t>12</w:t>
      </w:r>
      <w:r w:rsidRPr="00635708">
        <w:rPr>
          <w:rFonts w:ascii="微软雅黑" w:eastAsia="微软雅黑" w:hAnsi="微软雅黑" w:cs="微软雅黑" w:hint="eastAsia"/>
          <w:spacing w:val="12"/>
          <w:lang w:eastAsia="zh-CN"/>
        </w:rPr>
        <w:t>月</w:t>
      </w:r>
      <w:r w:rsidRPr="00635708">
        <w:rPr>
          <w:rFonts w:ascii="微软雅黑" w:eastAsia="微软雅黑" w:hAnsi="微软雅黑" w:cs="微软雅黑"/>
          <w:spacing w:val="12"/>
          <w:lang w:eastAsia="zh-CN"/>
        </w:rPr>
        <w:t>12</w:t>
      </w:r>
      <w:r w:rsidRPr="00635708">
        <w:rPr>
          <w:rFonts w:ascii="微软雅黑" w:eastAsia="微软雅黑" w:hAnsi="微软雅黑" w:cs="微软雅黑" w:hint="eastAsia"/>
          <w:spacing w:val="12"/>
          <w:lang w:eastAsia="zh-CN"/>
        </w:rPr>
        <w:t>日止当周，</w:t>
      </w:r>
      <w:r w:rsidRPr="00635708">
        <w:rPr>
          <w:rFonts w:ascii="微软雅黑" w:eastAsia="微软雅黑" w:hAnsi="微软雅黑" w:cs="微软雅黑"/>
          <w:spacing w:val="12"/>
          <w:lang w:eastAsia="zh-CN"/>
        </w:rPr>
        <w:t>2024/25</w:t>
      </w:r>
      <w:r w:rsidRPr="00635708">
        <w:rPr>
          <w:rFonts w:ascii="微软雅黑" w:eastAsia="微软雅黑" w:hAnsi="微软雅黑" w:cs="微软雅黑" w:hint="eastAsia"/>
          <w:spacing w:val="12"/>
          <w:lang w:eastAsia="zh-CN"/>
        </w:rPr>
        <w:t>年度美国棉花出口销售净增</w:t>
      </w:r>
      <w:r w:rsidRPr="00635708">
        <w:rPr>
          <w:rFonts w:ascii="微软雅黑" w:eastAsia="微软雅黑" w:hAnsi="微软雅黑" w:cs="微软雅黑"/>
          <w:spacing w:val="12"/>
          <w:lang w:eastAsia="zh-CN"/>
        </w:rPr>
        <w:t>19.49</w:t>
      </w:r>
      <w:r w:rsidRPr="00635708">
        <w:rPr>
          <w:rFonts w:ascii="微软雅黑" w:eastAsia="微软雅黑" w:hAnsi="微软雅黑" w:cs="微软雅黑" w:hint="eastAsia"/>
          <w:spacing w:val="12"/>
          <w:lang w:eastAsia="zh-CN"/>
        </w:rPr>
        <w:t>万包，较前周增加</w:t>
      </w:r>
      <w:r w:rsidRPr="00635708">
        <w:rPr>
          <w:rFonts w:ascii="微软雅黑" w:eastAsia="微软雅黑" w:hAnsi="微软雅黑" w:cs="微软雅黑"/>
          <w:spacing w:val="12"/>
          <w:lang w:eastAsia="zh-CN"/>
        </w:rPr>
        <w:t>27%</w:t>
      </w:r>
      <w:r w:rsidRPr="00635708">
        <w:rPr>
          <w:rFonts w:ascii="微软雅黑" w:eastAsia="微软雅黑" w:hAnsi="微软雅黑" w:cs="微软雅黑" w:hint="eastAsia"/>
          <w:spacing w:val="12"/>
          <w:lang w:eastAsia="zh-CN"/>
        </w:rPr>
        <w:t>，较前</w:t>
      </w:r>
      <w:r w:rsidRPr="00635708">
        <w:rPr>
          <w:rFonts w:ascii="微软雅黑" w:eastAsia="微软雅黑" w:hAnsi="微软雅黑" w:cs="微软雅黑"/>
          <w:spacing w:val="12"/>
          <w:lang w:eastAsia="zh-CN"/>
        </w:rPr>
        <w:t>4</w:t>
      </w:r>
      <w:r w:rsidRPr="00635708">
        <w:rPr>
          <w:rFonts w:ascii="微软雅黑" w:eastAsia="微软雅黑" w:hAnsi="微软雅黑" w:cs="微软雅黑" w:hint="eastAsia"/>
          <w:spacing w:val="12"/>
          <w:lang w:eastAsia="zh-CN"/>
        </w:rPr>
        <w:t>周平均水平减少</w:t>
      </w:r>
      <w:r w:rsidRPr="00635708">
        <w:rPr>
          <w:rFonts w:ascii="微软雅黑" w:eastAsia="微软雅黑" w:hAnsi="微软雅黑" w:cs="微软雅黑"/>
          <w:spacing w:val="12"/>
          <w:lang w:eastAsia="zh-CN"/>
        </w:rPr>
        <w:t>19%</w:t>
      </w:r>
      <w:r w:rsidRPr="00635708">
        <w:rPr>
          <w:rFonts w:ascii="微软雅黑" w:eastAsia="微软雅黑" w:hAnsi="微软雅黑" w:cs="微软雅黑" w:hint="eastAsia"/>
          <w:spacing w:val="12"/>
          <w:lang w:eastAsia="zh-CN"/>
        </w:rPr>
        <w:t>；</w:t>
      </w:r>
      <w:r w:rsidRPr="00635708">
        <w:rPr>
          <w:rFonts w:ascii="微软雅黑" w:eastAsia="微软雅黑" w:hAnsi="微软雅黑" w:cs="微软雅黑"/>
          <w:spacing w:val="12"/>
          <w:lang w:eastAsia="zh-CN"/>
        </w:rPr>
        <w:t>2024/25</w:t>
      </w:r>
      <w:r w:rsidRPr="00635708">
        <w:rPr>
          <w:rFonts w:ascii="微软雅黑" w:eastAsia="微软雅黑" w:hAnsi="微软雅黑" w:cs="微软雅黑" w:hint="eastAsia"/>
          <w:spacing w:val="12"/>
          <w:lang w:eastAsia="zh-CN"/>
        </w:rPr>
        <w:t>年度美国棉花出口装运量</w:t>
      </w:r>
      <w:r w:rsidRPr="00635708">
        <w:rPr>
          <w:rFonts w:ascii="微软雅黑" w:eastAsia="微软雅黑" w:hAnsi="微软雅黑" w:cs="微软雅黑"/>
          <w:spacing w:val="12"/>
          <w:lang w:eastAsia="zh-CN"/>
        </w:rPr>
        <w:t>12.86</w:t>
      </w:r>
      <w:r w:rsidRPr="00635708">
        <w:rPr>
          <w:rFonts w:ascii="微软雅黑" w:eastAsia="微软雅黑" w:hAnsi="微软雅黑" w:cs="微软雅黑" w:hint="eastAsia"/>
          <w:spacing w:val="12"/>
          <w:lang w:eastAsia="zh-CN"/>
        </w:rPr>
        <w:t>万包，较前周减少</w:t>
      </w:r>
      <w:r w:rsidRPr="00635708">
        <w:rPr>
          <w:rFonts w:ascii="微软雅黑" w:eastAsia="微软雅黑" w:hAnsi="微软雅黑" w:cs="微软雅黑"/>
          <w:spacing w:val="12"/>
          <w:lang w:eastAsia="zh-CN"/>
        </w:rPr>
        <w:t>6%</w:t>
      </w:r>
      <w:r w:rsidRPr="00635708">
        <w:rPr>
          <w:rFonts w:ascii="微软雅黑" w:eastAsia="微软雅黑" w:hAnsi="微软雅黑" w:cs="微软雅黑" w:hint="eastAsia"/>
          <w:spacing w:val="12"/>
          <w:lang w:eastAsia="zh-CN"/>
        </w:rPr>
        <w:t>，较前</w:t>
      </w:r>
      <w:r w:rsidRPr="00635708">
        <w:rPr>
          <w:rFonts w:ascii="微软雅黑" w:eastAsia="微软雅黑" w:hAnsi="微软雅黑" w:cs="微软雅黑"/>
          <w:spacing w:val="12"/>
          <w:lang w:eastAsia="zh-CN"/>
        </w:rPr>
        <w:t>4</w:t>
      </w:r>
      <w:r w:rsidRPr="00635708">
        <w:rPr>
          <w:rFonts w:ascii="微软雅黑" w:eastAsia="微软雅黑" w:hAnsi="微软雅黑" w:cs="微软雅黑" w:hint="eastAsia"/>
          <w:spacing w:val="12"/>
          <w:lang w:eastAsia="zh-CN"/>
        </w:rPr>
        <w:t>周平均水平减少</w:t>
      </w:r>
      <w:r w:rsidRPr="00635708">
        <w:rPr>
          <w:rFonts w:ascii="微软雅黑" w:eastAsia="微软雅黑" w:hAnsi="微软雅黑" w:cs="微软雅黑"/>
          <w:spacing w:val="12"/>
          <w:lang w:eastAsia="zh-CN"/>
        </w:rPr>
        <w:t>10%</w:t>
      </w:r>
      <w:r w:rsidRPr="00635708">
        <w:rPr>
          <w:rFonts w:ascii="微软雅黑" w:eastAsia="微软雅黑" w:hAnsi="微软雅黑" w:cs="微软雅黑" w:hint="eastAsia"/>
          <w:spacing w:val="12"/>
          <w:lang w:eastAsia="zh-CN"/>
        </w:rPr>
        <w:t>。当周美国棉花出口签约量增加，出口销售数据尚可</w:t>
      </w:r>
      <w:r w:rsidR="00D26BBF" w:rsidRPr="00D26BBF">
        <w:rPr>
          <w:rFonts w:ascii="微软雅黑" w:eastAsia="微软雅黑" w:hAnsi="微软雅黑" w:cs="微软雅黑" w:hint="eastAsia"/>
          <w:spacing w:val="12"/>
          <w:lang w:eastAsia="zh-CN"/>
        </w:rPr>
        <w:t>。</w:t>
      </w:r>
    </w:p>
    <w:p w:rsidR="00383E15" w:rsidRDefault="00383E15" w:rsidP="00383E15">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9：ICE棉花</w:t>
      </w:r>
      <w:r>
        <w:rPr>
          <w:rFonts w:ascii="微软雅黑" w:eastAsia="微软雅黑" w:hAnsi="微软雅黑" w:cs="微软雅黑" w:hint="eastAsia"/>
          <w:spacing w:val="7"/>
          <w:lang w:val="zh-CN" w:eastAsia="zh-CN"/>
        </w:rPr>
        <w:t>期货主力合约日走势图</w:t>
      </w:r>
    </w:p>
    <w:p w:rsidR="00383E15" w:rsidRPr="002F3AE4" w:rsidRDefault="00635708" w:rsidP="00383E15">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362700" cy="2669342"/>
            <wp:effectExtent l="0" t="0" r="0" b="0"/>
            <wp:docPr id="25" name="图片 25" descr="QQ截图2024122508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2" descr="QQ截图202412250804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8141" cy="2675820"/>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ind w:firstLine="448"/>
        <w:jc w:val="both"/>
        <w:rPr>
          <w:rFonts w:ascii="微软雅黑" w:eastAsia="微软雅黑" w:hAnsi="微软雅黑" w:cs="微软雅黑"/>
          <w:spacing w:val="7"/>
          <w:lang w:eastAsia="zh-CN"/>
        </w:rPr>
      </w:pPr>
    </w:p>
    <w:p w:rsidR="00383E15" w:rsidRPr="00383E15" w:rsidRDefault="00383E1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bookmarkStart w:id="2" w:name="_GoBack"/>
      <w:bookmarkEnd w:id="2"/>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75E" w:rsidRDefault="0019575E">
      <w:r>
        <w:separator/>
      </w:r>
    </w:p>
  </w:endnote>
  <w:endnote w:type="continuationSeparator" w:id="0">
    <w:p w:rsidR="0019575E" w:rsidRDefault="0019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60D21">
                            <w:rPr>
                              <w:noProof/>
                              <w:sz w:val="28"/>
                              <w:szCs w:val="28"/>
                            </w:rPr>
                            <w:t>7</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60D21">
                      <w:rPr>
                        <w:noProof/>
                        <w:sz w:val="28"/>
                        <w:szCs w:val="28"/>
                      </w:rPr>
                      <w:t>7</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75E" w:rsidRDefault="0019575E">
      <w:r>
        <w:separator/>
      </w:r>
    </w:p>
  </w:footnote>
  <w:footnote w:type="continuationSeparator" w:id="0">
    <w:p w:rsidR="0019575E" w:rsidRDefault="00195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279DF"/>
    <w:rsid w:val="000334A3"/>
    <w:rsid w:val="00033BB5"/>
    <w:rsid w:val="00035942"/>
    <w:rsid w:val="0003640D"/>
    <w:rsid w:val="00046CE1"/>
    <w:rsid w:val="0005072F"/>
    <w:rsid w:val="000509AC"/>
    <w:rsid w:val="00050CFF"/>
    <w:rsid w:val="00051B15"/>
    <w:rsid w:val="00051CD7"/>
    <w:rsid w:val="00054993"/>
    <w:rsid w:val="0005517D"/>
    <w:rsid w:val="00060769"/>
    <w:rsid w:val="000619C0"/>
    <w:rsid w:val="00064BC6"/>
    <w:rsid w:val="000667A6"/>
    <w:rsid w:val="00066E2D"/>
    <w:rsid w:val="000673AE"/>
    <w:rsid w:val="00070328"/>
    <w:rsid w:val="00072F2D"/>
    <w:rsid w:val="0007380E"/>
    <w:rsid w:val="00073F83"/>
    <w:rsid w:val="000767B0"/>
    <w:rsid w:val="0007723D"/>
    <w:rsid w:val="000844E7"/>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0F2F"/>
    <w:rsid w:val="000C448C"/>
    <w:rsid w:val="000C5FCD"/>
    <w:rsid w:val="000F2E96"/>
    <w:rsid w:val="000F434E"/>
    <w:rsid w:val="001031A8"/>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EFB"/>
    <w:rsid w:val="00170F25"/>
    <w:rsid w:val="0018099E"/>
    <w:rsid w:val="0018153B"/>
    <w:rsid w:val="00181D4B"/>
    <w:rsid w:val="00182628"/>
    <w:rsid w:val="00183A7D"/>
    <w:rsid w:val="00186A80"/>
    <w:rsid w:val="0019366B"/>
    <w:rsid w:val="0019575E"/>
    <w:rsid w:val="001A270F"/>
    <w:rsid w:val="001A33CE"/>
    <w:rsid w:val="001A37B9"/>
    <w:rsid w:val="001A38E1"/>
    <w:rsid w:val="001A3FA7"/>
    <w:rsid w:val="001A4594"/>
    <w:rsid w:val="001A537B"/>
    <w:rsid w:val="001A6891"/>
    <w:rsid w:val="001B07DA"/>
    <w:rsid w:val="001B08CC"/>
    <w:rsid w:val="001B0FC9"/>
    <w:rsid w:val="001B28F2"/>
    <w:rsid w:val="001B64C1"/>
    <w:rsid w:val="001C07A0"/>
    <w:rsid w:val="001C1BA8"/>
    <w:rsid w:val="001C43DE"/>
    <w:rsid w:val="001C4D7E"/>
    <w:rsid w:val="001C5971"/>
    <w:rsid w:val="001C6BEE"/>
    <w:rsid w:val="001D1D45"/>
    <w:rsid w:val="001D1E76"/>
    <w:rsid w:val="001D33C6"/>
    <w:rsid w:val="001D3DB1"/>
    <w:rsid w:val="001D4A6A"/>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1589"/>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0D21"/>
    <w:rsid w:val="00262C5F"/>
    <w:rsid w:val="0026300C"/>
    <w:rsid w:val="00263CA6"/>
    <w:rsid w:val="002640C5"/>
    <w:rsid w:val="00265E4D"/>
    <w:rsid w:val="00267E6D"/>
    <w:rsid w:val="002731E2"/>
    <w:rsid w:val="0027702B"/>
    <w:rsid w:val="00277450"/>
    <w:rsid w:val="0028035B"/>
    <w:rsid w:val="0029035C"/>
    <w:rsid w:val="002912FA"/>
    <w:rsid w:val="002932DF"/>
    <w:rsid w:val="002944E3"/>
    <w:rsid w:val="00297326"/>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3E15"/>
    <w:rsid w:val="0038561C"/>
    <w:rsid w:val="0038605D"/>
    <w:rsid w:val="00387E18"/>
    <w:rsid w:val="00387F1E"/>
    <w:rsid w:val="00390E0E"/>
    <w:rsid w:val="0039196A"/>
    <w:rsid w:val="00393E7E"/>
    <w:rsid w:val="0039436B"/>
    <w:rsid w:val="00394C16"/>
    <w:rsid w:val="003960C5"/>
    <w:rsid w:val="003966F3"/>
    <w:rsid w:val="00397C7F"/>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17B18"/>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2806"/>
    <w:rsid w:val="004D3D14"/>
    <w:rsid w:val="004D72AF"/>
    <w:rsid w:val="004D7761"/>
    <w:rsid w:val="004E0863"/>
    <w:rsid w:val="004E2B5C"/>
    <w:rsid w:val="004E3ED0"/>
    <w:rsid w:val="004E4B78"/>
    <w:rsid w:val="004E69F8"/>
    <w:rsid w:val="004F0E48"/>
    <w:rsid w:val="004F11FA"/>
    <w:rsid w:val="004F3F05"/>
    <w:rsid w:val="004F43EA"/>
    <w:rsid w:val="004F5AAE"/>
    <w:rsid w:val="004F647A"/>
    <w:rsid w:val="004F74A8"/>
    <w:rsid w:val="00502E1A"/>
    <w:rsid w:val="00503381"/>
    <w:rsid w:val="0050522A"/>
    <w:rsid w:val="00507148"/>
    <w:rsid w:val="005108D0"/>
    <w:rsid w:val="005152A7"/>
    <w:rsid w:val="00516E4D"/>
    <w:rsid w:val="005202FB"/>
    <w:rsid w:val="005207F3"/>
    <w:rsid w:val="00521904"/>
    <w:rsid w:val="005272B5"/>
    <w:rsid w:val="00532B5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64C28"/>
    <w:rsid w:val="0057124A"/>
    <w:rsid w:val="00574708"/>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0C57"/>
    <w:rsid w:val="005B1F3A"/>
    <w:rsid w:val="005B30E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EB2"/>
    <w:rsid w:val="005F4937"/>
    <w:rsid w:val="005F4A09"/>
    <w:rsid w:val="005F7926"/>
    <w:rsid w:val="005F7A56"/>
    <w:rsid w:val="005F7D1A"/>
    <w:rsid w:val="00605112"/>
    <w:rsid w:val="00605270"/>
    <w:rsid w:val="00606A48"/>
    <w:rsid w:val="00610DBF"/>
    <w:rsid w:val="00611654"/>
    <w:rsid w:val="00613E55"/>
    <w:rsid w:val="006173ED"/>
    <w:rsid w:val="00617C6E"/>
    <w:rsid w:val="00622044"/>
    <w:rsid w:val="0062240E"/>
    <w:rsid w:val="00623640"/>
    <w:rsid w:val="00624923"/>
    <w:rsid w:val="00624DBD"/>
    <w:rsid w:val="00625A5D"/>
    <w:rsid w:val="00626C1B"/>
    <w:rsid w:val="006272B9"/>
    <w:rsid w:val="00627473"/>
    <w:rsid w:val="00627FE7"/>
    <w:rsid w:val="00630B55"/>
    <w:rsid w:val="00631606"/>
    <w:rsid w:val="00635708"/>
    <w:rsid w:val="00635F90"/>
    <w:rsid w:val="006378E2"/>
    <w:rsid w:val="0064243E"/>
    <w:rsid w:val="00644AEE"/>
    <w:rsid w:val="00646C5A"/>
    <w:rsid w:val="0065002F"/>
    <w:rsid w:val="006536EA"/>
    <w:rsid w:val="00653C3C"/>
    <w:rsid w:val="00655BBF"/>
    <w:rsid w:val="00656F15"/>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57A3"/>
    <w:rsid w:val="006B7586"/>
    <w:rsid w:val="006C1996"/>
    <w:rsid w:val="006C206E"/>
    <w:rsid w:val="006C281B"/>
    <w:rsid w:val="006C38CB"/>
    <w:rsid w:val="006C44DC"/>
    <w:rsid w:val="006C547F"/>
    <w:rsid w:val="006C5C56"/>
    <w:rsid w:val="006C7005"/>
    <w:rsid w:val="006C7C76"/>
    <w:rsid w:val="006D1F97"/>
    <w:rsid w:val="006D29D1"/>
    <w:rsid w:val="006D540B"/>
    <w:rsid w:val="006D5E26"/>
    <w:rsid w:val="006D7D9B"/>
    <w:rsid w:val="006E0D24"/>
    <w:rsid w:val="006E5991"/>
    <w:rsid w:val="006F1AC1"/>
    <w:rsid w:val="006F36C2"/>
    <w:rsid w:val="006F6899"/>
    <w:rsid w:val="006F7417"/>
    <w:rsid w:val="00701E59"/>
    <w:rsid w:val="00702C52"/>
    <w:rsid w:val="00706D67"/>
    <w:rsid w:val="0070723F"/>
    <w:rsid w:val="0071117C"/>
    <w:rsid w:val="00712E51"/>
    <w:rsid w:val="00714A9B"/>
    <w:rsid w:val="007163AA"/>
    <w:rsid w:val="007174BA"/>
    <w:rsid w:val="0072039A"/>
    <w:rsid w:val="00720FAB"/>
    <w:rsid w:val="00723697"/>
    <w:rsid w:val="007237B9"/>
    <w:rsid w:val="00725B26"/>
    <w:rsid w:val="00726161"/>
    <w:rsid w:val="00727595"/>
    <w:rsid w:val="007317D2"/>
    <w:rsid w:val="007344DF"/>
    <w:rsid w:val="00735F21"/>
    <w:rsid w:val="007444C0"/>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896"/>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07BA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3DA7"/>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496B"/>
    <w:rsid w:val="008977D3"/>
    <w:rsid w:val="008A22F1"/>
    <w:rsid w:val="008A424A"/>
    <w:rsid w:val="008A5714"/>
    <w:rsid w:val="008A5987"/>
    <w:rsid w:val="008A6764"/>
    <w:rsid w:val="008A7F78"/>
    <w:rsid w:val="008B021F"/>
    <w:rsid w:val="008B0939"/>
    <w:rsid w:val="008B2641"/>
    <w:rsid w:val="008B5687"/>
    <w:rsid w:val="008B570B"/>
    <w:rsid w:val="008B6408"/>
    <w:rsid w:val="008C13AB"/>
    <w:rsid w:val="008C1B74"/>
    <w:rsid w:val="008C4540"/>
    <w:rsid w:val="008C6A18"/>
    <w:rsid w:val="008C6AB2"/>
    <w:rsid w:val="008D07D2"/>
    <w:rsid w:val="008D145E"/>
    <w:rsid w:val="008D2C31"/>
    <w:rsid w:val="008D435F"/>
    <w:rsid w:val="008D4A14"/>
    <w:rsid w:val="008D5C6C"/>
    <w:rsid w:val="008D778A"/>
    <w:rsid w:val="008E118F"/>
    <w:rsid w:val="008F35C2"/>
    <w:rsid w:val="008F419C"/>
    <w:rsid w:val="008F6863"/>
    <w:rsid w:val="00901D0A"/>
    <w:rsid w:val="009020A9"/>
    <w:rsid w:val="00905AC1"/>
    <w:rsid w:val="00906472"/>
    <w:rsid w:val="00907E85"/>
    <w:rsid w:val="00911495"/>
    <w:rsid w:val="0091608D"/>
    <w:rsid w:val="00920750"/>
    <w:rsid w:val="00921A6B"/>
    <w:rsid w:val="00923293"/>
    <w:rsid w:val="00923D06"/>
    <w:rsid w:val="00924630"/>
    <w:rsid w:val="009246BA"/>
    <w:rsid w:val="00925023"/>
    <w:rsid w:val="00925BA7"/>
    <w:rsid w:val="0092679A"/>
    <w:rsid w:val="009267BD"/>
    <w:rsid w:val="0093187B"/>
    <w:rsid w:val="0093636F"/>
    <w:rsid w:val="009372C5"/>
    <w:rsid w:val="00937E8B"/>
    <w:rsid w:val="009407A7"/>
    <w:rsid w:val="00940B7C"/>
    <w:rsid w:val="00942C9E"/>
    <w:rsid w:val="0094313F"/>
    <w:rsid w:val="00946893"/>
    <w:rsid w:val="00947F92"/>
    <w:rsid w:val="00950FB2"/>
    <w:rsid w:val="0095135A"/>
    <w:rsid w:val="00952675"/>
    <w:rsid w:val="00953355"/>
    <w:rsid w:val="0096079E"/>
    <w:rsid w:val="009616B7"/>
    <w:rsid w:val="00964466"/>
    <w:rsid w:val="00965F4E"/>
    <w:rsid w:val="00967212"/>
    <w:rsid w:val="0097197E"/>
    <w:rsid w:val="00971BDB"/>
    <w:rsid w:val="009737E1"/>
    <w:rsid w:val="009743DF"/>
    <w:rsid w:val="00975D1A"/>
    <w:rsid w:val="009770C6"/>
    <w:rsid w:val="00980114"/>
    <w:rsid w:val="00980F12"/>
    <w:rsid w:val="00984CAE"/>
    <w:rsid w:val="00984E4F"/>
    <w:rsid w:val="00985AA2"/>
    <w:rsid w:val="00990BAF"/>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6FD4"/>
    <w:rsid w:val="009A7CE8"/>
    <w:rsid w:val="009B08F6"/>
    <w:rsid w:val="009B354F"/>
    <w:rsid w:val="009B4EAC"/>
    <w:rsid w:val="009C0126"/>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5E14"/>
    <w:rsid w:val="00A4621D"/>
    <w:rsid w:val="00A4741C"/>
    <w:rsid w:val="00A474BF"/>
    <w:rsid w:val="00A4791F"/>
    <w:rsid w:val="00A50521"/>
    <w:rsid w:val="00A51836"/>
    <w:rsid w:val="00A53676"/>
    <w:rsid w:val="00A56867"/>
    <w:rsid w:val="00A569F4"/>
    <w:rsid w:val="00A625C1"/>
    <w:rsid w:val="00A6283C"/>
    <w:rsid w:val="00A63882"/>
    <w:rsid w:val="00A66AD4"/>
    <w:rsid w:val="00A67FA5"/>
    <w:rsid w:val="00A712BC"/>
    <w:rsid w:val="00A75923"/>
    <w:rsid w:val="00A76B56"/>
    <w:rsid w:val="00A76C2D"/>
    <w:rsid w:val="00A81EB1"/>
    <w:rsid w:val="00A82150"/>
    <w:rsid w:val="00A85056"/>
    <w:rsid w:val="00A86B50"/>
    <w:rsid w:val="00A87E54"/>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1C29"/>
    <w:rsid w:val="00B33953"/>
    <w:rsid w:val="00B40FE9"/>
    <w:rsid w:val="00B43C4B"/>
    <w:rsid w:val="00B46791"/>
    <w:rsid w:val="00B4699D"/>
    <w:rsid w:val="00B54085"/>
    <w:rsid w:val="00B54643"/>
    <w:rsid w:val="00B56CF5"/>
    <w:rsid w:val="00B60A6D"/>
    <w:rsid w:val="00B6108B"/>
    <w:rsid w:val="00B621A7"/>
    <w:rsid w:val="00B6439F"/>
    <w:rsid w:val="00B64755"/>
    <w:rsid w:val="00B67AFE"/>
    <w:rsid w:val="00B742BD"/>
    <w:rsid w:val="00B75125"/>
    <w:rsid w:val="00B81E5A"/>
    <w:rsid w:val="00B82C1C"/>
    <w:rsid w:val="00B84211"/>
    <w:rsid w:val="00B8630D"/>
    <w:rsid w:val="00B91BEA"/>
    <w:rsid w:val="00B9377A"/>
    <w:rsid w:val="00B94D04"/>
    <w:rsid w:val="00B96D3F"/>
    <w:rsid w:val="00BA0C15"/>
    <w:rsid w:val="00BA0C89"/>
    <w:rsid w:val="00BA177E"/>
    <w:rsid w:val="00BA2512"/>
    <w:rsid w:val="00BA3362"/>
    <w:rsid w:val="00BB1618"/>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6105A"/>
    <w:rsid w:val="00C6473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88E"/>
    <w:rsid w:val="00CA6EA5"/>
    <w:rsid w:val="00CA7281"/>
    <w:rsid w:val="00CA7EEA"/>
    <w:rsid w:val="00CB0281"/>
    <w:rsid w:val="00CB0D7B"/>
    <w:rsid w:val="00CB2E6B"/>
    <w:rsid w:val="00CB3CAD"/>
    <w:rsid w:val="00CB4ED8"/>
    <w:rsid w:val="00CB64F0"/>
    <w:rsid w:val="00CB65C9"/>
    <w:rsid w:val="00CC0392"/>
    <w:rsid w:val="00CC1FE0"/>
    <w:rsid w:val="00CC212E"/>
    <w:rsid w:val="00CC4FBA"/>
    <w:rsid w:val="00CC6F1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5276"/>
    <w:rsid w:val="00CF6B4F"/>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3F14"/>
    <w:rsid w:val="00D250A2"/>
    <w:rsid w:val="00D2577B"/>
    <w:rsid w:val="00D260A5"/>
    <w:rsid w:val="00D26BBF"/>
    <w:rsid w:val="00D26C7A"/>
    <w:rsid w:val="00D27AA3"/>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4EBB"/>
    <w:rsid w:val="00DB60FF"/>
    <w:rsid w:val="00DB753E"/>
    <w:rsid w:val="00DC0CCB"/>
    <w:rsid w:val="00DC19CB"/>
    <w:rsid w:val="00DC2E0F"/>
    <w:rsid w:val="00DC3ABD"/>
    <w:rsid w:val="00DC475D"/>
    <w:rsid w:val="00DC623C"/>
    <w:rsid w:val="00DD1B1B"/>
    <w:rsid w:val="00DD254F"/>
    <w:rsid w:val="00DD4459"/>
    <w:rsid w:val="00DE0695"/>
    <w:rsid w:val="00DE289B"/>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4D2F"/>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EF5144"/>
    <w:rsid w:val="00F01C2A"/>
    <w:rsid w:val="00F03434"/>
    <w:rsid w:val="00F07275"/>
    <w:rsid w:val="00F13913"/>
    <w:rsid w:val="00F13BE5"/>
    <w:rsid w:val="00F15E85"/>
    <w:rsid w:val="00F17954"/>
    <w:rsid w:val="00F17CFC"/>
    <w:rsid w:val="00F22797"/>
    <w:rsid w:val="00F26190"/>
    <w:rsid w:val="00F26828"/>
    <w:rsid w:val="00F26D8A"/>
    <w:rsid w:val="00F27DA4"/>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0305"/>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E8149D8"/>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2545536">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56816707">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40694570">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7146248">
      <w:bodyDiv w:val="1"/>
      <w:marLeft w:val="0"/>
      <w:marRight w:val="0"/>
      <w:marTop w:val="0"/>
      <w:marBottom w:val="0"/>
      <w:divBdr>
        <w:top w:val="none" w:sz="0" w:space="0" w:color="auto"/>
        <w:left w:val="none" w:sz="0" w:space="0" w:color="auto"/>
        <w:bottom w:val="none" w:sz="0" w:space="0" w:color="auto"/>
        <w:right w:val="none" w:sz="0" w:space="0" w:color="auto"/>
      </w:divBdr>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49365819">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1987561">
      <w:bodyDiv w:val="1"/>
      <w:marLeft w:val="0"/>
      <w:marRight w:val="0"/>
      <w:marTop w:val="0"/>
      <w:marBottom w:val="0"/>
      <w:divBdr>
        <w:top w:val="none" w:sz="0" w:space="0" w:color="auto"/>
        <w:left w:val="none" w:sz="0" w:space="0" w:color="auto"/>
        <w:bottom w:val="none" w:sz="0" w:space="0" w:color="auto"/>
        <w:right w:val="none" w:sz="0" w:space="0" w:color="auto"/>
      </w:divBdr>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E:\&#32929;&#25351;&#30740;&#31350;\&#29790;&#36798;&#22269;&#38469;&#21327;&#21516;\&#20840;&#29699;&#32929;&#25351;&#26085;&#25910;&#30424;&#28072;&#36300;&#2413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zh-CN" altLang="en-US"/>
              <a:t>全球主要指数涨跌幅（</a:t>
            </a:r>
            <a:r>
              <a:rPr lang="en-US" altLang="zh-CN"/>
              <a:t>%</a:t>
            </a:r>
            <a:r>
              <a:rPr lang="zh-CN" altLang="en-US"/>
              <a:t>）</a:t>
            </a:r>
          </a:p>
        </c:rich>
      </c:tx>
      <c:overlay val="0"/>
    </c:title>
    <c:autoTitleDeleted val="0"/>
    <c:plotArea>
      <c:layout/>
      <c:barChart>
        <c:barDir val="col"/>
        <c:grouping val="clustered"/>
        <c:varyColors val="0"/>
        <c:ser>
          <c:idx val="0"/>
          <c:order val="0"/>
          <c:tx>
            <c:strRef>
              <c:f>Sheet3!$S$63</c:f>
              <c:strCache>
                <c:ptCount val="1"/>
                <c:pt idx="0">
                  <c:v>2024-12-25</c:v>
                </c:pt>
              </c:strCache>
            </c:strRef>
          </c:tx>
          <c:spPr>
            <a:solidFill>
              <a:srgbClr val="FF0000"/>
            </a:solidFill>
          </c:spPr>
          <c:invertIfNegative val="1"/>
          <c:dPt>
            <c:idx val="2"/>
            <c:invertIfNegative val="1"/>
            <c:bubble3D val="0"/>
            <c:extLst>
              <c:ext xmlns:c16="http://schemas.microsoft.com/office/drawing/2014/chart" uri="{C3380CC4-5D6E-409C-BE32-E72D297353CC}">
                <c16:uniqueId val="{00000000-C2DB-47C6-89B5-1033B76CA579}"/>
              </c:ext>
            </c:extLst>
          </c:dPt>
          <c:dPt>
            <c:idx val="3"/>
            <c:invertIfNegative val="1"/>
            <c:bubble3D val="0"/>
            <c:extLst>
              <c:ext xmlns:c16="http://schemas.microsoft.com/office/drawing/2014/chart" uri="{C3380CC4-5D6E-409C-BE32-E72D297353CC}">
                <c16:uniqueId val="{00000001-C2DB-47C6-89B5-1033B76CA579}"/>
              </c:ext>
            </c:extLst>
          </c:dPt>
          <c:dPt>
            <c:idx val="4"/>
            <c:invertIfNegative val="1"/>
            <c:bubble3D val="0"/>
            <c:extLst>
              <c:ext xmlns:c16="http://schemas.microsoft.com/office/drawing/2014/chart" uri="{C3380CC4-5D6E-409C-BE32-E72D297353CC}">
                <c16:uniqueId val="{00000002-C2DB-47C6-89B5-1033B76CA579}"/>
              </c:ext>
            </c:extLst>
          </c:dPt>
          <c:dPt>
            <c:idx val="5"/>
            <c:invertIfNegative val="1"/>
            <c:bubble3D val="0"/>
            <c:extLst>
              <c:ext xmlns:c16="http://schemas.microsoft.com/office/drawing/2014/chart" uri="{C3380CC4-5D6E-409C-BE32-E72D297353CC}">
                <c16:uniqueId val="{00000003-C2DB-47C6-89B5-1033B76CA579}"/>
              </c:ext>
            </c:extLst>
          </c:dPt>
          <c:dPt>
            <c:idx val="6"/>
            <c:invertIfNegative val="1"/>
            <c:bubble3D val="0"/>
            <c:extLst>
              <c:ext xmlns:c16="http://schemas.microsoft.com/office/drawing/2014/chart" uri="{C3380CC4-5D6E-409C-BE32-E72D297353CC}">
                <c16:uniqueId val="{00000004-C2DB-47C6-89B5-1033B76CA579}"/>
              </c:ext>
            </c:extLst>
          </c:dPt>
          <c:dPt>
            <c:idx val="7"/>
            <c:invertIfNegative val="1"/>
            <c:bubble3D val="0"/>
            <c:extLst>
              <c:ext xmlns:c16="http://schemas.microsoft.com/office/drawing/2014/chart" uri="{C3380CC4-5D6E-409C-BE32-E72D297353CC}">
                <c16:uniqueId val="{00000005-C2DB-47C6-89B5-1033B76CA579}"/>
              </c:ext>
            </c:extLst>
          </c:dPt>
          <c:dPt>
            <c:idx val="8"/>
            <c:invertIfNegative val="1"/>
            <c:bubble3D val="0"/>
            <c:extLst>
              <c:ext xmlns:c16="http://schemas.microsoft.com/office/drawing/2014/chart" uri="{C3380CC4-5D6E-409C-BE32-E72D297353CC}">
                <c16:uniqueId val="{00000006-C2DB-47C6-89B5-1033B76CA579}"/>
              </c:ext>
            </c:extLst>
          </c:dPt>
          <c:dPt>
            <c:idx val="9"/>
            <c:invertIfNegative val="1"/>
            <c:bubble3D val="0"/>
            <c:extLst>
              <c:ext xmlns:c16="http://schemas.microsoft.com/office/drawing/2014/chart" uri="{C3380CC4-5D6E-409C-BE32-E72D297353CC}">
                <c16:uniqueId val="{00000007-C2DB-47C6-89B5-1033B76CA579}"/>
              </c:ext>
            </c:extLst>
          </c:dPt>
          <c:dPt>
            <c:idx val="10"/>
            <c:invertIfNegative val="1"/>
            <c:bubble3D val="0"/>
            <c:extLst>
              <c:ext xmlns:c16="http://schemas.microsoft.com/office/drawing/2014/chart" uri="{C3380CC4-5D6E-409C-BE32-E72D297353CC}">
                <c16:uniqueId val="{00000008-C2DB-47C6-89B5-1033B76CA579}"/>
              </c:ext>
            </c:extLst>
          </c:dPt>
          <c:dPt>
            <c:idx val="11"/>
            <c:invertIfNegative val="1"/>
            <c:bubble3D val="0"/>
            <c:extLst>
              <c:ext xmlns:c16="http://schemas.microsoft.com/office/drawing/2014/chart" uri="{C3380CC4-5D6E-409C-BE32-E72D297353CC}">
                <c16:uniqueId val="{00000009-C2DB-47C6-89B5-1033B76CA579}"/>
              </c:ext>
            </c:extLst>
          </c:dPt>
          <c:dPt>
            <c:idx val="12"/>
            <c:invertIfNegative val="1"/>
            <c:bubble3D val="0"/>
            <c:extLst>
              <c:ext xmlns:c16="http://schemas.microsoft.com/office/drawing/2014/chart" uri="{C3380CC4-5D6E-409C-BE32-E72D297353CC}">
                <c16:uniqueId val="{0000000A-C2DB-47C6-89B5-1033B76CA579}"/>
              </c:ext>
            </c:extLst>
          </c:dPt>
          <c:dPt>
            <c:idx val="13"/>
            <c:invertIfNegative val="1"/>
            <c:bubble3D val="0"/>
            <c:extLst>
              <c:ext xmlns:c16="http://schemas.microsoft.com/office/drawing/2014/chart" uri="{C3380CC4-5D6E-409C-BE32-E72D297353CC}">
                <c16:uniqueId val="{0000000B-C2DB-47C6-89B5-1033B76CA579}"/>
              </c:ext>
            </c:extLst>
          </c:dPt>
          <c:dPt>
            <c:idx val="14"/>
            <c:invertIfNegative val="1"/>
            <c:bubble3D val="0"/>
            <c:extLst>
              <c:ext xmlns:c16="http://schemas.microsoft.com/office/drawing/2014/chart" uri="{C3380CC4-5D6E-409C-BE32-E72D297353CC}">
                <c16:uniqueId val="{0000000C-C2DB-47C6-89B5-1033B76CA579}"/>
              </c:ext>
            </c:extLst>
          </c:dPt>
          <c:cat>
            <c:strRef>
              <c:f>Sheet3!$R$64:$R$78</c:f>
              <c:strCache>
                <c:ptCount val="15"/>
                <c:pt idx="0">
                  <c:v>中小100</c:v>
                </c:pt>
                <c:pt idx="1">
                  <c:v>深证成指</c:v>
                </c:pt>
                <c:pt idx="2">
                  <c:v>创业板指</c:v>
                </c:pt>
                <c:pt idx="3">
                  <c:v>上证指数</c:v>
                </c:pt>
                <c:pt idx="4">
                  <c:v>沪深300</c:v>
                </c:pt>
                <c:pt idx="5">
                  <c:v>日经225</c:v>
                </c:pt>
                <c:pt idx="6">
                  <c:v>恒生指数</c:v>
                </c:pt>
                <c:pt idx="7">
                  <c:v>英国富时100</c:v>
                </c:pt>
                <c:pt idx="8">
                  <c:v>法国CAC40</c:v>
                </c:pt>
                <c:pt idx="9">
                  <c:v>德国DAX</c:v>
                </c:pt>
                <c:pt idx="10">
                  <c:v>意大利指数</c:v>
                </c:pt>
                <c:pt idx="11">
                  <c:v>道琼斯工业指数</c:v>
                </c:pt>
                <c:pt idx="12">
                  <c:v>纳斯达克指数</c:v>
                </c:pt>
                <c:pt idx="13">
                  <c:v>标普500</c:v>
                </c:pt>
                <c:pt idx="14">
                  <c:v>富时新加坡海峡指数</c:v>
                </c:pt>
              </c:strCache>
            </c:strRef>
          </c:cat>
          <c:val>
            <c:numRef>
              <c:f>Sheet3!$S$64:$S$78</c:f>
              <c:numCache>
                <c:formatCode>#,##0.0000_ ;\-#,##0.0000\ </c:formatCode>
                <c:ptCount val="15"/>
                <c:pt idx="0">
                  <c:v>-0.67627000000000004</c:v>
                </c:pt>
                <c:pt idx="1">
                  <c:v>-0.64028499999999999</c:v>
                </c:pt>
                <c:pt idx="2">
                  <c:v>-0.55350100000000002</c:v>
                </c:pt>
                <c:pt idx="3">
                  <c:v>-5.2449999999999997E-3</c:v>
                </c:pt>
                <c:pt idx="4">
                  <c:v>4.8721E-2</c:v>
                </c:pt>
                <c:pt idx="5">
                  <c:v>0.23972199999999999</c:v>
                </c:pt>
              </c:numCache>
            </c:numRef>
          </c:val>
          <c:extLst>
            <c:ext xmlns:c14="http://schemas.microsoft.com/office/drawing/2007/8/2/chart" uri="{6F2FDCE9-48DA-4B69-8628-5D25D57E5C99}">
              <c14:invertSolidFillFmt>
                <c14:spPr xmlns:c14="http://schemas.microsoft.com/office/drawing/2007/8/2/chart">
                  <a:solidFill>
                    <a:srgbClr val="92D050"/>
                  </a:solidFill>
                </c14:spPr>
              </c14:invertSolidFillFmt>
            </c:ext>
            <c:ext xmlns:c16="http://schemas.microsoft.com/office/drawing/2014/chart" uri="{C3380CC4-5D6E-409C-BE32-E72D297353CC}">
              <c16:uniqueId val="{0000000D-C2DB-47C6-89B5-1033B76CA579}"/>
            </c:ext>
          </c:extLst>
        </c:ser>
        <c:dLbls>
          <c:showLegendKey val="0"/>
          <c:showVal val="0"/>
          <c:showCatName val="0"/>
          <c:showSerName val="0"/>
          <c:showPercent val="0"/>
          <c:showBubbleSize val="0"/>
        </c:dLbls>
        <c:gapWidth val="150"/>
        <c:axId val="754402392"/>
        <c:axId val="754402784"/>
      </c:barChart>
      <c:catAx>
        <c:axId val="754402392"/>
        <c:scaling>
          <c:orientation val="minMax"/>
        </c:scaling>
        <c:delete val="0"/>
        <c:axPos val="b"/>
        <c:numFmt formatCode="m/d/yyyy" sourceLinked="0"/>
        <c:majorTickMark val="none"/>
        <c:minorTickMark val="none"/>
        <c:tickLblPos val="low"/>
        <c:spPr>
          <a:solidFill>
            <a:srgbClr val="92D050"/>
          </a:solidFill>
        </c:spPr>
        <c:txPr>
          <a:bodyPr rot="-60000000" vert="horz"/>
          <a:lstStyle/>
          <a:p>
            <a:pPr>
              <a:defRPr>
                <a:solidFill>
                  <a:srgbClr val="92D050"/>
                </a:solidFill>
              </a:defRPr>
            </a:pPr>
            <a:endParaRPr lang="zh-CN"/>
          </a:p>
        </c:txPr>
        <c:crossAx val="754402784"/>
        <c:crosses val="autoZero"/>
        <c:auto val="1"/>
        <c:lblAlgn val="ctr"/>
        <c:lblOffset val="100"/>
        <c:noMultiLvlLbl val="0"/>
      </c:catAx>
      <c:valAx>
        <c:axId val="754402784"/>
        <c:scaling>
          <c:orientation val="minMax"/>
        </c:scaling>
        <c:delete val="0"/>
        <c:axPos val="l"/>
        <c:majorGridlines/>
        <c:numFmt formatCode="#,##0.0000_ ;\-#,##0.0000\ " sourceLinked="1"/>
        <c:majorTickMark val="none"/>
        <c:minorTickMark val="none"/>
        <c:tickLblPos val="nextTo"/>
        <c:txPr>
          <a:bodyPr rot="-60000000" vert="horz"/>
          <a:lstStyle/>
          <a:p>
            <a:pPr>
              <a:defRPr/>
            </a:pPr>
            <a:endParaRPr lang="zh-CN"/>
          </a:p>
        </c:txPr>
        <c:crossAx val="754402392"/>
        <c:crosses val="autoZero"/>
        <c:crossBetween val="between"/>
      </c:valAx>
      <c:dTable>
        <c:showHorzBorder val="1"/>
        <c:showVertBorder val="1"/>
        <c:showOutline val="1"/>
        <c:showKeys val="0"/>
      </c:dTable>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D16277-9E50-470D-9F2C-DE1B53927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525</Words>
  <Characters>2998</Characters>
  <Application>Microsoft Office Word</Application>
  <DocSecurity>0</DocSecurity>
  <Lines>24</Lines>
  <Paragraphs>7</Paragraphs>
  <ScaleCrop>false</ScaleCrop>
  <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Administrator</cp:lastModifiedBy>
  <cp:revision>12</cp:revision>
  <cp:lastPrinted>2024-12-12T01:03:00Z</cp:lastPrinted>
  <dcterms:created xsi:type="dcterms:W3CDTF">2024-12-26T00:18:00Z</dcterms:created>
  <dcterms:modified xsi:type="dcterms:W3CDTF">2024-12-26T00:59:00Z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