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66318A">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177.6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23E967A7" w:rsidR="00CA7296" w:rsidRDefault="00CA7296" w:rsidP="00CA7296">
      <w:pPr>
        <w:spacing w:line="312" w:lineRule="auto"/>
        <w:ind w:firstLine="420"/>
        <w:rPr>
          <w:rFonts w:ascii="宋体" w:hAnsi="宋体" w:cs="宋体"/>
        </w:rPr>
      </w:pPr>
      <w:r>
        <w:t>周五</w:t>
      </w:r>
      <w:r>
        <w:rPr>
          <w:rFonts w:hint="eastAsia"/>
        </w:rPr>
        <w:t>（</w:t>
      </w:r>
      <w:r w:rsidR="0066318A">
        <w:t>2</w:t>
      </w:r>
      <w:r>
        <w:rPr>
          <w:rFonts w:hint="eastAsia"/>
        </w:rPr>
        <w:t>月</w:t>
      </w:r>
      <w:r w:rsidR="0066318A">
        <w:t>7</w:t>
      </w:r>
      <w:r>
        <w:rPr>
          <w:rFonts w:hint="eastAsia"/>
        </w:rPr>
        <w:t>日）</w:t>
      </w:r>
      <w:r>
        <w:t>美元兑人民币中间价</w:t>
      </w:r>
      <w:r>
        <w:rPr>
          <w:rFonts w:ascii="宋体" w:hAnsi="宋体" w:cs="宋体"/>
        </w:rPr>
        <w:t>报</w:t>
      </w:r>
      <w:r w:rsidRPr="00076C89">
        <w:rPr>
          <w:rFonts w:ascii="宋体" w:hAnsi="宋体" w:cs="宋体"/>
        </w:rPr>
        <w:t>7.1</w:t>
      </w:r>
      <w:r w:rsidR="0066318A">
        <w:rPr>
          <w:rFonts w:ascii="宋体" w:hAnsi="宋体" w:cs="宋体"/>
        </w:rPr>
        <w:t>699</w:t>
      </w:r>
      <w:r>
        <w:rPr>
          <w:rFonts w:ascii="宋体" w:hAnsi="宋体" w:cs="宋体"/>
        </w:rPr>
        <w:t>，</w:t>
      </w:r>
      <w:r>
        <w:rPr>
          <w:rFonts w:ascii="宋体" w:hAnsi="宋体" w:cs="宋体" w:hint="eastAsia"/>
        </w:rPr>
        <w:t>调</w:t>
      </w:r>
      <w:r w:rsidR="0066318A">
        <w:rPr>
          <w:rFonts w:ascii="宋体" w:hAnsi="宋体" w:cs="宋体" w:hint="eastAsia"/>
        </w:rPr>
        <w:t>贬</w:t>
      </w:r>
      <w:r w:rsidR="0066318A">
        <w:rPr>
          <w:rFonts w:ascii="宋体" w:hAnsi="宋体" w:cs="宋体"/>
        </w:rPr>
        <w:t>8</w:t>
      </w:r>
      <w:r>
        <w:rPr>
          <w:rFonts w:ascii="宋体" w:hAnsi="宋体" w:cs="宋体" w:hint="eastAsia"/>
        </w:rPr>
        <w:t>个基点，上周累计调</w:t>
      </w:r>
      <w:r w:rsidR="0066318A">
        <w:rPr>
          <w:rFonts w:ascii="宋体" w:hAnsi="宋体" w:cs="宋体" w:hint="eastAsia"/>
        </w:rPr>
        <w:t>贬6</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8C495E">
        <w:rPr>
          <w:rFonts w:ascii="宋体" w:hAnsi="宋体" w:cs="宋体"/>
        </w:rPr>
        <w:t>3</w:t>
      </w:r>
      <w:r>
        <w:rPr>
          <w:rFonts w:ascii="宋体" w:hAnsi="宋体" w:cs="宋体" w:hint="eastAsia"/>
        </w:rPr>
        <w:t>收</w:t>
      </w:r>
      <w:r w:rsidR="00E70ABA">
        <w:rPr>
          <w:rFonts w:ascii="宋体" w:hAnsi="宋体" w:cs="宋体" w:hint="eastAsia"/>
        </w:rPr>
        <w:t>跌</w:t>
      </w:r>
      <w:r w:rsidR="0066318A">
        <w:rPr>
          <w:rFonts w:ascii="宋体" w:hAnsi="宋体" w:cs="宋体"/>
        </w:rPr>
        <w:t>0.1</w:t>
      </w:r>
      <w:r w:rsidR="00C66DB1">
        <w:rPr>
          <w:rFonts w:ascii="宋体" w:hAnsi="宋体" w:cs="宋体"/>
        </w:rPr>
        <w:t>0</w:t>
      </w:r>
      <w:r>
        <w:rPr>
          <w:rFonts w:ascii="宋体" w:hAnsi="宋体" w:cs="宋体" w:hint="eastAsia"/>
        </w:rPr>
        <w:t>%。新交所美元兑离岸人民币期货主力合约</w:t>
      </w:r>
      <w:r>
        <w:rPr>
          <w:rFonts w:ascii="宋体" w:hAnsi="宋体" w:cs="宋体"/>
        </w:rPr>
        <w:t>UC</w:t>
      </w:r>
      <w:r w:rsidR="008C495E">
        <w:rPr>
          <w:rFonts w:ascii="宋体" w:hAnsi="宋体" w:cs="宋体"/>
        </w:rPr>
        <w:t>H</w:t>
      </w:r>
      <w:r>
        <w:rPr>
          <w:rFonts w:ascii="宋体" w:hAnsi="宋体" w:cs="宋体"/>
        </w:rPr>
        <w:t>2</w:t>
      </w:r>
      <w:r>
        <w:rPr>
          <w:rFonts w:ascii="宋体" w:hAnsi="宋体" w:cs="宋体" w:hint="eastAsia"/>
        </w:rPr>
        <w:t>5收</w:t>
      </w:r>
      <w:r w:rsidR="00CC28AB">
        <w:rPr>
          <w:rFonts w:ascii="宋体" w:hAnsi="宋体" w:cs="宋体" w:hint="eastAsia"/>
        </w:rPr>
        <w:t>跌</w:t>
      </w:r>
      <w:r w:rsidR="0066318A">
        <w:rPr>
          <w:rFonts w:ascii="宋体" w:hAnsi="宋体" w:cs="宋体" w:hint="eastAsia"/>
        </w:rPr>
        <w:t>0</w:t>
      </w:r>
      <w:r w:rsidR="0066318A">
        <w:rPr>
          <w:rFonts w:ascii="宋体" w:hAnsi="宋体" w:cs="宋体"/>
        </w:rPr>
        <w:t>.12</w:t>
      </w:r>
      <w:r w:rsidR="00CC28AB">
        <w:rPr>
          <w:rFonts w:ascii="宋体" w:hAnsi="宋体" w:cs="宋体"/>
        </w:rPr>
        <w:t>%</w:t>
      </w:r>
      <w:r>
        <w:rPr>
          <w:rFonts w:ascii="宋体" w:hAnsi="宋体" w:cs="宋体" w:hint="eastAsia"/>
        </w:rPr>
        <w:t>。</w:t>
      </w:r>
    </w:p>
    <w:p w14:paraId="2A8620FC" w14:textId="596EF7AE" w:rsidR="00CA7296" w:rsidRDefault="00CA7296" w:rsidP="00CA7296">
      <w:pPr>
        <w:spacing w:line="312" w:lineRule="auto"/>
        <w:ind w:firstLine="420"/>
      </w:pPr>
      <w:r>
        <w:rPr>
          <w:rFonts w:ascii="宋体" w:hAnsi="宋体" w:cs="宋体" w:hint="eastAsia"/>
        </w:rPr>
        <w:t>美元兑在岸人民币</w:t>
      </w:r>
      <w:r>
        <w:t>收报</w:t>
      </w:r>
      <w:r w:rsidR="00AD25D1">
        <w:t>7.</w:t>
      </w:r>
      <w:r w:rsidR="00C66DB1">
        <w:t>2</w:t>
      </w:r>
      <w:r w:rsidR="0066318A">
        <w:t>889</w:t>
      </w:r>
      <w:r>
        <w:t>，</w:t>
      </w:r>
      <w:r>
        <w:rPr>
          <w:rFonts w:hint="eastAsia"/>
        </w:rPr>
        <w:t>美元兑离岸人民币收报</w:t>
      </w:r>
      <w:r>
        <w:rPr>
          <w:rFonts w:hint="eastAsia"/>
        </w:rPr>
        <w:t>7</w:t>
      </w:r>
      <w:r>
        <w:t>.</w:t>
      </w:r>
      <w:r w:rsidR="0066318A">
        <w:t>3038</w:t>
      </w:r>
      <w:r>
        <w:rPr>
          <w:rFonts w:hint="eastAsia"/>
        </w:rPr>
        <w:t>，在当周</w:t>
      </w:r>
      <w:r>
        <w:t>分别</w:t>
      </w:r>
      <w:r w:rsidR="0066318A">
        <w:rPr>
          <w:rFonts w:hint="eastAsia"/>
        </w:rPr>
        <w:t>下</w:t>
      </w:r>
      <w:r>
        <w:t>调</w:t>
      </w:r>
      <w:r w:rsidR="0066318A">
        <w:t>239</w:t>
      </w:r>
      <w:r>
        <w:t>和</w:t>
      </w:r>
      <w:r w:rsidR="0066318A">
        <w:rPr>
          <w:rFonts w:hint="eastAsia"/>
        </w:rPr>
        <w:t>上调</w:t>
      </w:r>
      <w:r w:rsidR="0066318A">
        <w:rPr>
          <w:rFonts w:hint="eastAsia"/>
        </w:rPr>
        <w:t>1</w:t>
      </w:r>
      <w:r w:rsidR="0066318A">
        <w:t>83</w:t>
      </w:r>
      <w:r>
        <w:rPr>
          <w:rFonts w:hint="eastAsia"/>
        </w:rPr>
        <w:t>个基点</w:t>
      </w:r>
      <w:r>
        <w:t>。欧元兑人民币报</w:t>
      </w:r>
      <w:r w:rsidR="0066318A">
        <w:t>7.5764</w:t>
      </w:r>
      <w:r>
        <w:t>、英镑兑人民币报</w:t>
      </w:r>
      <w:r w:rsidR="00C66DB1">
        <w:t>9.0</w:t>
      </w:r>
      <w:r w:rsidR="00CA1C69">
        <w:t>843</w:t>
      </w:r>
      <w:r>
        <w:t>、</w:t>
      </w:r>
      <w:r w:rsidR="000959E1">
        <w:rPr>
          <w:rFonts w:hint="eastAsia"/>
        </w:rPr>
        <w:t>日元</w:t>
      </w:r>
      <w:r>
        <w:t>兑</w:t>
      </w:r>
      <w:r w:rsidR="000959E1">
        <w:rPr>
          <w:rFonts w:hint="eastAsia"/>
        </w:rPr>
        <w:t>人民币</w:t>
      </w:r>
      <w:r>
        <w:t>报</w:t>
      </w:r>
      <w:r w:rsidR="000959E1">
        <w:rPr>
          <w:rFonts w:hint="eastAsia"/>
        </w:rPr>
        <w:t>4</w:t>
      </w:r>
      <w:r w:rsidR="000959E1">
        <w:t>.</w:t>
      </w:r>
      <w:r w:rsidR="00CA1C69">
        <w:t>8295</w:t>
      </w:r>
      <w:r w:rsidR="000959E1">
        <w:rPr>
          <w:rFonts w:hint="eastAsia"/>
        </w:rPr>
        <w:t>、</w:t>
      </w:r>
      <w:r>
        <w:t>澳元兑人民币报</w:t>
      </w:r>
      <w:r>
        <w:t>4.</w:t>
      </w:r>
      <w:r>
        <w:rPr>
          <w:rFonts w:hint="eastAsia"/>
        </w:rPr>
        <w:t>5</w:t>
      </w:r>
      <w:r w:rsidR="00CA1C69">
        <w:t>800</w:t>
      </w:r>
      <w:r>
        <w:rPr>
          <w:rFonts w:hint="eastAsia"/>
        </w:rPr>
        <w:t>，在当</w:t>
      </w:r>
      <w:r>
        <w:t>周分别</w:t>
      </w:r>
      <w:r w:rsidR="00CA1C69">
        <w:rPr>
          <w:rFonts w:hint="eastAsia"/>
        </w:rPr>
        <w:t>跌</w:t>
      </w:r>
      <w:r w:rsidR="00CA1C69">
        <w:rPr>
          <w:rFonts w:hint="eastAsia"/>
        </w:rPr>
        <w:t>3</w:t>
      </w:r>
      <w:r w:rsidR="00CA1C69">
        <w:t>61</w:t>
      </w:r>
      <w:r>
        <w:t>、</w:t>
      </w:r>
      <w:r w:rsidR="00C66DB1">
        <w:rPr>
          <w:rFonts w:hint="eastAsia"/>
        </w:rPr>
        <w:t>涨</w:t>
      </w:r>
      <w:r w:rsidR="00CA1C69">
        <w:t>420</w:t>
      </w:r>
      <w:r>
        <w:rPr>
          <w:rFonts w:hint="eastAsia"/>
        </w:rPr>
        <w:t>、</w:t>
      </w:r>
      <w:r w:rsidR="00CA1C69">
        <w:rPr>
          <w:rFonts w:hint="eastAsia"/>
        </w:rPr>
        <w:t>涨</w:t>
      </w:r>
      <w:r w:rsidR="00CA1C69">
        <w:rPr>
          <w:rFonts w:hint="eastAsia"/>
        </w:rPr>
        <w:t>1</w:t>
      </w:r>
      <w:r w:rsidR="00CA1C69">
        <w:t>326</w:t>
      </w:r>
      <w:r>
        <w:t>和</w:t>
      </w:r>
      <w:r w:rsidR="00762458">
        <w:rPr>
          <w:rFonts w:hint="eastAsia"/>
        </w:rPr>
        <w:t>涨</w:t>
      </w:r>
      <w:r w:rsidR="00C66DB1">
        <w:rPr>
          <w:rFonts w:hint="eastAsia"/>
        </w:rPr>
        <w:t>2</w:t>
      </w:r>
      <w:r w:rsidR="00CA1C69">
        <w:t>1</w:t>
      </w:r>
      <w:r>
        <w:rPr>
          <w:rFonts w:hint="eastAsia"/>
        </w:rPr>
        <w:t>个基点</w:t>
      </w:r>
      <w:r>
        <w:t>。</w:t>
      </w:r>
    </w:p>
    <w:p w14:paraId="76AC2601" w14:textId="5051CA9A" w:rsidR="00CA7296" w:rsidRDefault="00CA7296" w:rsidP="00CA7296">
      <w:pPr>
        <w:spacing w:line="312" w:lineRule="auto"/>
        <w:ind w:firstLine="420"/>
      </w:pPr>
      <w:r>
        <w:rPr>
          <w:rFonts w:hint="eastAsia"/>
        </w:rPr>
        <w:t>上周央行公开市场累计进行了</w:t>
      </w:r>
      <w:r w:rsidR="002C4410" w:rsidRPr="002C4410">
        <w:rPr>
          <w:rFonts w:hint="eastAsia"/>
        </w:rPr>
        <w:t>23005</w:t>
      </w:r>
      <w:r w:rsidR="002C4410" w:rsidRPr="002C4410">
        <w:rPr>
          <w:rFonts w:hint="eastAsia"/>
        </w:rPr>
        <w:t>亿元逆回购操作，</w:t>
      </w:r>
      <w:r w:rsidR="002C4410">
        <w:rPr>
          <w:rFonts w:hint="eastAsia"/>
        </w:rPr>
        <w:t>当</w:t>
      </w:r>
      <w:r w:rsidR="002C4410" w:rsidRPr="002C4410">
        <w:rPr>
          <w:rFonts w:hint="eastAsia"/>
        </w:rPr>
        <w:t>周央行公开市场有</w:t>
      </w:r>
      <w:r w:rsidR="002C4410" w:rsidRPr="002C4410">
        <w:rPr>
          <w:rFonts w:hint="eastAsia"/>
        </w:rPr>
        <w:t>16048</w:t>
      </w:r>
      <w:r w:rsidR="002C4410" w:rsidRPr="002C4410">
        <w:rPr>
          <w:rFonts w:hint="eastAsia"/>
        </w:rPr>
        <w:t>亿元逆回购到期，因此净投放</w:t>
      </w:r>
      <w:r w:rsidR="002C4410" w:rsidRPr="002C4410">
        <w:rPr>
          <w:rFonts w:hint="eastAsia"/>
        </w:rPr>
        <w:t>6957</w:t>
      </w:r>
      <w:r w:rsidR="002C4410" w:rsidRPr="002C4410">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43A744A1" w:rsidR="00CA7296" w:rsidRPr="00762458" w:rsidRDefault="00CA7296" w:rsidP="00CA7296">
      <w:pPr>
        <w:spacing w:line="312" w:lineRule="auto"/>
        <w:ind w:firstLine="420"/>
        <w:rPr>
          <w:rFonts w:ascii="宋体" w:hAnsi="宋体"/>
        </w:rPr>
      </w:pPr>
      <w:r>
        <w:t>1</w:t>
      </w:r>
      <w:r>
        <w:rPr>
          <w:rFonts w:hint="eastAsia"/>
        </w:rPr>
        <w:t>、</w:t>
      </w:r>
      <w:r w:rsidR="00CA1C69" w:rsidRPr="00D83D42">
        <w:rPr>
          <w:rFonts w:ascii="宋体" w:hAnsi="宋体" w:hint="eastAsia"/>
        </w:rPr>
        <w:t>国务院总理李强主持召开国务院常务会议，研究提振消费有关工作，要大力支持居民增收，促进工资性收入合理增长，支持新型消费加快发展，促进“人工智能</w:t>
      </w:r>
      <w:r w:rsidR="00CA1C69" w:rsidRPr="00D83D42">
        <w:rPr>
          <w:rFonts w:ascii="宋体" w:hAnsi="宋体"/>
        </w:rPr>
        <w:t>+消费”等。</w:t>
      </w:r>
    </w:p>
    <w:p w14:paraId="6F1CC702" w14:textId="5480EDB8" w:rsidR="00CA7296" w:rsidRPr="00CA1C69" w:rsidRDefault="00CA7296" w:rsidP="00CA7296">
      <w:pPr>
        <w:spacing w:line="312" w:lineRule="auto"/>
        <w:ind w:firstLine="420"/>
        <w:rPr>
          <w:rFonts w:ascii="宋体" w:hAnsi="宋体"/>
        </w:rPr>
      </w:pPr>
      <w:r>
        <w:rPr>
          <w:rFonts w:hint="eastAsia"/>
        </w:rPr>
        <w:t>2</w:t>
      </w:r>
      <w:r>
        <w:rPr>
          <w:rFonts w:hint="eastAsia"/>
        </w:rPr>
        <w:t>、</w:t>
      </w:r>
      <w:bookmarkStart w:id="0" w:name="OLE_LINK1"/>
      <w:r w:rsidR="00CA1C69" w:rsidRPr="009B5BE8">
        <w:rPr>
          <w:rFonts w:ascii="宋体" w:hAnsi="宋体" w:hint="eastAsia"/>
        </w:rPr>
        <w:t>国家税务总局最新增值税发票数据显示：春节假期，全国消费相关行业日均销售收入同比增长</w:t>
      </w:r>
      <w:r w:rsidR="00CA1C69" w:rsidRPr="009B5BE8">
        <w:rPr>
          <w:rFonts w:ascii="宋体" w:hAnsi="宋体"/>
        </w:rPr>
        <w:t>10.8%。其中，家电、音像器材同比增长166.4%，手机等通讯器材同比增长181.9%，旅游相关服务同比增长37.5%，文化艺术服务同比增长66.3%。</w:t>
      </w:r>
      <w:bookmarkEnd w:id="0"/>
    </w:p>
    <w:p w14:paraId="3E0B9A2E" w14:textId="0BA09F93" w:rsidR="00CA7296" w:rsidRPr="00CA1C69" w:rsidRDefault="00CA7296" w:rsidP="00CA7296">
      <w:pPr>
        <w:spacing w:line="312" w:lineRule="auto"/>
        <w:ind w:firstLine="420"/>
        <w:rPr>
          <w:rFonts w:ascii="宋体" w:hAnsi="宋体"/>
        </w:rPr>
      </w:pPr>
      <w:r w:rsidRPr="00CA1C69">
        <w:rPr>
          <w:rFonts w:ascii="宋体" w:hAnsi="宋体"/>
        </w:rPr>
        <w:t>3</w:t>
      </w:r>
      <w:r w:rsidRPr="00CA1C69">
        <w:rPr>
          <w:rFonts w:ascii="宋体" w:hAnsi="宋体" w:hint="eastAsia"/>
        </w:rPr>
        <w:t>、</w:t>
      </w:r>
      <w:r w:rsidR="00CA1C69" w:rsidRPr="00CA1C69">
        <w:rPr>
          <w:rFonts w:ascii="宋体" w:hAnsi="宋体"/>
        </w:rPr>
        <w:t>美国总统特朗普</w:t>
      </w:r>
      <w:r w:rsidR="00CA1C69">
        <w:rPr>
          <w:rFonts w:ascii="宋体" w:hAnsi="宋体" w:hint="eastAsia"/>
        </w:rPr>
        <w:t>2月</w:t>
      </w:r>
      <w:r w:rsidR="00CA1C69" w:rsidRPr="00CA1C69">
        <w:rPr>
          <w:rFonts w:ascii="宋体" w:hAnsi="宋体"/>
        </w:rPr>
        <w:t>9日表示，他将在10日宣布对所有进口到美国的钢铝产品加征25%的关税。</w:t>
      </w:r>
      <w:r w:rsidR="00CA1C69" w:rsidRPr="00CA1C69">
        <w:rPr>
          <w:rFonts w:ascii="宋体" w:hAnsi="宋体" w:hint="eastAsia"/>
        </w:rPr>
        <w:t>路透社称，这项新关税将在现有金属关税基础上叠加，标志着特朗普贸易政策改革的又一次“重大升级”。</w:t>
      </w:r>
    </w:p>
    <w:p w14:paraId="5E26AA41" w14:textId="1B6D536F" w:rsidR="00CA7296" w:rsidRDefault="00CA7296" w:rsidP="00CA7296">
      <w:pPr>
        <w:spacing w:line="312" w:lineRule="auto"/>
        <w:ind w:firstLine="420"/>
      </w:pPr>
      <w:r>
        <w:rPr>
          <w:rFonts w:hint="eastAsia"/>
        </w:rPr>
        <w:t>4</w:t>
      </w:r>
      <w:r>
        <w:rPr>
          <w:rFonts w:hint="eastAsia"/>
        </w:rPr>
        <w:t>、</w:t>
      </w:r>
      <w:r w:rsidR="00CA1C69" w:rsidRPr="00183E3E">
        <w:rPr>
          <w:rFonts w:ascii="宋体" w:hAnsi="宋体" w:hint="eastAsia"/>
        </w:rPr>
        <w:t>美联储古尔斯比表示，如果通胀上升或经济进展停滞，美联储需要弄清楚这是由于过热还是关税导致的；识别任何通胀的原因对于决定美联储何时以及是否应采取行动至关重要；美国经济强劲，可合理认为实现了充分就业；关税可能对通胀构成威胁。</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7439FEF9" w:rsidR="00CA7296" w:rsidRDefault="0066318A"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6FF7826D" wp14:editId="161991B2">
            <wp:extent cx="3982720" cy="21031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93059" cy="2108580"/>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C381C5"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CUSF2</w:t>
      </w:r>
      <w:r>
        <w:rPr>
          <w:rFonts w:ascii="宋体" w:eastAsia="宋体" w:hAnsi="宋体" w:hint="eastAsia"/>
          <w:b/>
        </w:rPr>
        <w:t>50</w:t>
      </w:r>
      <w:r w:rsidR="008C495E">
        <w:rPr>
          <w:rFonts w:ascii="宋体" w:eastAsia="宋体" w:hAnsi="宋体"/>
          <w:b/>
        </w:rPr>
        <w:t>3</w:t>
      </w:r>
      <w:r>
        <w:rPr>
          <w:rFonts w:ascii="宋体" w:eastAsia="宋体" w:hAnsi="宋体" w:hint="eastAsia"/>
          <w:b/>
        </w:rPr>
        <w:t>收盘价</w:t>
      </w:r>
    </w:p>
    <w:p w14:paraId="7F81A8FC" w14:textId="5BFBFE91" w:rsidR="00CA7296" w:rsidRDefault="0066318A" w:rsidP="00CA7296">
      <w:pPr>
        <w:spacing w:line="360" w:lineRule="auto"/>
        <w:jc w:val="center"/>
        <w:rPr>
          <w:rFonts w:ascii="宋体" w:hAnsi="宋体"/>
          <w:sz w:val="18"/>
          <w:szCs w:val="18"/>
        </w:rPr>
      </w:pPr>
      <w:r>
        <w:rPr>
          <w:noProof/>
        </w:rPr>
        <w:drawing>
          <wp:inline distT="0" distB="0" distL="0" distR="0" wp14:anchorId="6D61FA6F" wp14:editId="053AE034">
            <wp:extent cx="5274310" cy="274320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743200"/>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2CA10640" w:rsidR="00CA7296" w:rsidRDefault="0066318A" w:rsidP="00CA7296">
      <w:pPr>
        <w:spacing w:line="360" w:lineRule="auto"/>
        <w:jc w:val="center"/>
        <w:rPr>
          <w:rFonts w:ascii="宋体" w:hAnsi="宋体"/>
          <w:sz w:val="18"/>
          <w:szCs w:val="18"/>
        </w:rPr>
      </w:pPr>
      <w:r>
        <w:rPr>
          <w:noProof/>
        </w:rPr>
        <w:drawing>
          <wp:inline distT="0" distB="0" distL="0" distR="0" wp14:anchorId="38798B29" wp14:editId="0F43F9FC">
            <wp:extent cx="4531083" cy="225552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45532" cy="2262713"/>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1A3C83D"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8C495E">
        <w:rPr>
          <w:rFonts w:ascii="宋体" w:eastAsia="宋体" w:hAnsi="宋体"/>
          <w:b/>
        </w:rPr>
        <w:t>H</w:t>
      </w:r>
      <w:r>
        <w:rPr>
          <w:rFonts w:ascii="宋体" w:eastAsia="宋体" w:hAnsi="宋体"/>
          <w:b/>
        </w:rPr>
        <w:t>2</w:t>
      </w:r>
      <w:r>
        <w:rPr>
          <w:rFonts w:ascii="宋体" w:eastAsia="宋体" w:hAnsi="宋体" w:hint="eastAsia"/>
          <w:b/>
        </w:rPr>
        <w:t>5收盘价</w:t>
      </w:r>
    </w:p>
    <w:p w14:paraId="328A7973" w14:textId="14C21C94" w:rsidR="00CA7296" w:rsidRDefault="0066318A" w:rsidP="00CA7296">
      <w:pPr>
        <w:jc w:val="center"/>
      </w:pPr>
      <w:r>
        <w:rPr>
          <w:noProof/>
        </w:rPr>
        <w:drawing>
          <wp:inline distT="0" distB="0" distL="0" distR="0" wp14:anchorId="75CF15C8" wp14:editId="2711F862">
            <wp:extent cx="5274310" cy="2908300"/>
            <wp:effectExtent l="0" t="0" r="254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908300"/>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3723F4F1" w:rsidR="00CA7296" w:rsidRDefault="0066318A" w:rsidP="00CA7296">
      <w:pPr>
        <w:jc w:val="center"/>
      </w:pPr>
      <w:r>
        <w:rPr>
          <w:noProof/>
        </w:rPr>
        <w:drawing>
          <wp:inline distT="0" distB="0" distL="0" distR="0" wp14:anchorId="797892B2" wp14:editId="5D339029">
            <wp:extent cx="4135120" cy="244587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45457" cy="2451993"/>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59F84010" w:rsidR="00CA7296" w:rsidRDefault="0066318A"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23BE941C" wp14:editId="49877100">
            <wp:extent cx="5010150" cy="2511710"/>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15155" cy="2514219"/>
                    </a:xfrm>
                    <a:prstGeom prst="rect">
                      <a:avLst/>
                    </a:prstGeom>
                  </pic:spPr>
                </pic:pic>
              </a:graphicData>
            </a:graphic>
          </wp:inline>
        </w:drawing>
      </w:r>
    </w:p>
    <w:p w14:paraId="4215AD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后市展望</w:t>
      </w:r>
    </w:p>
    <w:p w14:paraId="6BBC184F" w14:textId="1088D7B0" w:rsidR="004445D6" w:rsidRDefault="00CA1C69" w:rsidP="00CA7296">
      <w:pPr>
        <w:spacing w:line="312" w:lineRule="auto"/>
        <w:ind w:firstLine="420"/>
        <w:rPr>
          <w:rFonts w:ascii="宋体" w:hAnsi="宋体" w:cs="宋体"/>
        </w:rPr>
      </w:pPr>
      <w:bookmarkStart w:id="1" w:name="_GoBack"/>
      <w:r w:rsidRPr="00E1539A">
        <w:rPr>
          <w:rFonts w:ascii="宋体" w:hAnsi="宋体" w:cs="宋体"/>
        </w:rPr>
        <w:t>最新数据显示，美国1月非农就业人数增加14.3万人，为三个月最低水平，放缓速度超预期，但同时失业率降至4.0%，这为美联储在6月之前暂不降息提供了支撑。据CME FedWatch工具显示，美联储3月维持利率不变的概率为82.0%，降息25个基点的概率为18.0%。此前美国总统特朗普承诺对所有进口钢铁和铝征收 25% 的关税，各类避险资产因担心受其影响而走强</w:t>
      </w:r>
      <w:r>
        <w:rPr>
          <w:rFonts w:ascii="宋体" w:hAnsi="宋体" w:cs="宋体" w:hint="eastAsia"/>
        </w:rPr>
        <w:t>，美元也持续走高</w:t>
      </w:r>
      <w:r w:rsidRPr="00E1539A">
        <w:rPr>
          <w:rFonts w:ascii="宋体" w:hAnsi="宋体" w:cs="宋体"/>
        </w:rPr>
        <w:t>。</w:t>
      </w:r>
      <w:bookmarkEnd w:id="1"/>
    </w:p>
    <w:p w14:paraId="41B37BB3" w14:textId="1EB6B26E" w:rsidR="0087172E" w:rsidRDefault="00CA1C69" w:rsidP="0079373C">
      <w:pPr>
        <w:spacing w:line="312" w:lineRule="auto"/>
        <w:ind w:firstLine="420"/>
        <w:rPr>
          <w:rFonts w:ascii="宋体" w:hAnsi="宋体" w:cs="宋体"/>
        </w:rPr>
      </w:pPr>
      <w:r>
        <w:rPr>
          <w:rFonts w:ascii="宋体" w:hAnsi="宋体" w:cs="宋体" w:hint="eastAsia"/>
        </w:rPr>
        <w:t>国内方面，</w:t>
      </w:r>
      <w:r w:rsidRPr="003A3F4A">
        <w:rPr>
          <w:rFonts w:ascii="宋体" w:hAnsi="宋体" w:cs="宋体" w:hint="eastAsia"/>
        </w:rPr>
        <w:t>国家电影局数据</w:t>
      </w:r>
      <w:r>
        <w:rPr>
          <w:rFonts w:ascii="宋体" w:hAnsi="宋体" w:cs="宋体" w:hint="eastAsia"/>
        </w:rPr>
        <w:t>显示</w:t>
      </w:r>
      <w:r w:rsidRPr="003A3F4A">
        <w:rPr>
          <w:rFonts w:ascii="宋体" w:hAnsi="宋体" w:cs="宋体" w:hint="eastAsia"/>
        </w:rPr>
        <w:t>，我国2025年春节档电影票房为95.1亿元，观影人次为1.87亿，</w:t>
      </w:r>
      <w:r>
        <w:rPr>
          <w:rFonts w:ascii="宋体" w:hAnsi="宋体" w:cs="宋体" w:hint="eastAsia"/>
        </w:rPr>
        <w:t>均</w:t>
      </w:r>
      <w:r w:rsidRPr="003A3F4A">
        <w:rPr>
          <w:rFonts w:ascii="宋体" w:hAnsi="宋体" w:cs="宋体" w:hint="eastAsia"/>
        </w:rPr>
        <w:t>创新纪录</w:t>
      </w:r>
      <w:r>
        <w:rPr>
          <w:rFonts w:ascii="宋体" w:hAnsi="宋体" w:cs="宋体" w:hint="eastAsia"/>
        </w:rPr>
        <w:t>；</w:t>
      </w:r>
      <w:r w:rsidRPr="00574170">
        <w:rPr>
          <w:rFonts w:ascii="宋体" w:hAnsi="宋体" w:cs="宋体" w:hint="eastAsia"/>
        </w:rPr>
        <w:t>观影均价回升，结束过去两年的“量增价减”趋势。</w:t>
      </w:r>
      <w:r>
        <w:rPr>
          <w:rFonts w:ascii="宋体" w:hAnsi="宋体" w:cs="宋体" w:hint="eastAsia"/>
        </w:rPr>
        <w:t>此外，</w:t>
      </w:r>
      <w:r w:rsidRPr="00E1539A">
        <w:rPr>
          <w:rFonts w:ascii="宋体" w:hAnsi="宋体" w:cs="宋体"/>
        </w:rPr>
        <w:t>促消费政策叠加节假日效应，零售、餐饮消费显著增长，从而带动我国1月份CPI环比由上月持平转为上涨0.7%，</w:t>
      </w:r>
      <w:r>
        <w:rPr>
          <w:rFonts w:ascii="宋体" w:hAnsi="宋体" w:cs="宋体" w:hint="eastAsia"/>
        </w:rPr>
        <w:t>反映</w:t>
      </w:r>
      <w:r w:rsidRPr="00E1539A">
        <w:rPr>
          <w:rFonts w:ascii="宋体" w:hAnsi="宋体" w:cs="宋体"/>
        </w:rPr>
        <w:t>居民消费能力得到改善。总的来看，在节假日效应、促消费政策支持下，旅游、电影、零售餐饮、家居家电等消费均有不错表现，内需稳步复苏，为稳定人民币汇率打下基础。但在美联储加征关税影响下，美元随之迅速上升，</w:t>
      </w:r>
      <w:r>
        <w:rPr>
          <w:rFonts w:ascii="宋体" w:hAnsi="宋体" w:cs="宋体" w:hint="eastAsia"/>
        </w:rPr>
        <w:t>短期内</w:t>
      </w:r>
      <w:r w:rsidRPr="00E1539A">
        <w:rPr>
          <w:rFonts w:ascii="宋体" w:hAnsi="宋体" w:cs="宋体"/>
        </w:rPr>
        <w:t>人民币震荡偏弱。需进一步跟踪关税政策动态</w:t>
      </w:r>
      <w:r w:rsidR="00127060" w:rsidRPr="00A92E8E">
        <w:rPr>
          <w:rFonts w:ascii="宋体" w:hAnsi="宋体" w:cs="宋体" w:hint="eastAsia"/>
        </w:rPr>
        <w:t>，预计美元人民币</w:t>
      </w:r>
      <w:r w:rsidR="00055C18">
        <w:rPr>
          <w:rFonts w:ascii="宋体" w:hAnsi="宋体" w:cs="宋体" w:hint="eastAsia"/>
        </w:rPr>
        <w:t>于7</w:t>
      </w:r>
      <w:r w:rsidR="00055C18">
        <w:rPr>
          <w:rFonts w:ascii="宋体" w:hAnsi="宋体" w:cs="宋体"/>
        </w:rPr>
        <w:t>.30</w:t>
      </w:r>
      <w:r w:rsidR="00AD25D1">
        <w:rPr>
          <w:rFonts w:ascii="宋体" w:hAnsi="宋体" w:cs="宋体"/>
        </w:rPr>
        <w:t>-7.35</w:t>
      </w:r>
      <w:r w:rsidR="00AD25D1">
        <w:rPr>
          <w:rFonts w:ascii="宋体" w:hAnsi="宋体" w:cs="宋体" w:hint="eastAsia"/>
        </w:rPr>
        <w:t>区间内</w:t>
      </w:r>
      <w:r w:rsidR="00127060" w:rsidRPr="00A92E8E">
        <w:rPr>
          <w:rFonts w:ascii="宋体" w:hAnsi="宋体" w:cs="宋体" w:hint="eastAsia"/>
        </w:rPr>
        <w:t>波动。</w:t>
      </w:r>
    </w:p>
    <w:p w14:paraId="455C826C" w14:textId="77777777" w:rsidR="00BF7D0E" w:rsidRDefault="00BF7D0E">
      <w:pPr>
        <w:widowControl/>
        <w:jc w:val="left"/>
        <w:rPr>
          <w:rFonts w:ascii="宋体" w:hAnsi="宋体" w:cs="宋体"/>
        </w:rPr>
      </w:pPr>
      <w:r>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E3DD6" w14:textId="77777777" w:rsidR="006B685C" w:rsidRDefault="006B685C" w:rsidP="00127060">
      <w:r>
        <w:separator/>
      </w:r>
    </w:p>
  </w:endnote>
  <w:endnote w:type="continuationSeparator" w:id="0">
    <w:p w14:paraId="6384DF24" w14:textId="77777777" w:rsidR="006B685C" w:rsidRDefault="006B685C"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F3086" w14:textId="77777777" w:rsidR="006B685C" w:rsidRDefault="006B685C" w:rsidP="00127060">
      <w:r>
        <w:separator/>
      </w:r>
    </w:p>
  </w:footnote>
  <w:footnote w:type="continuationSeparator" w:id="0">
    <w:p w14:paraId="49A1FABD" w14:textId="77777777" w:rsidR="006B685C" w:rsidRDefault="006B685C"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11E90"/>
    <w:rsid w:val="00015CEB"/>
    <w:rsid w:val="00016329"/>
    <w:rsid w:val="000218EC"/>
    <w:rsid w:val="00027E72"/>
    <w:rsid w:val="000301E2"/>
    <w:rsid w:val="000328C5"/>
    <w:rsid w:val="000447DD"/>
    <w:rsid w:val="00055C18"/>
    <w:rsid w:val="000658CB"/>
    <w:rsid w:val="00066060"/>
    <w:rsid w:val="00072AF7"/>
    <w:rsid w:val="0007552B"/>
    <w:rsid w:val="000959E1"/>
    <w:rsid w:val="000A0A52"/>
    <w:rsid w:val="000A1B52"/>
    <w:rsid w:val="000A1C34"/>
    <w:rsid w:val="000A1E80"/>
    <w:rsid w:val="000A6E63"/>
    <w:rsid w:val="000B3BF6"/>
    <w:rsid w:val="000B4160"/>
    <w:rsid w:val="000B6102"/>
    <w:rsid w:val="000B7B1E"/>
    <w:rsid w:val="000C405D"/>
    <w:rsid w:val="000D138F"/>
    <w:rsid w:val="000D41E0"/>
    <w:rsid w:val="000D4E7F"/>
    <w:rsid w:val="000D5473"/>
    <w:rsid w:val="000D59E5"/>
    <w:rsid w:val="00115730"/>
    <w:rsid w:val="00127060"/>
    <w:rsid w:val="001470E8"/>
    <w:rsid w:val="001573DE"/>
    <w:rsid w:val="00182FB2"/>
    <w:rsid w:val="00197E1F"/>
    <w:rsid w:val="00197E3E"/>
    <w:rsid w:val="001A59DE"/>
    <w:rsid w:val="001B6505"/>
    <w:rsid w:val="001C7A4C"/>
    <w:rsid w:val="001D5BF6"/>
    <w:rsid w:val="001F0B8B"/>
    <w:rsid w:val="001F4E90"/>
    <w:rsid w:val="0021694A"/>
    <w:rsid w:val="00220075"/>
    <w:rsid w:val="00220B10"/>
    <w:rsid w:val="00223E72"/>
    <w:rsid w:val="00227DE4"/>
    <w:rsid w:val="002348D9"/>
    <w:rsid w:val="002348FA"/>
    <w:rsid w:val="00247EFC"/>
    <w:rsid w:val="002617AF"/>
    <w:rsid w:val="00263BE6"/>
    <w:rsid w:val="00266134"/>
    <w:rsid w:val="0027103D"/>
    <w:rsid w:val="00273827"/>
    <w:rsid w:val="0028510B"/>
    <w:rsid w:val="0028572C"/>
    <w:rsid w:val="002A79EF"/>
    <w:rsid w:val="002C346F"/>
    <w:rsid w:val="002C4410"/>
    <w:rsid w:val="002C6293"/>
    <w:rsid w:val="002C7B4F"/>
    <w:rsid w:val="002D1AA3"/>
    <w:rsid w:val="002D2D54"/>
    <w:rsid w:val="002E39E8"/>
    <w:rsid w:val="002F6580"/>
    <w:rsid w:val="00300223"/>
    <w:rsid w:val="00301549"/>
    <w:rsid w:val="00312B57"/>
    <w:rsid w:val="00341353"/>
    <w:rsid w:val="00357828"/>
    <w:rsid w:val="0036506F"/>
    <w:rsid w:val="00371BC0"/>
    <w:rsid w:val="00377B85"/>
    <w:rsid w:val="00392306"/>
    <w:rsid w:val="003A2616"/>
    <w:rsid w:val="003A7F2C"/>
    <w:rsid w:val="003D2210"/>
    <w:rsid w:val="003D3AF3"/>
    <w:rsid w:val="003D3DB8"/>
    <w:rsid w:val="003E1D2F"/>
    <w:rsid w:val="003E5930"/>
    <w:rsid w:val="003F2BF1"/>
    <w:rsid w:val="004012E4"/>
    <w:rsid w:val="004023AC"/>
    <w:rsid w:val="00414D5B"/>
    <w:rsid w:val="00416F99"/>
    <w:rsid w:val="00431962"/>
    <w:rsid w:val="00434A8A"/>
    <w:rsid w:val="004445D6"/>
    <w:rsid w:val="00447802"/>
    <w:rsid w:val="00456C36"/>
    <w:rsid w:val="00456F4B"/>
    <w:rsid w:val="00462568"/>
    <w:rsid w:val="00472C1A"/>
    <w:rsid w:val="004855D9"/>
    <w:rsid w:val="004A483B"/>
    <w:rsid w:val="004A5DEA"/>
    <w:rsid w:val="004B1822"/>
    <w:rsid w:val="004C131F"/>
    <w:rsid w:val="004D283C"/>
    <w:rsid w:val="004D75A9"/>
    <w:rsid w:val="004E22E6"/>
    <w:rsid w:val="004F0C55"/>
    <w:rsid w:val="004F16E7"/>
    <w:rsid w:val="00505DD6"/>
    <w:rsid w:val="00511152"/>
    <w:rsid w:val="0055205C"/>
    <w:rsid w:val="00574E1F"/>
    <w:rsid w:val="00583AD9"/>
    <w:rsid w:val="00585144"/>
    <w:rsid w:val="005D591B"/>
    <w:rsid w:val="006206E8"/>
    <w:rsid w:val="00621D14"/>
    <w:rsid w:val="00624E74"/>
    <w:rsid w:val="006603DF"/>
    <w:rsid w:val="0066318A"/>
    <w:rsid w:val="006938C5"/>
    <w:rsid w:val="006A2C2A"/>
    <w:rsid w:val="006A35D1"/>
    <w:rsid w:val="006B685C"/>
    <w:rsid w:val="006C158F"/>
    <w:rsid w:val="006E2C2D"/>
    <w:rsid w:val="0071470E"/>
    <w:rsid w:val="0072465D"/>
    <w:rsid w:val="00730110"/>
    <w:rsid w:val="007348A2"/>
    <w:rsid w:val="00746E5A"/>
    <w:rsid w:val="00762458"/>
    <w:rsid w:val="00762BC0"/>
    <w:rsid w:val="00772ADA"/>
    <w:rsid w:val="00777880"/>
    <w:rsid w:val="00781600"/>
    <w:rsid w:val="0078583C"/>
    <w:rsid w:val="00792E03"/>
    <w:rsid w:val="0079373C"/>
    <w:rsid w:val="007A5815"/>
    <w:rsid w:val="007B10D1"/>
    <w:rsid w:val="007C0CD5"/>
    <w:rsid w:val="007D60FF"/>
    <w:rsid w:val="007E4414"/>
    <w:rsid w:val="007F6420"/>
    <w:rsid w:val="00804540"/>
    <w:rsid w:val="0083623C"/>
    <w:rsid w:val="00852D32"/>
    <w:rsid w:val="00853402"/>
    <w:rsid w:val="00854449"/>
    <w:rsid w:val="008575F1"/>
    <w:rsid w:val="0087172E"/>
    <w:rsid w:val="00882F85"/>
    <w:rsid w:val="00886C14"/>
    <w:rsid w:val="00887911"/>
    <w:rsid w:val="008A1FB2"/>
    <w:rsid w:val="008A2B9D"/>
    <w:rsid w:val="008B0DD1"/>
    <w:rsid w:val="008B5D1D"/>
    <w:rsid w:val="008B7950"/>
    <w:rsid w:val="008C13E8"/>
    <w:rsid w:val="008C2303"/>
    <w:rsid w:val="008C495E"/>
    <w:rsid w:val="0090054A"/>
    <w:rsid w:val="00915D99"/>
    <w:rsid w:val="00916F88"/>
    <w:rsid w:val="00921AD3"/>
    <w:rsid w:val="00922740"/>
    <w:rsid w:val="009425B7"/>
    <w:rsid w:val="00950AA4"/>
    <w:rsid w:val="009528D9"/>
    <w:rsid w:val="009624AE"/>
    <w:rsid w:val="00965238"/>
    <w:rsid w:val="0097610B"/>
    <w:rsid w:val="009821C1"/>
    <w:rsid w:val="00982EB3"/>
    <w:rsid w:val="00984FF0"/>
    <w:rsid w:val="009866FF"/>
    <w:rsid w:val="009927F3"/>
    <w:rsid w:val="009A27BC"/>
    <w:rsid w:val="009A75FC"/>
    <w:rsid w:val="009C0381"/>
    <w:rsid w:val="009C0504"/>
    <w:rsid w:val="009C3D02"/>
    <w:rsid w:val="009D1C60"/>
    <w:rsid w:val="009D3BE6"/>
    <w:rsid w:val="009D594C"/>
    <w:rsid w:val="009E58E4"/>
    <w:rsid w:val="009F2447"/>
    <w:rsid w:val="00A00F94"/>
    <w:rsid w:val="00A12E97"/>
    <w:rsid w:val="00A3670A"/>
    <w:rsid w:val="00A3724E"/>
    <w:rsid w:val="00A37AF9"/>
    <w:rsid w:val="00A46DE2"/>
    <w:rsid w:val="00A618F2"/>
    <w:rsid w:val="00A74769"/>
    <w:rsid w:val="00A77350"/>
    <w:rsid w:val="00A84ED5"/>
    <w:rsid w:val="00A87B55"/>
    <w:rsid w:val="00A959A4"/>
    <w:rsid w:val="00AA73C1"/>
    <w:rsid w:val="00AA7E59"/>
    <w:rsid w:val="00AB2BF2"/>
    <w:rsid w:val="00AB77E4"/>
    <w:rsid w:val="00AB7FCB"/>
    <w:rsid w:val="00AC23F7"/>
    <w:rsid w:val="00AD25D1"/>
    <w:rsid w:val="00AF4AA5"/>
    <w:rsid w:val="00B17CED"/>
    <w:rsid w:val="00B20497"/>
    <w:rsid w:val="00B21983"/>
    <w:rsid w:val="00B61147"/>
    <w:rsid w:val="00B62125"/>
    <w:rsid w:val="00B62126"/>
    <w:rsid w:val="00B71877"/>
    <w:rsid w:val="00B73C28"/>
    <w:rsid w:val="00B770FE"/>
    <w:rsid w:val="00B85DFF"/>
    <w:rsid w:val="00B874B7"/>
    <w:rsid w:val="00B87C9E"/>
    <w:rsid w:val="00B91814"/>
    <w:rsid w:val="00BA0B26"/>
    <w:rsid w:val="00BB7F54"/>
    <w:rsid w:val="00BC610A"/>
    <w:rsid w:val="00BD0804"/>
    <w:rsid w:val="00BD65EE"/>
    <w:rsid w:val="00BE2780"/>
    <w:rsid w:val="00BE7495"/>
    <w:rsid w:val="00BF0672"/>
    <w:rsid w:val="00BF7D0E"/>
    <w:rsid w:val="00C12E3E"/>
    <w:rsid w:val="00C34E83"/>
    <w:rsid w:val="00C46144"/>
    <w:rsid w:val="00C47469"/>
    <w:rsid w:val="00C505AE"/>
    <w:rsid w:val="00C66DB1"/>
    <w:rsid w:val="00C670BC"/>
    <w:rsid w:val="00C77777"/>
    <w:rsid w:val="00CA1C69"/>
    <w:rsid w:val="00CA3BCB"/>
    <w:rsid w:val="00CA7296"/>
    <w:rsid w:val="00CB2110"/>
    <w:rsid w:val="00CB6E2B"/>
    <w:rsid w:val="00CC28AB"/>
    <w:rsid w:val="00CD3D78"/>
    <w:rsid w:val="00CD7080"/>
    <w:rsid w:val="00CD788A"/>
    <w:rsid w:val="00CE4FC7"/>
    <w:rsid w:val="00CE5ABB"/>
    <w:rsid w:val="00CF65DD"/>
    <w:rsid w:val="00D0319E"/>
    <w:rsid w:val="00D03363"/>
    <w:rsid w:val="00D104E8"/>
    <w:rsid w:val="00D12EAC"/>
    <w:rsid w:val="00D13805"/>
    <w:rsid w:val="00D22BF7"/>
    <w:rsid w:val="00D3039F"/>
    <w:rsid w:val="00D32B08"/>
    <w:rsid w:val="00D37130"/>
    <w:rsid w:val="00D46F69"/>
    <w:rsid w:val="00D521AE"/>
    <w:rsid w:val="00D63942"/>
    <w:rsid w:val="00D63AF2"/>
    <w:rsid w:val="00D66AEE"/>
    <w:rsid w:val="00D72D1D"/>
    <w:rsid w:val="00D7687B"/>
    <w:rsid w:val="00D87535"/>
    <w:rsid w:val="00D906DE"/>
    <w:rsid w:val="00D96A08"/>
    <w:rsid w:val="00DA3C42"/>
    <w:rsid w:val="00DA6F42"/>
    <w:rsid w:val="00DB2849"/>
    <w:rsid w:val="00DB70AE"/>
    <w:rsid w:val="00DD3375"/>
    <w:rsid w:val="00DF74BC"/>
    <w:rsid w:val="00E07DDD"/>
    <w:rsid w:val="00E23901"/>
    <w:rsid w:val="00E2570F"/>
    <w:rsid w:val="00E342E5"/>
    <w:rsid w:val="00E37F6F"/>
    <w:rsid w:val="00E4628F"/>
    <w:rsid w:val="00E55191"/>
    <w:rsid w:val="00E600C5"/>
    <w:rsid w:val="00E615E8"/>
    <w:rsid w:val="00E62C39"/>
    <w:rsid w:val="00E70ABA"/>
    <w:rsid w:val="00E72BE2"/>
    <w:rsid w:val="00E75382"/>
    <w:rsid w:val="00E8480F"/>
    <w:rsid w:val="00EB0DF5"/>
    <w:rsid w:val="00EC0693"/>
    <w:rsid w:val="00EC7330"/>
    <w:rsid w:val="00ED03AD"/>
    <w:rsid w:val="00ED78EE"/>
    <w:rsid w:val="00EF470E"/>
    <w:rsid w:val="00EF4EA3"/>
    <w:rsid w:val="00EF6715"/>
    <w:rsid w:val="00F0560A"/>
    <w:rsid w:val="00F13C7E"/>
    <w:rsid w:val="00F15BF4"/>
    <w:rsid w:val="00F16626"/>
    <w:rsid w:val="00F33658"/>
    <w:rsid w:val="00F35CCE"/>
    <w:rsid w:val="00F40887"/>
    <w:rsid w:val="00F42487"/>
    <w:rsid w:val="00F56F48"/>
    <w:rsid w:val="00F73349"/>
    <w:rsid w:val="00F75A3D"/>
    <w:rsid w:val="00F772C1"/>
    <w:rsid w:val="00F858FD"/>
    <w:rsid w:val="00F868F7"/>
    <w:rsid w:val="00F94497"/>
    <w:rsid w:val="00F95B17"/>
    <w:rsid w:val="00FB693A"/>
    <w:rsid w:val="00FB72A5"/>
    <w:rsid w:val="00FC30F3"/>
    <w:rsid w:val="00FD467E"/>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938FE-CF61-49A9-BF41-2D53CE0B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9</cp:revision>
  <cp:lastPrinted>2024-12-24T02:37:00Z</cp:lastPrinted>
  <dcterms:created xsi:type="dcterms:W3CDTF">2025-01-24T06:56:00Z</dcterms:created>
  <dcterms:modified xsi:type="dcterms:W3CDTF">2025-02-11T00:56:00Z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