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B62713">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6BA10781" w:rsidR="00CA7296" w:rsidRDefault="00CA7296" w:rsidP="00CA7296">
      <w:pPr>
        <w:spacing w:line="312" w:lineRule="auto"/>
        <w:ind w:firstLine="420"/>
        <w:rPr>
          <w:rFonts w:ascii="宋体" w:hAnsi="宋体" w:cs="宋体"/>
        </w:rPr>
      </w:pPr>
      <w:r>
        <w:t>周五</w:t>
      </w:r>
      <w:r>
        <w:rPr>
          <w:rFonts w:hint="eastAsia"/>
        </w:rPr>
        <w:t>（</w:t>
      </w:r>
      <w:r w:rsidR="0036685A">
        <w:t>3</w:t>
      </w:r>
      <w:r>
        <w:rPr>
          <w:rFonts w:hint="eastAsia"/>
        </w:rPr>
        <w:t>月</w:t>
      </w:r>
      <w:r w:rsidR="0036685A">
        <w:t>7</w:t>
      </w:r>
      <w:r>
        <w:rPr>
          <w:rFonts w:hint="eastAsia"/>
        </w:rPr>
        <w:t>日）</w:t>
      </w:r>
      <w:r>
        <w:t>美元兑人民币中间价</w:t>
      </w:r>
      <w:r>
        <w:rPr>
          <w:rFonts w:ascii="宋体" w:hAnsi="宋体" w:cs="宋体"/>
        </w:rPr>
        <w:t>报</w:t>
      </w:r>
      <w:r w:rsidRPr="00076C89">
        <w:rPr>
          <w:rFonts w:ascii="宋体" w:hAnsi="宋体" w:cs="宋体"/>
        </w:rPr>
        <w:t>7.</w:t>
      </w:r>
      <w:r w:rsidR="00A71812">
        <w:rPr>
          <w:rFonts w:ascii="宋体" w:hAnsi="宋体" w:cs="宋体"/>
        </w:rPr>
        <w:t>1</w:t>
      </w:r>
      <w:r w:rsidR="006B50D4">
        <w:rPr>
          <w:rFonts w:ascii="宋体" w:hAnsi="宋体" w:cs="宋体"/>
        </w:rPr>
        <w:t>7</w:t>
      </w:r>
      <w:r w:rsidR="0036685A">
        <w:rPr>
          <w:rFonts w:ascii="宋体" w:hAnsi="宋体" w:cs="宋体"/>
        </w:rPr>
        <w:t>05</w:t>
      </w:r>
      <w:r>
        <w:rPr>
          <w:rFonts w:ascii="宋体" w:hAnsi="宋体" w:cs="宋体"/>
        </w:rPr>
        <w:t>，</w:t>
      </w:r>
      <w:r>
        <w:rPr>
          <w:rFonts w:ascii="宋体" w:hAnsi="宋体" w:cs="宋体" w:hint="eastAsia"/>
        </w:rPr>
        <w:t>调</w:t>
      </w:r>
      <w:r w:rsidR="0036685A">
        <w:rPr>
          <w:rFonts w:ascii="宋体" w:hAnsi="宋体" w:cs="宋体" w:hint="eastAsia"/>
        </w:rPr>
        <w:t>贬1</w:t>
      </w:r>
      <w:r w:rsidR="0036685A">
        <w:rPr>
          <w:rFonts w:ascii="宋体" w:hAnsi="宋体" w:cs="宋体"/>
        </w:rPr>
        <w:t>3</w:t>
      </w:r>
      <w:r>
        <w:rPr>
          <w:rFonts w:ascii="宋体" w:hAnsi="宋体" w:cs="宋体" w:hint="eastAsia"/>
        </w:rPr>
        <w:t>个基点，上周累计调</w:t>
      </w:r>
      <w:r w:rsidR="00B62713">
        <w:rPr>
          <w:rFonts w:ascii="宋体" w:hAnsi="宋体" w:cs="宋体" w:hint="eastAsia"/>
        </w:rPr>
        <w:t>升4</w:t>
      </w:r>
      <w:r w:rsidR="00B62713">
        <w:rPr>
          <w:rFonts w:ascii="宋体" w:hAnsi="宋体" w:cs="宋体"/>
        </w:rPr>
        <w:t>0</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153427">
        <w:rPr>
          <w:rFonts w:ascii="宋体" w:hAnsi="宋体" w:cs="宋体" w:hint="eastAsia"/>
        </w:rPr>
        <w:t>跌</w:t>
      </w:r>
      <w:r w:rsidR="0066318A">
        <w:rPr>
          <w:rFonts w:ascii="宋体" w:hAnsi="宋体" w:cs="宋体"/>
        </w:rPr>
        <w:t>0.</w:t>
      </w:r>
      <w:r w:rsidR="00153427">
        <w:rPr>
          <w:rFonts w:ascii="宋体" w:hAnsi="宋体" w:cs="宋体"/>
        </w:rPr>
        <w:t>72</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8A4C3C">
        <w:rPr>
          <w:rFonts w:ascii="宋体" w:hAnsi="宋体" w:cs="宋体" w:hint="eastAsia"/>
        </w:rPr>
        <w:t>跌</w:t>
      </w:r>
      <w:r w:rsidR="0066318A">
        <w:rPr>
          <w:rFonts w:ascii="宋体" w:hAnsi="宋体" w:cs="宋体" w:hint="eastAsia"/>
        </w:rPr>
        <w:t>0</w:t>
      </w:r>
      <w:r w:rsidR="0066318A">
        <w:rPr>
          <w:rFonts w:ascii="宋体" w:hAnsi="宋体" w:cs="宋体"/>
        </w:rPr>
        <w:t>.</w:t>
      </w:r>
      <w:r w:rsidR="008A4C3C">
        <w:rPr>
          <w:rFonts w:ascii="宋体" w:hAnsi="宋体" w:cs="宋体"/>
        </w:rPr>
        <w:t>7</w:t>
      </w:r>
      <w:r w:rsidR="006B50D4">
        <w:rPr>
          <w:rFonts w:ascii="宋体" w:hAnsi="宋体" w:cs="宋体"/>
        </w:rPr>
        <w:t>5</w:t>
      </w:r>
      <w:bookmarkStart w:id="0" w:name="_GoBack"/>
      <w:bookmarkEnd w:id="0"/>
      <w:r w:rsidR="00CC28AB">
        <w:rPr>
          <w:rFonts w:ascii="宋体" w:hAnsi="宋体" w:cs="宋体"/>
        </w:rPr>
        <w:t>%</w:t>
      </w:r>
      <w:r>
        <w:rPr>
          <w:rFonts w:ascii="宋体" w:hAnsi="宋体" w:cs="宋体" w:hint="eastAsia"/>
        </w:rPr>
        <w:t>。</w:t>
      </w:r>
    </w:p>
    <w:p w14:paraId="2A8620FC" w14:textId="07D00C7A"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912158">
        <w:t>382</w:t>
      </w:r>
      <w:r>
        <w:t>，</w:t>
      </w:r>
      <w:r>
        <w:rPr>
          <w:rFonts w:hint="eastAsia"/>
        </w:rPr>
        <w:t>美元兑离岸人民币收报</w:t>
      </w:r>
      <w:r>
        <w:rPr>
          <w:rFonts w:hint="eastAsia"/>
        </w:rPr>
        <w:t>7</w:t>
      </w:r>
      <w:r>
        <w:t>.</w:t>
      </w:r>
      <w:r w:rsidR="006B50D4">
        <w:t>2</w:t>
      </w:r>
      <w:r w:rsidR="00912158">
        <w:t>435</w:t>
      </w:r>
      <w:r>
        <w:rPr>
          <w:rFonts w:hint="eastAsia"/>
        </w:rPr>
        <w:t>，在当周</w:t>
      </w:r>
      <w:r>
        <w:t>分别</w:t>
      </w:r>
      <w:r w:rsidR="006B50D4">
        <w:rPr>
          <w:rFonts w:hint="eastAsia"/>
        </w:rPr>
        <w:t>下</w:t>
      </w:r>
      <w:r w:rsidR="00F76960">
        <w:rPr>
          <w:rFonts w:hint="eastAsia"/>
        </w:rPr>
        <w:t>调</w:t>
      </w:r>
      <w:r w:rsidR="00912158">
        <w:rPr>
          <w:rFonts w:hint="eastAsia"/>
        </w:rPr>
        <w:t>4</w:t>
      </w:r>
      <w:r w:rsidR="00912158">
        <w:t>56</w:t>
      </w:r>
      <w:r>
        <w:t>和</w:t>
      </w:r>
      <w:r w:rsidR="006B50D4">
        <w:rPr>
          <w:rFonts w:hint="eastAsia"/>
        </w:rPr>
        <w:t>下</w:t>
      </w:r>
      <w:r w:rsidR="0066318A">
        <w:rPr>
          <w:rFonts w:hint="eastAsia"/>
        </w:rPr>
        <w:t>调</w:t>
      </w:r>
      <w:r w:rsidR="00912158">
        <w:rPr>
          <w:rFonts w:hint="eastAsia"/>
        </w:rPr>
        <w:t>5</w:t>
      </w:r>
      <w:r w:rsidR="00912158">
        <w:t>15</w:t>
      </w:r>
      <w:r>
        <w:rPr>
          <w:rFonts w:hint="eastAsia"/>
        </w:rPr>
        <w:t>个基点</w:t>
      </w:r>
      <w:r>
        <w:t>。欧元兑人民币报</w:t>
      </w:r>
      <w:r w:rsidR="0066318A">
        <w:t>7.</w:t>
      </w:r>
      <w:r w:rsidR="00912158">
        <w:t>8598</w:t>
      </w:r>
      <w:r>
        <w:t>、英镑兑人民币报</w:t>
      </w:r>
      <w:r w:rsidR="00C66DB1">
        <w:t>9.</w:t>
      </w:r>
      <w:r w:rsidR="007B746D">
        <w:t>3563</w:t>
      </w:r>
      <w:r>
        <w:t>、</w:t>
      </w:r>
      <w:r w:rsidR="000959E1">
        <w:rPr>
          <w:rFonts w:hint="eastAsia"/>
        </w:rPr>
        <w:t>日元</w:t>
      </w:r>
      <w:r>
        <w:t>兑</w:t>
      </w:r>
      <w:r w:rsidR="000959E1">
        <w:rPr>
          <w:rFonts w:hint="eastAsia"/>
        </w:rPr>
        <w:t>人民币</w:t>
      </w:r>
      <w:r>
        <w:t>报</w:t>
      </w:r>
      <w:r w:rsidR="000959E1">
        <w:rPr>
          <w:rFonts w:hint="eastAsia"/>
        </w:rPr>
        <w:t>4</w:t>
      </w:r>
      <w:r w:rsidR="00A71812">
        <w:t>.</w:t>
      </w:r>
      <w:r w:rsidR="007B746D">
        <w:t>9142</w:t>
      </w:r>
      <w:r w:rsidR="000959E1">
        <w:rPr>
          <w:rFonts w:hint="eastAsia"/>
        </w:rPr>
        <w:t>、</w:t>
      </w:r>
      <w:r>
        <w:t>澳元兑人民币报</w:t>
      </w:r>
      <w:r>
        <w:t>4</w:t>
      </w:r>
      <w:r w:rsidR="006B50D4">
        <w:t>.5</w:t>
      </w:r>
      <w:r w:rsidR="007B746D">
        <w:t>702</w:t>
      </w:r>
      <w:r>
        <w:rPr>
          <w:rFonts w:hint="eastAsia"/>
        </w:rPr>
        <w:t>，在当</w:t>
      </w:r>
      <w:r>
        <w:t>周分别</w:t>
      </w:r>
      <w:r w:rsidR="007B746D">
        <w:rPr>
          <w:rFonts w:hint="eastAsia"/>
        </w:rPr>
        <w:t>涨</w:t>
      </w:r>
      <w:r w:rsidR="007B746D">
        <w:rPr>
          <w:rFonts w:hint="eastAsia"/>
        </w:rPr>
        <w:t>2</w:t>
      </w:r>
      <w:r w:rsidR="007B746D">
        <w:t>867</w:t>
      </w:r>
      <w:r>
        <w:t>、</w:t>
      </w:r>
      <w:r w:rsidR="007B746D">
        <w:rPr>
          <w:rFonts w:hint="eastAsia"/>
        </w:rPr>
        <w:t>涨</w:t>
      </w:r>
      <w:r w:rsidR="007B746D">
        <w:rPr>
          <w:rFonts w:hint="eastAsia"/>
        </w:rPr>
        <w:t>1</w:t>
      </w:r>
      <w:r w:rsidR="007B746D">
        <w:t>824</w:t>
      </w:r>
      <w:r>
        <w:rPr>
          <w:rFonts w:hint="eastAsia"/>
        </w:rPr>
        <w:t>、</w:t>
      </w:r>
      <w:r w:rsidR="00A71812">
        <w:rPr>
          <w:rFonts w:hint="eastAsia"/>
        </w:rPr>
        <w:t>涨</w:t>
      </w:r>
      <w:r w:rsidR="007B746D">
        <w:t>761</w:t>
      </w:r>
      <w:r>
        <w:t>和</w:t>
      </w:r>
      <w:r w:rsidR="007B746D">
        <w:rPr>
          <w:rFonts w:hint="eastAsia"/>
        </w:rPr>
        <w:t>涨</w:t>
      </w:r>
      <w:r w:rsidR="007B746D">
        <w:t>463</w:t>
      </w:r>
      <w:r>
        <w:rPr>
          <w:rFonts w:hint="eastAsia"/>
        </w:rPr>
        <w:t>个基点</w:t>
      </w:r>
      <w:r>
        <w:t>。</w:t>
      </w:r>
    </w:p>
    <w:p w14:paraId="76AC2601" w14:textId="482F2B3F" w:rsidR="00CA7296" w:rsidRDefault="00CA7296" w:rsidP="00CA7296">
      <w:pPr>
        <w:spacing w:line="312" w:lineRule="auto"/>
        <w:ind w:firstLine="420"/>
      </w:pPr>
      <w:r>
        <w:rPr>
          <w:rFonts w:hint="eastAsia"/>
        </w:rPr>
        <w:t>上周</w:t>
      </w:r>
      <w:r w:rsidR="00B64891" w:rsidRPr="00B64891">
        <w:rPr>
          <w:rFonts w:hint="eastAsia"/>
        </w:rPr>
        <w:t>央行公开市场累计进行了</w:t>
      </w:r>
      <w:r w:rsidR="0036685A" w:rsidRPr="0036685A">
        <w:rPr>
          <w:rFonts w:hint="eastAsia"/>
        </w:rPr>
        <w:t>7779</w:t>
      </w:r>
      <w:r w:rsidR="0036685A" w:rsidRPr="0036685A">
        <w:rPr>
          <w:rFonts w:hint="eastAsia"/>
        </w:rPr>
        <w:t>亿元逆回购操作，</w:t>
      </w:r>
      <w:r w:rsidR="0036685A">
        <w:rPr>
          <w:rFonts w:hint="eastAsia"/>
        </w:rPr>
        <w:t>当</w:t>
      </w:r>
      <w:r w:rsidR="0036685A" w:rsidRPr="0036685A">
        <w:rPr>
          <w:rFonts w:hint="eastAsia"/>
        </w:rPr>
        <w:t>周央行公开市场有</w:t>
      </w:r>
      <w:r w:rsidR="0036685A" w:rsidRPr="0036685A">
        <w:rPr>
          <w:rFonts w:hint="eastAsia"/>
        </w:rPr>
        <w:t>16592</w:t>
      </w:r>
      <w:r w:rsidR="0036685A" w:rsidRPr="0036685A">
        <w:rPr>
          <w:rFonts w:hint="eastAsia"/>
        </w:rPr>
        <w:t>亿元逆回购到期，因此净回笼</w:t>
      </w:r>
      <w:r w:rsidR="0036685A" w:rsidRPr="0036685A">
        <w:rPr>
          <w:rFonts w:hint="eastAsia"/>
        </w:rPr>
        <w:t>8813</w:t>
      </w:r>
      <w:r w:rsidR="0036685A" w:rsidRPr="0036685A">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72A4F225" w:rsidR="00CA7296" w:rsidRPr="00762458" w:rsidRDefault="00CA7296" w:rsidP="00CA7296">
      <w:pPr>
        <w:spacing w:line="312" w:lineRule="auto"/>
        <w:ind w:firstLine="420"/>
        <w:rPr>
          <w:rFonts w:ascii="宋体" w:hAnsi="宋体" w:hint="eastAsia"/>
        </w:rPr>
      </w:pPr>
      <w:r>
        <w:t>1</w:t>
      </w:r>
      <w:r w:rsidR="00626AF8">
        <w:rPr>
          <w:rFonts w:ascii="宋体" w:hAnsi="宋体" w:hint="eastAsia"/>
        </w:rPr>
        <w:t>、</w:t>
      </w:r>
      <w:r w:rsidR="00B62713" w:rsidRPr="00D27022">
        <w:rPr>
          <w:rFonts w:ascii="宋体" w:hAnsi="宋体" w:hint="eastAsia"/>
        </w:rPr>
        <w:t>十四届全国人大三次会议在京开幕，国务院总理李强在政府工作报告中提出，</w:t>
      </w:r>
      <w:r w:rsidR="00B62713" w:rsidRPr="00305E27">
        <w:rPr>
          <w:rFonts w:ascii="宋体" w:hAnsi="宋体" w:cs="宋体" w:hint="eastAsia"/>
        </w:rPr>
        <w:t>2025年将</w:t>
      </w:r>
      <w:r w:rsidR="00B62713">
        <w:rPr>
          <w:rFonts w:ascii="宋体" w:hAnsi="宋体" w:cs="宋体" w:hint="eastAsia"/>
        </w:rPr>
        <w:t>实施更加积极的财政政策、</w:t>
      </w:r>
      <w:r w:rsidR="00B62713" w:rsidRPr="00305E27">
        <w:rPr>
          <w:rFonts w:ascii="宋体" w:hAnsi="宋体" w:cs="宋体"/>
        </w:rPr>
        <w:t>适度宽松的货币政策，适时降准降息，更大力度促进楼市股市健康发展，保持人民币汇率在合理均衡水平上的基本稳定</w:t>
      </w:r>
      <w:r w:rsidR="00B62713" w:rsidRPr="00D27022">
        <w:rPr>
          <w:rFonts w:ascii="宋体" w:hAnsi="宋体"/>
        </w:rPr>
        <w:t>。</w:t>
      </w:r>
      <w:r w:rsidR="008A4C3C">
        <w:rPr>
          <w:rFonts w:ascii="宋体" w:hAnsi="宋体" w:hint="eastAsia"/>
        </w:rPr>
        <w:t>此外还提出，</w:t>
      </w:r>
      <w:r w:rsidR="008A4C3C" w:rsidRPr="00A245A8">
        <w:rPr>
          <w:rFonts w:ascii="宋体" w:hAnsi="宋体" w:hint="eastAsia"/>
          <w:szCs w:val="21"/>
        </w:rPr>
        <w:t>在外部关税压力下，</w:t>
      </w:r>
      <w:r w:rsidR="008A4C3C">
        <w:rPr>
          <w:rFonts w:ascii="宋体" w:hAnsi="宋体" w:hint="eastAsia"/>
          <w:szCs w:val="21"/>
        </w:rPr>
        <w:t>要</w:t>
      </w:r>
      <w:r w:rsidR="008A4C3C" w:rsidRPr="00A245A8">
        <w:rPr>
          <w:rFonts w:ascii="宋体" w:hAnsi="宋体" w:hint="eastAsia"/>
          <w:szCs w:val="21"/>
        </w:rPr>
        <w:t>平衡宽松政策与汇率稳定，预留政策空间应对不确定性</w:t>
      </w:r>
      <w:r w:rsidR="008A4C3C">
        <w:rPr>
          <w:rFonts w:ascii="宋体" w:hAnsi="宋体" w:hint="eastAsia"/>
          <w:szCs w:val="21"/>
        </w:rPr>
        <w:t>。</w:t>
      </w:r>
    </w:p>
    <w:p w14:paraId="6F1CC702" w14:textId="2236B2DE" w:rsidR="00CA7296" w:rsidRPr="00CA1C69" w:rsidRDefault="00CA7296" w:rsidP="00CA7296">
      <w:pPr>
        <w:spacing w:line="312" w:lineRule="auto"/>
        <w:ind w:firstLine="420"/>
        <w:rPr>
          <w:rFonts w:ascii="宋体" w:hAnsi="宋体"/>
        </w:rPr>
      </w:pPr>
      <w:r>
        <w:rPr>
          <w:rFonts w:hint="eastAsia"/>
        </w:rPr>
        <w:t>2</w:t>
      </w:r>
      <w:r>
        <w:rPr>
          <w:rFonts w:hint="eastAsia"/>
        </w:rPr>
        <w:t>、</w:t>
      </w:r>
      <w:r w:rsidR="00B62713" w:rsidRPr="009E3A4A">
        <w:rPr>
          <w:rFonts w:ascii="宋体" w:hAnsi="宋体" w:hint="eastAsia"/>
        </w:rPr>
        <w:t>国务院关税税则委员会公告，自</w:t>
      </w:r>
      <w:r w:rsidR="00B62713" w:rsidRPr="009E3A4A">
        <w:rPr>
          <w:rFonts w:ascii="宋体" w:hAnsi="宋体"/>
        </w:rPr>
        <w:t>3月10日起，对原产于美国的部分进口商品加征关税，对鸡肉、小麦、玉米、棉花加征15%关税，对高粱、大豆、猪肉、牛肉、水产品、水果、蔬菜、乳制品加征10%关税。</w:t>
      </w:r>
    </w:p>
    <w:p w14:paraId="7CFBDA2E" w14:textId="7194D68B"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B62713" w:rsidRPr="000D637E">
        <w:rPr>
          <w:rFonts w:ascii="宋体" w:hAnsi="宋体" w:hint="eastAsia"/>
        </w:rPr>
        <w:t>加拿大经济第一大省——安大略省政府当地时间</w:t>
      </w:r>
      <w:r w:rsidR="00B62713" w:rsidRPr="000D637E">
        <w:rPr>
          <w:rFonts w:ascii="宋体" w:hAnsi="宋体"/>
        </w:rPr>
        <w:t>3月10日宣布，即日起开始对输美电力征收25%的关税，作为对美国总统特朗普对加拿大商品征收关税的报复措施的一部分。</w:t>
      </w:r>
      <w:r w:rsidR="00B62713">
        <w:rPr>
          <w:rFonts w:ascii="宋体" w:hAnsi="宋体" w:hint="eastAsia"/>
        </w:rPr>
        <w:t>而</w:t>
      </w:r>
      <w:r w:rsidR="00B62713" w:rsidRPr="000D637E">
        <w:rPr>
          <w:rFonts w:ascii="宋体" w:hAnsi="宋体" w:hint="eastAsia"/>
        </w:rPr>
        <w:t>特朗普表示，原计划于</w:t>
      </w:r>
      <w:r w:rsidR="00B62713" w:rsidRPr="000D637E">
        <w:rPr>
          <w:rFonts w:ascii="宋体" w:hAnsi="宋体"/>
        </w:rPr>
        <w:t>4月2日对来自加拿大和墨西哥的部分商品征收的关税 “可能会增加”。将对加拿大木材和乳制品征收新的关税，其中或对乳制品征收250%的对等关税。</w:t>
      </w:r>
    </w:p>
    <w:p w14:paraId="5E26AA41" w14:textId="2D1371D2" w:rsidR="00CA7296" w:rsidRDefault="00CA7296" w:rsidP="00CA7296">
      <w:pPr>
        <w:spacing w:line="312" w:lineRule="auto"/>
        <w:ind w:firstLine="420"/>
      </w:pPr>
      <w:r>
        <w:rPr>
          <w:rFonts w:hint="eastAsia"/>
        </w:rPr>
        <w:t>4</w:t>
      </w:r>
      <w:r>
        <w:rPr>
          <w:rFonts w:hint="eastAsia"/>
        </w:rPr>
        <w:t>、</w:t>
      </w:r>
      <w:r w:rsidR="00B62713" w:rsidRPr="00503F73">
        <w:rPr>
          <w:rFonts w:ascii="宋体" w:hAnsi="宋体" w:hint="eastAsia"/>
        </w:rPr>
        <w:t>美联储理事沃勒表示，不认为有必要在三月降息；美联储仍需要更多数据来了解经济前景；可能在</w:t>
      </w:r>
      <w:r w:rsidR="00B62713" w:rsidRPr="00503F73">
        <w:rPr>
          <w:rFonts w:ascii="宋体" w:hAnsi="宋体"/>
        </w:rPr>
        <w:t>3月美联储会议之后看到降息；2025年进行两次降息的预期仍然合理。</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4FC38C50" w:rsidR="00CA7296" w:rsidRDefault="00153427"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BEAC2A4" wp14:editId="513957EC">
            <wp:extent cx="3295514" cy="1722474"/>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4026" cy="1747830"/>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14F874A3" w:rsidR="00CA7296" w:rsidRDefault="00153427" w:rsidP="00CA7296">
      <w:pPr>
        <w:spacing w:line="360" w:lineRule="auto"/>
        <w:jc w:val="center"/>
        <w:rPr>
          <w:rFonts w:ascii="宋体" w:hAnsi="宋体"/>
          <w:sz w:val="18"/>
          <w:szCs w:val="18"/>
        </w:rPr>
      </w:pPr>
      <w:r>
        <w:rPr>
          <w:noProof/>
        </w:rPr>
        <w:drawing>
          <wp:inline distT="0" distB="0" distL="0" distR="0" wp14:anchorId="1A9F4B10" wp14:editId="7E46CE97">
            <wp:extent cx="5274310" cy="2392326"/>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5423" cy="2392831"/>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DE40E03" w:rsidR="00CA7296" w:rsidRDefault="00153427" w:rsidP="00CA7296">
      <w:pPr>
        <w:spacing w:line="360" w:lineRule="auto"/>
        <w:jc w:val="center"/>
        <w:rPr>
          <w:rFonts w:ascii="宋体" w:hAnsi="宋体"/>
          <w:sz w:val="18"/>
          <w:szCs w:val="18"/>
        </w:rPr>
      </w:pPr>
      <w:r>
        <w:rPr>
          <w:noProof/>
        </w:rPr>
        <w:drawing>
          <wp:inline distT="0" distB="0" distL="0" distR="0" wp14:anchorId="50FA57D7" wp14:editId="052F6FA8">
            <wp:extent cx="4061637" cy="2304357"/>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605" cy="2313416"/>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136B1E0F" w:rsidR="00CA7296" w:rsidRDefault="00912158" w:rsidP="00CA7296">
      <w:pPr>
        <w:jc w:val="center"/>
      </w:pPr>
      <w:r>
        <w:rPr>
          <w:noProof/>
        </w:rPr>
        <w:drawing>
          <wp:inline distT="0" distB="0" distL="0" distR="0" wp14:anchorId="0F6CDD33" wp14:editId="1F2F7101">
            <wp:extent cx="5041127" cy="249618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6511" cy="250380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E716F8C" w:rsidR="00CA7296" w:rsidRDefault="00153427" w:rsidP="00CA7296">
      <w:pPr>
        <w:jc w:val="center"/>
      </w:pPr>
      <w:r>
        <w:rPr>
          <w:noProof/>
        </w:rPr>
        <w:drawing>
          <wp:inline distT="0" distB="0" distL="0" distR="0" wp14:anchorId="00D103E3" wp14:editId="512CDAA4">
            <wp:extent cx="3444949" cy="2013187"/>
            <wp:effectExtent l="0" t="0" r="31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4861" cy="2018980"/>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9CF0561" w:rsidR="00CA7296" w:rsidRDefault="00153427"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60E5B57" wp14:editId="0439A5A5">
            <wp:extent cx="4582160" cy="2200940"/>
            <wp:effectExtent l="0" t="0" r="889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1349" cy="2210157"/>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1E3D86AF" w:rsidR="004445D6" w:rsidRDefault="00912158" w:rsidP="00CA7296">
      <w:pPr>
        <w:spacing w:line="312" w:lineRule="auto"/>
        <w:ind w:firstLine="420"/>
        <w:rPr>
          <w:rFonts w:ascii="宋体" w:hAnsi="宋体" w:cs="宋体"/>
        </w:rPr>
      </w:pPr>
      <w:r w:rsidRPr="00E1539A">
        <w:rPr>
          <w:rFonts w:ascii="宋体" w:hAnsi="宋体" w:cs="宋体"/>
        </w:rPr>
        <w:t>最新</w:t>
      </w:r>
      <w:r>
        <w:rPr>
          <w:rFonts w:ascii="宋体" w:hAnsi="宋体" w:cs="宋体" w:hint="eastAsia"/>
        </w:rPr>
        <w:t>数据显示，</w:t>
      </w:r>
      <w:r w:rsidRPr="00232A2F">
        <w:rPr>
          <w:rFonts w:ascii="宋体" w:hAnsi="宋体" w:cs="宋体"/>
        </w:rPr>
        <w:t>美国1月消费者支出近两年来首次下降，同时商品贸易逆差扩大至历史新高，因企业为规避关税而提前进口商品</w:t>
      </w:r>
      <w:r>
        <w:rPr>
          <w:rFonts w:ascii="宋体" w:hAnsi="宋体" w:cs="宋体" w:hint="eastAsia"/>
        </w:rPr>
        <w:t>；同时</w:t>
      </w:r>
      <w:r w:rsidRPr="00232A2F">
        <w:rPr>
          <w:rFonts w:ascii="宋体" w:hAnsi="宋体" w:cs="宋体"/>
        </w:rPr>
        <w:t>通胀仍保持一定粘性，物价环比涨幅仍较大</w:t>
      </w:r>
      <w:r w:rsidRPr="00232A2F">
        <w:rPr>
          <w:rFonts w:ascii="宋体" w:hAnsi="宋体" w:cs="宋体" w:hint="eastAsia"/>
        </w:rPr>
        <w:t>。</w:t>
      </w:r>
      <w:r w:rsidRPr="00232A2F">
        <w:rPr>
          <w:rFonts w:ascii="宋体" w:hAnsi="宋体" w:cs="宋体"/>
        </w:rPr>
        <w:t>这些因素使美国经济在今年第一季度面临增长放缓甚至收缩的风险</w:t>
      </w:r>
      <w:r>
        <w:rPr>
          <w:rFonts w:ascii="宋体" w:hAnsi="宋体" w:cs="宋体" w:hint="eastAsia"/>
        </w:rPr>
        <w:t>；</w:t>
      </w:r>
      <w:r w:rsidRPr="00E1539A">
        <w:rPr>
          <w:rFonts w:ascii="宋体" w:hAnsi="宋体" w:cs="宋体"/>
        </w:rPr>
        <w:t>据CMEFedWatch工具显示，</w:t>
      </w:r>
      <w:r w:rsidRPr="00915609">
        <w:rPr>
          <w:rFonts w:ascii="宋体" w:hAnsi="宋体" w:cs="宋体"/>
        </w:rPr>
        <w:t>美联储在6月</w:t>
      </w:r>
      <w:r>
        <w:rPr>
          <w:rFonts w:ascii="宋体" w:hAnsi="宋体" w:cs="宋体" w:hint="eastAsia"/>
        </w:rPr>
        <w:t>降息概率</w:t>
      </w:r>
      <w:r w:rsidRPr="00915609">
        <w:rPr>
          <w:rFonts w:ascii="宋体" w:hAnsi="宋体" w:cs="宋体"/>
        </w:rPr>
        <w:t>升至</w:t>
      </w:r>
      <w:r>
        <w:rPr>
          <w:rFonts w:ascii="宋体" w:hAnsi="宋体" w:cs="宋体" w:hint="eastAsia"/>
        </w:rPr>
        <w:t>8</w:t>
      </w:r>
      <w:r>
        <w:rPr>
          <w:rFonts w:ascii="宋体" w:hAnsi="宋体" w:cs="宋体"/>
        </w:rPr>
        <w:t>6.2</w:t>
      </w:r>
      <w:r w:rsidRPr="00915609">
        <w:rPr>
          <w:rFonts w:ascii="宋体" w:hAnsi="宋体" w:cs="宋体"/>
        </w:rPr>
        <w:t>%。</w:t>
      </w:r>
      <w:r>
        <w:rPr>
          <w:rFonts w:ascii="宋体" w:hAnsi="宋体" w:cs="宋体" w:hint="eastAsia"/>
        </w:rPr>
        <w:t>近期，</w:t>
      </w:r>
      <w:r w:rsidRPr="00330B1F">
        <w:rPr>
          <w:rFonts w:ascii="宋体" w:hAnsi="宋体" w:cs="宋体"/>
          <w:szCs w:val="22"/>
        </w:rPr>
        <w:t>特朗普政府针对加拿大、墨西哥和中国等主要贸易伙伴的关税措施，增加了企业、消费者和投资者的不确定性</w:t>
      </w:r>
      <w:r>
        <w:rPr>
          <w:rFonts w:ascii="宋体" w:hAnsi="宋体" w:cs="宋体" w:hint="eastAsia"/>
        </w:rPr>
        <w:t>，</w:t>
      </w:r>
      <w:r w:rsidRPr="00330B1F">
        <w:rPr>
          <w:rFonts w:ascii="宋体" w:hAnsi="宋体" w:cs="宋体"/>
          <w:szCs w:val="22"/>
        </w:rPr>
        <w:t>加剧了投资者对经济衰退的担忧</w:t>
      </w:r>
      <w:r w:rsidRPr="00A47F82">
        <w:rPr>
          <w:rFonts w:ascii="宋体" w:hAnsi="宋体" w:cs="宋体" w:hint="eastAsia"/>
        </w:rPr>
        <w:t>，使得</w:t>
      </w:r>
      <w:r>
        <w:rPr>
          <w:rFonts w:ascii="宋体" w:hAnsi="宋体" w:cs="宋体" w:hint="eastAsia"/>
        </w:rPr>
        <w:t>美元支撑减弱，避险类资产走强。</w:t>
      </w:r>
    </w:p>
    <w:p w14:paraId="41B37BB3" w14:textId="1DD124B7" w:rsidR="0087172E" w:rsidRDefault="00CA1C69" w:rsidP="0079373C">
      <w:pPr>
        <w:spacing w:line="312" w:lineRule="auto"/>
        <w:ind w:firstLine="420"/>
        <w:rPr>
          <w:rFonts w:ascii="宋体" w:hAnsi="宋体" w:cs="宋体"/>
        </w:rPr>
      </w:pPr>
      <w:r>
        <w:rPr>
          <w:rFonts w:ascii="宋体" w:hAnsi="宋体" w:cs="宋体" w:hint="eastAsia"/>
        </w:rPr>
        <w:t>国内方面，</w:t>
      </w:r>
      <w:r w:rsidR="00912158" w:rsidRPr="00305E27">
        <w:rPr>
          <w:rFonts w:ascii="宋体" w:hAnsi="宋体" w:cs="宋体" w:hint="eastAsia"/>
        </w:rPr>
        <w:t>政府工作报告提出2025年将</w:t>
      </w:r>
      <w:r w:rsidR="00912158">
        <w:rPr>
          <w:rFonts w:ascii="宋体" w:hAnsi="宋体" w:cs="宋体" w:hint="eastAsia"/>
        </w:rPr>
        <w:t>实施更加积极的财政政策、</w:t>
      </w:r>
      <w:r w:rsidR="00912158" w:rsidRPr="00305E27">
        <w:rPr>
          <w:rFonts w:ascii="宋体" w:hAnsi="宋体" w:cs="宋体"/>
        </w:rPr>
        <w:t>适度宽松的货币政策，适时降准降息，更大力度促进楼市股市健康发展，保持人民币汇率在合理均衡水平上的基本稳定</w:t>
      </w:r>
      <w:r w:rsidR="00912158">
        <w:rPr>
          <w:rFonts w:ascii="宋体" w:hAnsi="宋体" w:cs="宋体" w:hint="eastAsia"/>
        </w:rPr>
        <w:t>，积极的宏观政策</w:t>
      </w:r>
      <w:r w:rsidR="00912158" w:rsidRPr="00E1539A">
        <w:rPr>
          <w:rFonts w:ascii="宋体" w:hAnsi="宋体" w:cs="宋体"/>
        </w:rPr>
        <w:t>为稳定人民币打下基础。但在</w:t>
      </w:r>
      <w:r w:rsidR="00912158">
        <w:rPr>
          <w:rFonts w:ascii="宋体" w:hAnsi="宋体" w:cs="宋体" w:hint="eastAsia"/>
        </w:rPr>
        <w:t>特朗普</w:t>
      </w:r>
      <w:r w:rsidR="00912158" w:rsidRPr="00E1539A">
        <w:rPr>
          <w:rFonts w:ascii="宋体" w:hAnsi="宋体" w:cs="宋体"/>
        </w:rPr>
        <w:t>关税</w:t>
      </w:r>
      <w:r w:rsidR="00912158">
        <w:rPr>
          <w:rFonts w:ascii="宋体" w:hAnsi="宋体" w:cs="宋体" w:hint="eastAsia"/>
        </w:rPr>
        <w:t>政策不确定性的背景</w:t>
      </w:r>
      <w:r w:rsidR="00912158" w:rsidRPr="00E1539A">
        <w:rPr>
          <w:rFonts w:ascii="宋体" w:hAnsi="宋体" w:cs="宋体"/>
        </w:rPr>
        <w:t>下，</w:t>
      </w:r>
      <w:r w:rsidR="00912158">
        <w:rPr>
          <w:rFonts w:ascii="宋体" w:hAnsi="宋体" w:cs="宋体" w:hint="eastAsia"/>
        </w:rPr>
        <w:t>市场担忧加剧，全球贸易端料承压，</w:t>
      </w:r>
      <w:r w:rsidR="00912158">
        <w:rPr>
          <w:rFonts w:ascii="宋体" w:hAnsi="宋体" w:cs="宋体"/>
        </w:rPr>
        <w:t>需进一步跟踪政策动态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w:t>
      </w:r>
      <w:r w:rsidR="003070DC">
        <w:rPr>
          <w:rFonts w:ascii="宋体" w:hAnsi="宋体" w:cs="宋体"/>
        </w:rPr>
        <w:t>25</w:t>
      </w:r>
      <w:r w:rsidR="00AD25D1">
        <w:rPr>
          <w:rFonts w:ascii="宋体" w:hAnsi="宋体" w:cs="宋体"/>
        </w:rPr>
        <w:t>-7.3</w:t>
      </w:r>
      <w:r w:rsidR="003070DC">
        <w:rPr>
          <w:rFonts w:ascii="宋体" w:hAnsi="宋体" w:cs="宋体"/>
        </w:rPr>
        <w:t>0</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1CF4" w14:textId="77777777" w:rsidR="00C85ECA" w:rsidRDefault="00C85ECA" w:rsidP="00127060">
      <w:r>
        <w:separator/>
      </w:r>
    </w:p>
  </w:endnote>
  <w:endnote w:type="continuationSeparator" w:id="0">
    <w:p w14:paraId="3B9D74F9" w14:textId="77777777" w:rsidR="00C85ECA" w:rsidRDefault="00C85ECA"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EAB1" w14:textId="77777777" w:rsidR="00C85ECA" w:rsidRDefault="00C85ECA" w:rsidP="00127060">
      <w:r>
        <w:separator/>
      </w:r>
    </w:p>
  </w:footnote>
  <w:footnote w:type="continuationSeparator" w:id="0">
    <w:p w14:paraId="652280EA" w14:textId="77777777" w:rsidR="00C85ECA" w:rsidRDefault="00C85ECA"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ABA"/>
    <w:rsid w:val="00015CEB"/>
    <w:rsid w:val="00016329"/>
    <w:rsid w:val="000218EC"/>
    <w:rsid w:val="00027E72"/>
    <w:rsid w:val="000301E2"/>
    <w:rsid w:val="000328C5"/>
    <w:rsid w:val="000447DD"/>
    <w:rsid w:val="00055C18"/>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0521"/>
    <w:rsid w:val="00153427"/>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603DF"/>
    <w:rsid w:val="0066318A"/>
    <w:rsid w:val="006938C5"/>
    <w:rsid w:val="006A2C2A"/>
    <w:rsid w:val="006A35D1"/>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B746D"/>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7777"/>
    <w:rsid w:val="00C85ECA"/>
    <w:rsid w:val="00CA1C69"/>
    <w:rsid w:val="00CA3BCB"/>
    <w:rsid w:val="00CA7296"/>
    <w:rsid w:val="00CB2110"/>
    <w:rsid w:val="00CB6E2B"/>
    <w:rsid w:val="00CC28AB"/>
    <w:rsid w:val="00CD3D78"/>
    <w:rsid w:val="00CD7080"/>
    <w:rsid w:val="00CD788A"/>
    <w:rsid w:val="00CE4FC7"/>
    <w:rsid w:val="00CE5ABB"/>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2849"/>
    <w:rsid w:val="00DB70AE"/>
    <w:rsid w:val="00DD3375"/>
    <w:rsid w:val="00DF74BC"/>
    <w:rsid w:val="00E07DDD"/>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F044D"/>
    <w:rsid w:val="00EF470E"/>
    <w:rsid w:val="00EF4EA3"/>
    <w:rsid w:val="00EF6715"/>
    <w:rsid w:val="00F0560A"/>
    <w:rsid w:val="00F13C7E"/>
    <w:rsid w:val="00F15BF4"/>
    <w:rsid w:val="00F16626"/>
    <w:rsid w:val="00F33658"/>
    <w:rsid w:val="00F35CCE"/>
    <w:rsid w:val="00F40887"/>
    <w:rsid w:val="00F42487"/>
    <w:rsid w:val="00F56F48"/>
    <w:rsid w:val="00F7091A"/>
    <w:rsid w:val="00F73349"/>
    <w:rsid w:val="00F75A3D"/>
    <w:rsid w:val="00F76960"/>
    <w:rsid w:val="00F772C1"/>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A1D3-EA1B-45F0-B024-01B149BE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2024-12-24T02:37:00Z</cp:lastPrinted>
  <dcterms:created xsi:type="dcterms:W3CDTF">2025-03-07T07:25:00Z</dcterms:created>
  <dcterms:modified xsi:type="dcterms:W3CDTF">2025-03-11T01:47:00Z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