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433DAC">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7C8D8217" w:rsidR="00CA7296" w:rsidRDefault="00CA7296" w:rsidP="00CA7296">
      <w:pPr>
        <w:spacing w:line="312" w:lineRule="auto"/>
        <w:ind w:firstLine="420"/>
        <w:rPr>
          <w:rFonts w:ascii="宋体" w:hAnsi="宋体" w:cs="宋体"/>
        </w:rPr>
      </w:pPr>
      <w:r>
        <w:t>周五</w:t>
      </w:r>
      <w:r>
        <w:rPr>
          <w:rFonts w:hint="eastAsia"/>
        </w:rPr>
        <w:t>（</w:t>
      </w:r>
      <w:r w:rsidR="0036685A">
        <w:t>3</w:t>
      </w:r>
      <w:r>
        <w:rPr>
          <w:rFonts w:hint="eastAsia"/>
        </w:rPr>
        <w:t>月</w:t>
      </w:r>
      <w:r w:rsidR="0015671A">
        <w:t>2</w:t>
      </w:r>
      <w:r w:rsidR="007B677E">
        <w:t>8</w:t>
      </w:r>
      <w:r>
        <w:rPr>
          <w:rFonts w:hint="eastAsia"/>
        </w:rPr>
        <w:t>日）</w:t>
      </w:r>
      <w:r>
        <w:t>美元兑人民币中间价</w:t>
      </w:r>
      <w:r>
        <w:rPr>
          <w:rFonts w:ascii="宋体" w:hAnsi="宋体" w:cs="宋体"/>
        </w:rPr>
        <w:t>报</w:t>
      </w:r>
      <w:r w:rsidRPr="00076C89">
        <w:rPr>
          <w:rFonts w:ascii="宋体" w:hAnsi="宋体" w:cs="宋体"/>
        </w:rPr>
        <w:t>7.</w:t>
      </w:r>
      <w:r w:rsidR="00433DAC">
        <w:rPr>
          <w:rFonts w:ascii="宋体" w:hAnsi="宋体" w:cs="宋体"/>
        </w:rPr>
        <w:t>1752</w:t>
      </w:r>
      <w:r>
        <w:rPr>
          <w:rFonts w:ascii="宋体" w:hAnsi="宋体" w:cs="宋体"/>
        </w:rPr>
        <w:t>，</w:t>
      </w:r>
      <w:r>
        <w:rPr>
          <w:rFonts w:ascii="宋体" w:hAnsi="宋体" w:cs="宋体" w:hint="eastAsia"/>
        </w:rPr>
        <w:t>调</w:t>
      </w:r>
      <w:r w:rsidR="00433DAC">
        <w:rPr>
          <w:rFonts w:ascii="宋体" w:hAnsi="宋体" w:cs="宋体" w:hint="eastAsia"/>
        </w:rPr>
        <w:t>升1</w:t>
      </w:r>
      <w:r w:rsidR="00433DAC">
        <w:rPr>
          <w:rFonts w:ascii="宋体" w:hAnsi="宋体" w:cs="宋体"/>
        </w:rPr>
        <w:t>1</w:t>
      </w:r>
      <w:r>
        <w:rPr>
          <w:rFonts w:ascii="宋体" w:hAnsi="宋体" w:cs="宋体" w:hint="eastAsia"/>
        </w:rPr>
        <w:t>个基点，上周累计调</w:t>
      </w:r>
      <w:r w:rsidR="00433DAC">
        <w:rPr>
          <w:rFonts w:ascii="宋体" w:hAnsi="宋体" w:cs="宋体" w:hint="eastAsia"/>
        </w:rPr>
        <w:t>升2</w:t>
      </w:r>
      <w:r w:rsidR="00433DAC">
        <w:rPr>
          <w:rFonts w:ascii="宋体" w:hAnsi="宋体" w:cs="宋体"/>
        </w:rPr>
        <w:t>8</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05615C">
        <w:rPr>
          <w:rFonts w:ascii="宋体" w:hAnsi="宋体" w:cs="宋体" w:hint="eastAsia"/>
        </w:rPr>
        <w:t>涨0</w:t>
      </w:r>
      <w:r w:rsidR="0005615C">
        <w:rPr>
          <w:rFonts w:ascii="宋体" w:hAnsi="宋体" w:cs="宋体"/>
        </w:rPr>
        <w:t>.</w:t>
      </w:r>
      <w:r w:rsidR="00EE0ABC">
        <w:rPr>
          <w:rFonts w:ascii="宋体" w:hAnsi="宋体" w:cs="宋体"/>
        </w:rPr>
        <w:t>28</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05615C">
        <w:rPr>
          <w:rFonts w:ascii="宋体" w:hAnsi="宋体" w:cs="宋体" w:hint="eastAsia"/>
        </w:rPr>
        <w:t>涨0</w:t>
      </w:r>
      <w:r w:rsidR="0005615C">
        <w:rPr>
          <w:rFonts w:ascii="宋体" w:hAnsi="宋体" w:cs="宋体"/>
        </w:rPr>
        <w:t>.</w:t>
      </w:r>
      <w:r w:rsidR="00EE0ABC">
        <w:rPr>
          <w:rFonts w:ascii="宋体" w:hAnsi="宋体" w:cs="宋体"/>
        </w:rPr>
        <w:t>25</w:t>
      </w:r>
      <w:r w:rsidR="00CC28AB">
        <w:rPr>
          <w:rFonts w:ascii="宋体" w:hAnsi="宋体" w:cs="宋体"/>
        </w:rPr>
        <w:t>%</w:t>
      </w:r>
      <w:r>
        <w:rPr>
          <w:rFonts w:ascii="宋体" w:hAnsi="宋体" w:cs="宋体" w:hint="eastAsia"/>
        </w:rPr>
        <w:t>。</w:t>
      </w:r>
    </w:p>
    <w:p w14:paraId="2A8620FC" w14:textId="0B7C6CD2"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EE0ABC">
        <w:t>637</w:t>
      </w:r>
      <w:r>
        <w:t>，</w:t>
      </w:r>
      <w:r>
        <w:rPr>
          <w:rFonts w:hint="eastAsia"/>
        </w:rPr>
        <w:t>美元兑离岸人民币收报</w:t>
      </w:r>
      <w:r>
        <w:rPr>
          <w:rFonts w:hint="eastAsia"/>
        </w:rPr>
        <w:t>7</w:t>
      </w:r>
      <w:r>
        <w:t>.</w:t>
      </w:r>
      <w:r w:rsidR="006B50D4">
        <w:t>2</w:t>
      </w:r>
      <w:r w:rsidR="00EE0ABC">
        <w:t>697</w:t>
      </w:r>
      <w:r>
        <w:rPr>
          <w:rFonts w:hint="eastAsia"/>
        </w:rPr>
        <w:t>，在当周</w:t>
      </w:r>
      <w:r>
        <w:t>分别</w:t>
      </w:r>
      <w:r w:rsidR="00007BCC">
        <w:rPr>
          <w:rFonts w:hint="eastAsia"/>
        </w:rPr>
        <w:t>上</w:t>
      </w:r>
      <w:r w:rsidR="00F76960">
        <w:rPr>
          <w:rFonts w:hint="eastAsia"/>
        </w:rPr>
        <w:t>调</w:t>
      </w:r>
      <w:r w:rsidR="00EE0ABC">
        <w:t>148</w:t>
      </w:r>
      <w:r>
        <w:t>和</w:t>
      </w:r>
      <w:r w:rsidR="00007BCC">
        <w:rPr>
          <w:rFonts w:hint="eastAsia"/>
        </w:rPr>
        <w:t>上</w:t>
      </w:r>
      <w:r w:rsidR="0066318A">
        <w:rPr>
          <w:rFonts w:hint="eastAsia"/>
        </w:rPr>
        <w:t>调</w:t>
      </w:r>
      <w:r w:rsidR="00EE0ABC">
        <w:t>180</w:t>
      </w:r>
      <w:r>
        <w:rPr>
          <w:rFonts w:hint="eastAsia"/>
        </w:rPr>
        <w:t>个基点</w:t>
      </w:r>
      <w:r>
        <w:t>。欧元兑人民币报</w:t>
      </w:r>
      <w:r w:rsidR="0066318A">
        <w:t>7.</w:t>
      </w:r>
      <w:r w:rsidR="00912158">
        <w:t>8</w:t>
      </w:r>
      <w:r w:rsidR="00EE0ABC">
        <w:t>611</w:t>
      </w:r>
      <w:r>
        <w:t>、英镑兑人民币报</w:t>
      </w:r>
      <w:r w:rsidR="00C66DB1">
        <w:t>9.</w:t>
      </w:r>
      <w:r w:rsidR="00EE0ABC">
        <w:t>4121</w:t>
      </w:r>
      <w:r>
        <w:t>、</w:t>
      </w:r>
      <w:r w:rsidR="000959E1">
        <w:rPr>
          <w:rFonts w:hint="eastAsia"/>
        </w:rPr>
        <w:t>日元</w:t>
      </w:r>
      <w:r>
        <w:t>兑</w:t>
      </w:r>
      <w:r w:rsidR="000959E1">
        <w:rPr>
          <w:rFonts w:hint="eastAsia"/>
        </w:rPr>
        <w:t>人民币</w:t>
      </w:r>
      <w:r>
        <w:t>报</w:t>
      </w:r>
      <w:r w:rsidR="000959E1">
        <w:rPr>
          <w:rFonts w:hint="eastAsia"/>
        </w:rPr>
        <w:t>4</w:t>
      </w:r>
      <w:r w:rsidR="00A71812">
        <w:t>.</w:t>
      </w:r>
      <w:r w:rsidR="00EE0ABC">
        <w:t>8234</w:t>
      </w:r>
      <w:r w:rsidR="000959E1">
        <w:rPr>
          <w:rFonts w:hint="eastAsia"/>
        </w:rPr>
        <w:t>、</w:t>
      </w:r>
      <w:r>
        <w:t>澳元兑人民币报</w:t>
      </w:r>
      <w:r>
        <w:t>4</w:t>
      </w:r>
      <w:r w:rsidR="006B50D4">
        <w:t>.5</w:t>
      </w:r>
      <w:r w:rsidR="00EE0ABC">
        <w:t>725</w:t>
      </w:r>
      <w:r>
        <w:rPr>
          <w:rFonts w:hint="eastAsia"/>
        </w:rPr>
        <w:t>，在当</w:t>
      </w:r>
      <w:r>
        <w:t>周分别</w:t>
      </w:r>
      <w:r w:rsidR="00EE0ABC">
        <w:rPr>
          <w:rFonts w:hint="eastAsia"/>
        </w:rPr>
        <w:t>涨</w:t>
      </w:r>
      <w:r w:rsidR="00EE0ABC">
        <w:rPr>
          <w:rFonts w:hint="eastAsia"/>
        </w:rPr>
        <w:t>1</w:t>
      </w:r>
      <w:r w:rsidR="00EE0ABC">
        <w:t>49</w:t>
      </w:r>
      <w:r>
        <w:t>、</w:t>
      </w:r>
      <w:r w:rsidR="00E136F7">
        <w:rPr>
          <w:rFonts w:hint="eastAsia"/>
        </w:rPr>
        <w:t>涨</w:t>
      </w:r>
      <w:r w:rsidR="00EE0ABC">
        <w:t>287</w:t>
      </w:r>
      <w:r>
        <w:rPr>
          <w:rFonts w:hint="eastAsia"/>
        </w:rPr>
        <w:t>、</w:t>
      </w:r>
      <w:r w:rsidR="0005615C">
        <w:rPr>
          <w:rFonts w:hint="eastAsia"/>
        </w:rPr>
        <w:t>跌</w:t>
      </w:r>
      <w:r w:rsidR="00EE0ABC">
        <w:rPr>
          <w:rFonts w:hint="eastAsia"/>
        </w:rPr>
        <w:t>2</w:t>
      </w:r>
      <w:r w:rsidR="00EE0ABC">
        <w:t>90</w:t>
      </w:r>
      <w:r>
        <w:t>和</w:t>
      </w:r>
      <w:r w:rsidR="00EE0ABC">
        <w:rPr>
          <w:rFonts w:hint="eastAsia"/>
        </w:rPr>
        <w:t>涨</w:t>
      </w:r>
      <w:r w:rsidR="00EE0ABC">
        <w:rPr>
          <w:rFonts w:hint="eastAsia"/>
        </w:rPr>
        <w:t>2</w:t>
      </w:r>
      <w:r w:rsidR="00EE0ABC">
        <w:t>31</w:t>
      </w:r>
      <w:r>
        <w:rPr>
          <w:rFonts w:hint="eastAsia"/>
        </w:rPr>
        <w:t>个基点</w:t>
      </w:r>
      <w:r>
        <w:t>。</w:t>
      </w:r>
    </w:p>
    <w:p w14:paraId="76AC2601" w14:textId="72176122" w:rsidR="00CA7296" w:rsidRDefault="00CA7296" w:rsidP="00CA7296">
      <w:pPr>
        <w:spacing w:line="312" w:lineRule="auto"/>
        <w:ind w:firstLine="420"/>
      </w:pPr>
      <w:r>
        <w:rPr>
          <w:rFonts w:hint="eastAsia"/>
        </w:rPr>
        <w:t>上周</w:t>
      </w:r>
      <w:r w:rsidR="007B677E" w:rsidRPr="007B677E">
        <w:rPr>
          <w:rFonts w:hint="eastAsia"/>
        </w:rPr>
        <w:t>央行公开市场累计进行了</w:t>
      </w:r>
      <w:r w:rsidR="007B677E" w:rsidRPr="007B677E">
        <w:rPr>
          <w:rFonts w:hint="eastAsia"/>
        </w:rPr>
        <w:t>17153</w:t>
      </w:r>
      <w:r w:rsidR="007B677E" w:rsidRPr="007B677E">
        <w:rPr>
          <w:rFonts w:hint="eastAsia"/>
        </w:rPr>
        <w:t>亿元逆回购操作，</w:t>
      </w:r>
      <w:r w:rsidR="007B677E">
        <w:rPr>
          <w:rFonts w:hint="eastAsia"/>
        </w:rPr>
        <w:t>当</w:t>
      </w:r>
      <w:r w:rsidR="007B677E" w:rsidRPr="007B677E">
        <w:rPr>
          <w:rFonts w:hint="eastAsia"/>
        </w:rPr>
        <w:t>周央行公开市场有</w:t>
      </w:r>
      <w:r w:rsidR="007B677E" w:rsidRPr="007B677E">
        <w:rPr>
          <w:rFonts w:hint="eastAsia"/>
        </w:rPr>
        <w:t>14117</w:t>
      </w:r>
      <w:r w:rsidR="007B677E" w:rsidRPr="007B677E">
        <w:rPr>
          <w:rFonts w:hint="eastAsia"/>
        </w:rPr>
        <w:t>亿元逆回购到期，因此净投放</w:t>
      </w:r>
      <w:r w:rsidR="007B677E" w:rsidRPr="007B677E">
        <w:rPr>
          <w:rFonts w:hint="eastAsia"/>
        </w:rPr>
        <w:t>3036</w:t>
      </w:r>
      <w:r w:rsidR="007B677E" w:rsidRPr="007B677E">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5951D1F3" w:rsidR="00CA7296" w:rsidRPr="00762458" w:rsidRDefault="00CA7296" w:rsidP="00CA7296">
      <w:pPr>
        <w:spacing w:line="312" w:lineRule="auto"/>
        <w:ind w:firstLine="420"/>
        <w:rPr>
          <w:rFonts w:ascii="宋体" w:hAnsi="宋体"/>
        </w:rPr>
      </w:pPr>
      <w:r>
        <w:t>1</w:t>
      </w:r>
      <w:r w:rsidR="00626AF8">
        <w:rPr>
          <w:rFonts w:ascii="宋体" w:hAnsi="宋体" w:hint="eastAsia"/>
        </w:rPr>
        <w:t>、</w:t>
      </w:r>
      <w:r w:rsidR="00785749" w:rsidRPr="004E0B20">
        <w:rPr>
          <w:rFonts w:ascii="宋体" w:hAnsi="宋体" w:hint="eastAsia"/>
        </w:rPr>
        <w:t>《求是》杂志发表习近平总书记重要文章《朝着建成科技强国的宏伟目标奋勇前进》。文章指出，必须充分认识科技的战略先导地位和根本支撑作用，锚定</w:t>
      </w:r>
      <w:r w:rsidR="00785749" w:rsidRPr="004E0B20">
        <w:rPr>
          <w:rFonts w:ascii="宋体" w:hAnsi="宋体"/>
        </w:rPr>
        <w:t>2035年建成科技强国的战略目标，加强顶层设计和统筹谋划，加快实现高水平科技自立自强。</w:t>
      </w:r>
    </w:p>
    <w:p w14:paraId="3316BE34" w14:textId="6ABFAA99" w:rsidR="00785749" w:rsidRDefault="00CA7296" w:rsidP="00785749">
      <w:pPr>
        <w:ind w:firstLine="420"/>
        <w:rPr>
          <w:rFonts w:ascii="宋体" w:hAnsi="宋体"/>
        </w:rPr>
      </w:pPr>
      <w:r>
        <w:rPr>
          <w:rFonts w:hint="eastAsia"/>
        </w:rPr>
        <w:t>2</w:t>
      </w:r>
      <w:r>
        <w:rPr>
          <w:rFonts w:hint="eastAsia"/>
        </w:rPr>
        <w:t>、</w:t>
      </w:r>
      <w:r w:rsidR="00785749" w:rsidRPr="00CD307F">
        <w:rPr>
          <w:rFonts w:ascii="宋体" w:hAnsi="宋体" w:hint="eastAsia"/>
        </w:rPr>
        <w:t>央行副行长宣昌能表示，当前，国内外环境正在进行深刻变化，全球供应链不断受到影响。中国国内经济结构也在不断调整。在不确定性加大的背景下，中国明确适度宽松的货币政策，将根据国内外经济金融形势，择机降准降息。</w:t>
      </w:r>
    </w:p>
    <w:p w14:paraId="7CFBDA2E" w14:textId="127C349E"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785749" w:rsidRPr="00381EFE">
        <w:rPr>
          <w:rFonts w:ascii="宋体" w:hAnsi="宋体" w:hint="eastAsia"/>
        </w:rPr>
        <w:t>美国总统特朗普表示，将对所有未在美国制造的汽车征收</w:t>
      </w:r>
      <w:r w:rsidR="00785749" w:rsidRPr="00381EFE">
        <w:rPr>
          <w:rFonts w:ascii="宋体" w:hAnsi="宋体"/>
        </w:rPr>
        <w:t>25%的关税；将对制药行业和木材征收关税。25%的关税是在现有关税（目前汽车关税通常为2.5%）的基础上征收的。如果零部件是在美国生产的而整车不是，那么这些零部件将不受关税影响。汽车关税将于4月2日生效，将于4月3日开始征收。在许多情况下，征收的关税低于（其他国家）对美国的关税；汽车关税将是永久性的。</w:t>
      </w:r>
    </w:p>
    <w:p w14:paraId="5E26AA41" w14:textId="2B35B8B4" w:rsidR="00CA7296" w:rsidRDefault="00CA7296" w:rsidP="00CA7296">
      <w:pPr>
        <w:spacing w:line="312" w:lineRule="auto"/>
        <w:ind w:firstLine="420"/>
      </w:pPr>
      <w:r>
        <w:rPr>
          <w:rFonts w:hint="eastAsia"/>
        </w:rPr>
        <w:t>4</w:t>
      </w:r>
      <w:r>
        <w:rPr>
          <w:rFonts w:hint="eastAsia"/>
        </w:rPr>
        <w:t>、</w:t>
      </w:r>
      <w:r w:rsidR="00785749" w:rsidRPr="004E0B20">
        <w:rPr>
          <w:rFonts w:ascii="宋体" w:hAnsi="宋体" w:hint="eastAsia"/>
        </w:rPr>
        <w:t>美联储威廉姆斯表示，关税的全面影响可能会在很长一段时间内逐步显现；需要关注数据以衡量关税的影响。货币政策的定位一直非常恰当；美联储当前的政策水平处于有利地位；预计经济将继续增长，但增速将低于去年。</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0CEFEDDE" w:rsidR="00CA7296" w:rsidRDefault="00433DAC"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B852221" wp14:editId="44F6016A">
            <wp:extent cx="3444793" cy="1786270"/>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3565" cy="1801189"/>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48FA7DB1" w:rsidR="00CA7296" w:rsidRDefault="00433DAC" w:rsidP="00CA7296">
      <w:pPr>
        <w:spacing w:line="360" w:lineRule="auto"/>
        <w:jc w:val="center"/>
        <w:rPr>
          <w:rFonts w:ascii="宋体" w:hAnsi="宋体"/>
          <w:sz w:val="18"/>
          <w:szCs w:val="18"/>
        </w:rPr>
      </w:pPr>
      <w:r>
        <w:rPr>
          <w:noProof/>
        </w:rPr>
        <w:drawing>
          <wp:inline distT="0" distB="0" distL="0" distR="0" wp14:anchorId="4CB4C8EA" wp14:editId="63AF61E6">
            <wp:extent cx="4635796" cy="25562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3035" cy="2571238"/>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706CE648" w:rsidR="00CA7296" w:rsidRDefault="00433DAC" w:rsidP="00CA7296">
      <w:pPr>
        <w:spacing w:line="360" w:lineRule="auto"/>
        <w:jc w:val="center"/>
        <w:rPr>
          <w:rFonts w:ascii="宋体" w:hAnsi="宋体"/>
          <w:sz w:val="18"/>
          <w:szCs w:val="18"/>
        </w:rPr>
      </w:pPr>
      <w:r>
        <w:rPr>
          <w:noProof/>
        </w:rPr>
        <w:drawing>
          <wp:inline distT="0" distB="0" distL="0" distR="0" wp14:anchorId="1CCB48B3" wp14:editId="01B813B7">
            <wp:extent cx="4060919" cy="2147777"/>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1898" cy="2153584"/>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1B6C4238" w:rsidR="00CA7296" w:rsidRDefault="007D3E5A" w:rsidP="00CA7296">
      <w:pPr>
        <w:jc w:val="center"/>
      </w:pPr>
      <w:r>
        <w:rPr>
          <w:noProof/>
        </w:rPr>
        <w:drawing>
          <wp:inline distT="0" distB="0" distL="0" distR="0" wp14:anchorId="233516EB" wp14:editId="5B124965">
            <wp:extent cx="4529470" cy="2500316"/>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5115" cy="250895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8F46068" w:rsidR="00CA7296" w:rsidRDefault="007D3E5A" w:rsidP="00CA7296">
      <w:pPr>
        <w:jc w:val="center"/>
      </w:pPr>
      <w:r>
        <w:rPr>
          <w:noProof/>
        </w:rPr>
        <w:drawing>
          <wp:inline distT="0" distB="0" distL="0" distR="0" wp14:anchorId="722333BF" wp14:editId="19AA4A2F">
            <wp:extent cx="3838353" cy="225118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6841" cy="2262029"/>
                    </a:xfrm>
                    <a:prstGeom prst="rect">
                      <a:avLst/>
                    </a:prstGeom>
                  </pic:spPr>
                </pic:pic>
              </a:graphicData>
            </a:graphic>
          </wp:inline>
        </w:drawing>
      </w:r>
      <w:bookmarkStart w:id="0" w:name="_GoBack"/>
      <w:bookmarkEnd w:id="0"/>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95B29FC" w:rsidR="00CA7296" w:rsidRDefault="00433DAC"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966A826" wp14:editId="274025D0">
            <wp:extent cx="4635796" cy="2315107"/>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49143" cy="2321773"/>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12AA4009" w:rsidR="004445D6" w:rsidRDefault="00433DAC" w:rsidP="00CA7296">
      <w:pPr>
        <w:spacing w:line="312" w:lineRule="auto"/>
        <w:ind w:firstLine="420"/>
        <w:rPr>
          <w:rFonts w:ascii="宋体" w:hAnsi="宋体" w:cs="宋体"/>
        </w:rPr>
      </w:pPr>
      <w:r w:rsidRPr="00E1539A">
        <w:rPr>
          <w:rFonts w:ascii="宋体" w:hAnsi="宋体" w:cs="宋体"/>
        </w:rPr>
        <w:t>最新</w:t>
      </w:r>
      <w:r>
        <w:rPr>
          <w:rFonts w:ascii="宋体" w:hAnsi="宋体" w:cs="宋体" w:hint="eastAsia"/>
        </w:rPr>
        <w:t>数据显示，</w:t>
      </w:r>
      <w:r w:rsidRPr="004E1F87">
        <w:rPr>
          <w:rFonts w:ascii="宋体" w:hAnsi="宋体" w:cs="宋体" w:hint="eastAsia"/>
        </w:rPr>
        <w:t>美国2月核心PCE物价指数同比上涨2.8%，超过预期的2.7%和前值2.6%；环比则上涨0.4%，超出预期和前值0.3%，创2024年1月以来新高。数据引发市场对顽固通胀以及潜在滞胀的担忧，对美联储7月降息预期升温。此外，特朗普称，他将“很快”宣布药品关税，</w:t>
      </w:r>
      <w:r w:rsidRPr="00FF7F92">
        <w:rPr>
          <w:rFonts w:ascii="宋体" w:hAnsi="宋体" w:cs="宋体"/>
        </w:rPr>
        <w:t>贸易战全面升级</w:t>
      </w:r>
      <w:r>
        <w:rPr>
          <w:rFonts w:ascii="宋体" w:hAnsi="宋体" w:cs="宋体" w:hint="eastAsia"/>
        </w:rPr>
        <w:t>再度</w:t>
      </w:r>
      <w:r w:rsidRPr="00330B1F">
        <w:rPr>
          <w:rFonts w:ascii="宋体" w:hAnsi="宋体" w:cs="宋体"/>
        </w:rPr>
        <w:t>加剧了投资者对经济衰退的担忧</w:t>
      </w:r>
      <w:r w:rsidRPr="00A47F82">
        <w:rPr>
          <w:rFonts w:ascii="宋体" w:hAnsi="宋体" w:cs="宋体" w:hint="eastAsia"/>
        </w:rPr>
        <w:t>，使得</w:t>
      </w:r>
      <w:r>
        <w:rPr>
          <w:rFonts w:ascii="宋体" w:hAnsi="宋体" w:cs="宋体" w:hint="eastAsia"/>
        </w:rPr>
        <w:t>避险类资产走强。</w:t>
      </w:r>
    </w:p>
    <w:p w14:paraId="41B37BB3" w14:textId="6C0C6836" w:rsidR="0087172E" w:rsidRDefault="00CA1C69" w:rsidP="0079373C">
      <w:pPr>
        <w:spacing w:line="312" w:lineRule="auto"/>
        <w:ind w:firstLine="420"/>
        <w:rPr>
          <w:rFonts w:ascii="宋体" w:hAnsi="宋体" w:cs="宋体"/>
        </w:rPr>
      </w:pPr>
      <w:r>
        <w:rPr>
          <w:rFonts w:ascii="宋体" w:hAnsi="宋体" w:cs="宋体" w:hint="eastAsia"/>
        </w:rPr>
        <w:t>国内方面，</w:t>
      </w:r>
      <w:r w:rsidR="0097639B">
        <w:rPr>
          <w:rFonts w:ascii="宋体" w:hAnsi="宋体" w:cs="宋体" w:hint="eastAsia"/>
        </w:rPr>
        <w:t>一季度央行货币政策例会</w:t>
      </w:r>
      <w:r w:rsidR="0097639B" w:rsidRPr="001A1694">
        <w:rPr>
          <w:rFonts w:ascii="宋体" w:hAnsi="宋体" w:hint="eastAsia"/>
        </w:rPr>
        <w:t>建议加大货币政策调控强度，提高货币政策调控前瞻性、针对性、有效性，择机降准降息</w:t>
      </w:r>
      <w:r w:rsidR="0097639B">
        <w:rPr>
          <w:rFonts w:ascii="宋体" w:hAnsi="宋体" w:hint="eastAsia"/>
        </w:rPr>
        <w:t>，这与此前政府工作报告基调一致，</w:t>
      </w:r>
      <w:r w:rsidR="0097639B">
        <w:rPr>
          <w:rFonts w:ascii="宋体" w:hAnsi="宋体" w:cs="宋体" w:hint="eastAsia"/>
        </w:rPr>
        <w:t>更加积极的宏观政策</w:t>
      </w:r>
      <w:r w:rsidR="00912158" w:rsidRPr="00E1539A">
        <w:rPr>
          <w:rFonts w:ascii="宋体" w:hAnsi="宋体" w:cs="宋体"/>
        </w:rPr>
        <w:t>为稳定人民币打下基础。</w:t>
      </w:r>
      <w:r w:rsidR="00CF5574">
        <w:rPr>
          <w:rFonts w:ascii="宋体" w:hAnsi="宋体" w:cs="宋体" w:hint="eastAsia"/>
        </w:rPr>
        <w:t>此外，</w:t>
      </w:r>
      <w:r w:rsidR="00785749">
        <w:rPr>
          <w:rFonts w:ascii="宋体" w:hAnsi="宋体" w:cs="宋体"/>
        </w:rPr>
        <w:t>3</w:t>
      </w:r>
      <w:r w:rsidR="00785749">
        <w:rPr>
          <w:rFonts w:ascii="宋体" w:hAnsi="宋体" w:cs="宋体" w:hint="eastAsia"/>
        </w:rPr>
        <w:t>月我国制造业P</w:t>
      </w:r>
      <w:r w:rsidR="00785749">
        <w:rPr>
          <w:rFonts w:ascii="宋体" w:hAnsi="宋体" w:cs="宋体"/>
        </w:rPr>
        <w:t>MI</w:t>
      </w:r>
      <w:r w:rsidR="00785749">
        <w:rPr>
          <w:rFonts w:ascii="宋体" w:hAnsi="宋体" w:cs="宋体" w:hint="eastAsia"/>
        </w:rPr>
        <w:t>录得5</w:t>
      </w:r>
      <w:r w:rsidR="00785749">
        <w:rPr>
          <w:rFonts w:ascii="宋体" w:hAnsi="宋体" w:cs="宋体"/>
        </w:rPr>
        <w:t>0.5</w:t>
      </w:r>
      <w:r w:rsidR="00785749">
        <w:rPr>
          <w:rFonts w:ascii="宋体" w:hAnsi="宋体" w:cs="宋体" w:hint="eastAsia"/>
        </w:rPr>
        <w:t>，</w:t>
      </w:r>
      <w:r w:rsidR="0093171E">
        <w:rPr>
          <w:rFonts w:ascii="宋体" w:hAnsi="宋体" w:cs="宋体" w:hint="eastAsia"/>
        </w:rPr>
        <w:t>延续回升趋势，</w:t>
      </w:r>
      <w:r w:rsidR="0093171E" w:rsidRPr="00CD4887">
        <w:rPr>
          <w:rFonts w:ascii="宋体" w:hAnsi="宋体" w:hint="eastAsia"/>
          <w:color w:val="000000"/>
          <w:shd w:val="clear" w:color="auto" w:fill="FFFFFF"/>
        </w:rPr>
        <w:t>生产活动进一步加快，产能持续优化，需求端也得到改善</w:t>
      </w:r>
      <w:r w:rsidR="0093171E">
        <w:rPr>
          <w:rFonts w:ascii="宋体" w:hAnsi="宋体" w:hint="eastAsia"/>
          <w:color w:val="000000"/>
          <w:shd w:val="clear" w:color="auto" w:fill="FFFFFF"/>
        </w:rPr>
        <w:t>，支撑</w:t>
      </w:r>
      <w:r w:rsidR="00215D99">
        <w:rPr>
          <w:rFonts w:ascii="宋体" w:hAnsi="宋体" w:cs="宋体" w:hint="eastAsia"/>
        </w:rPr>
        <w:t>稳汇率</w:t>
      </w:r>
      <w:r w:rsidR="0093171E">
        <w:rPr>
          <w:rFonts w:ascii="宋体" w:hAnsi="宋体" w:cs="宋体" w:hint="eastAsia"/>
        </w:rPr>
        <w:t>目标实现</w:t>
      </w:r>
      <w:r w:rsidR="00215D99" w:rsidRPr="00215D99">
        <w:rPr>
          <w:rFonts w:ascii="宋体" w:hAnsi="宋体" w:cs="宋体" w:hint="eastAsia"/>
        </w:rPr>
        <w:t>。</w:t>
      </w:r>
      <w:r w:rsidR="00912158" w:rsidRPr="00E1539A">
        <w:rPr>
          <w:rFonts w:ascii="宋体" w:hAnsi="宋体" w:cs="宋体"/>
        </w:rPr>
        <w:t>但在</w:t>
      </w:r>
      <w:r w:rsidR="00912158">
        <w:rPr>
          <w:rFonts w:ascii="宋体" w:hAnsi="宋体" w:cs="宋体" w:hint="eastAsia"/>
        </w:rPr>
        <w:t>特朗普</w:t>
      </w:r>
      <w:r w:rsidR="00912158" w:rsidRPr="00E1539A">
        <w:rPr>
          <w:rFonts w:ascii="宋体" w:hAnsi="宋体" w:cs="宋体"/>
        </w:rPr>
        <w:t>关税</w:t>
      </w:r>
      <w:r w:rsidR="00912158">
        <w:rPr>
          <w:rFonts w:ascii="宋体" w:hAnsi="宋体" w:cs="宋体" w:hint="eastAsia"/>
        </w:rPr>
        <w:t>政策</w:t>
      </w:r>
      <w:r w:rsidR="00B6015F">
        <w:rPr>
          <w:rFonts w:ascii="宋体" w:hAnsi="宋体" w:cs="宋体" w:hint="eastAsia"/>
        </w:rPr>
        <w:t>频频发布以及不确定性较大</w:t>
      </w:r>
      <w:r w:rsidR="00912158">
        <w:rPr>
          <w:rFonts w:ascii="宋体" w:hAnsi="宋体" w:cs="宋体" w:hint="eastAsia"/>
        </w:rPr>
        <w:t>的背景</w:t>
      </w:r>
      <w:r w:rsidR="00912158" w:rsidRPr="00E1539A">
        <w:rPr>
          <w:rFonts w:ascii="宋体" w:hAnsi="宋体" w:cs="宋体"/>
        </w:rPr>
        <w:t>下，</w:t>
      </w:r>
      <w:r w:rsidR="00912158">
        <w:rPr>
          <w:rFonts w:ascii="宋体" w:hAnsi="宋体" w:cs="宋体" w:hint="eastAsia"/>
        </w:rPr>
        <w:t>市场担忧加剧，全球贸易端料承压，</w:t>
      </w:r>
      <w:r w:rsidR="00912158">
        <w:rPr>
          <w:rFonts w:ascii="宋体" w:hAnsi="宋体" w:cs="宋体"/>
        </w:rPr>
        <w:t>需进一步跟踪政策动态</w:t>
      </w:r>
      <w:r w:rsidR="00127060" w:rsidRPr="00A92E8E">
        <w:rPr>
          <w:rFonts w:ascii="宋体" w:hAnsi="宋体" w:cs="宋体" w:hint="eastAsia"/>
        </w:rPr>
        <w:t>，预计美元</w:t>
      </w:r>
      <w:r w:rsidR="0097639B">
        <w:rPr>
          <w:rFonts w:ascii="宋体" w:hAnsi="宋体" w:cs="宋体" w:hint="eastAsia"/>
        </w:rPr>
        <w:t>兑</w:t>
      </w:r>
      <w:r w:rsidR="00127060" w:rsidRPr="00A92E8E">
        <w:rPr>
          <w:rFonts w:ascii="宋体" w:hAnsi="宋体" w:cs="宋体" w:hint="eastAsia"/>
        </w:rPr>
        <w:t>人民币</w:t>
      </w:r>
      <w:r w:rsidR="00055C18">
        <w:rPr>
          <w:rFonts w:ascii="宋体" w:hAnsi="宋体" w:cs="宋体" w:hint="eastAsia"/>
        </w:rPr>
        <w:t>于7</w:t>
      </w:r>
      <w:r w:rsidR="00055C18">
        <w:rPr>
          <w:rFonts w:ascii="宋体" w:hAnsi="宋体" w:cs="宋体"/>
        </w:rPr>
        <w:t>.</w:t>
      </w:r>
      <w:r w:rsidR="003070DC">
        <w:rPr>
          <w:rFonts w:ascii="宋体" w:hAnsi="宋体" w:cs="宋体"/>
        </w:rPr>
        <w:t>2</w:t>
      </w:r>
      <w:r w:rsidR="0097639B">
        <w:rPr>
          <w:rFonts w:ascii="宋体" w:hAnsi="宋体" w:cs="宋体"/>
        </w:rPr>
        <w:t>5</w:t>
      </w:r>
      <w:r w:rsidR="0097639B">
        <w:rPr>
          <w:rFonts w:ascii="宋体" w:hAnsi="宋体" w:cs="宋体" w:hint="eastAsia"/>
        </w:rPr>
        <w:t>左右</w:t>
      </w:r>
      <w:r w:rsidR="00CF5574">
        <w:rPr>
          <w:rFonts w:ascii="宋体" w:hAnsi="宋体" w:cs="宋体" w:hint="eastAsia"/>
        </w:rPr>
        <w:t>宽幅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EBCB" w14:textId="77777777" w:rsidR="0051618C" w:rsidRDefault="0051618C" w:rsidP="00127060">
      <w:r>
        <w:separator/>
      </w:r>
    </w:p>
  </w:endnote>
  <w:endnote w:type="continuationSeparator" w:id="0">
    <w:p w14:paraId="15550461" w14:textId="77777777" w:rsidR="0051618C" w:rsidRDefault="0051618C"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8C08" w14:textId="77777777" w:rsidR="0051618C" w:rsidRDefault="0051618C" w:rsidP="00127060">
      <w:r>
        <w:separator/>
      </w:r>
    </w:p>
  </w:footnote>
  <w:footnote w:type="continuationSeparator" w:id="0">
    <w:p w14:paraId="3E946E57" w14:textId="77777777" w:rsidR="0051618C" w:rsidRDefault="0051618C"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7E72"/>
    <w:rsid w:val="000301E2"/>
    <w:rsid w:val="000328C5"/>
    <w:rsid w:val="000447DD"/>
    <w:rsid w:val="00055C18"/>
    <w:rsid w:val="0005615C"/>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B5"/>
    <w:rsid w:val="000D41E0"/>
    <w:rsid w:val="000D4E7F"/>
    <w:rsid w:val="000D5473"/>
    <w:rsid w:val="000D59E5"/>
    <w:rsid w:val="000E6617"/>
    <w:rsid w:val="00115730"/>
    <w:rsid w:val="0012070F"/>
    <w:rsid w:val="00127060"/>
    <w:rsid w:val="001470E8"/>
    <w:rsid w:val="00150521"/>
    <w:rsid w:val="00153427"/>
    <w:rsid w:val="0015671A"/>
    <w:rsid w:val="001573DE"/>
    <w:rsid w:val="00182FB2"/>
    <w:rsid w:val="00197E1F"/>
    <w:rsid w:val="00197E3E"/>
    <w:rsid w:val="001A59DE"/>
    <w:rsid w:val="001B6505"/>
    <w:rsid w:val="001C7A4C"/>
    <w:rsid w:val="001D5BF6"/>
    <w:rsid w:val="001F0B8B"/>
    <w:rsid w:val="001F4E90"/>
    <w:rsid w:val="0020319F"/>
    <w:rsid w:val="00215D99"/>
    <w:rsid w:val="0021694A"/>
    <w:rsid w:val="00220075"/>
    <w:rsid w:val="00220B10"/>
    <w:rsid w:val="00223E72"/>
    <w:rsid w:val="00227DE4"/>
    <w:rsid w:val="002348D9"/>
    <w:rsid w:val="002348FA"/>
    <w:rsid w:val="00247EFC"/>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1618C"/>
    <w:rsid w:val="0055205C"/>
    <w:rsid w:val="00574E1F"/>
    <w:rsid w:val="00583AD9"/>
    <w:rsid w:val="00585144"/>
    <w:rsid w:val="005D591B"/>
    <w:rsid w:val="006206E8"/>
    <w:rsid w:val="00621D14"/>
    <w:rsid w:val="00624E74"/>
    <w:rsid w:val="00626AF8"/>
    <w:rsid w:val="00626F9A"/>
    <w:rsid w:val="0065442E"/>
    <w:rsid w:val="00655FE4"/>
    <w:rsid w:val="006603DF"/>
    <w:rsid w:val="0066318A"/>
    <w:rsid w:val="006938C5"/>
    <w:rsid w:val="006A2C2A"/>
    <w:rsid w:val="006A35D1"/>
    <w:rsid w:val="006A3F5D"/>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7C58"/>
    <w:rsid w:val="007D3E5A"/>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140E"/>
    <w:rsid w:val="00C77777"/>
    <w:rsid w:val="00C85ECA"/>
    <w:rsid w:val="00CA1C69"/>
    <w:rsid w:val="00CA3BCB"/>
    <w:rsid w:val="00CA7296"/>
    <w:rsid w:val="00CB2110"/>
    <w:rsid w:val="00CB6E2B"/>
    <w:rsid w:val="00CC28AB"/>
    <w:rsid w:val="00CD3D78"/>
    <w:rsid w:val="00CD7080"/>
    <w:rsid w:val="00CD788A"/>
    <w:rsid w:val="00CE4FC7"/>
    <w:rsid w:val="00CE5ABB"/>
    <w:rsid w:val="00CF5574"/>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E0ABC"/>
    <w:rsid w:val="00EF044D"/>
    <w:rsid w:val="00EF470E"/>
    <w:rsid w:val="00EF4EA3"/>
    <w:rsid w:val="00EF6715"/>
    <w:rsid w:val="00F0560A"/>
    <w:rsid w:val="00F13C7E"/>
    <w:rsid w:val="00F15BF4"/>
    <w:rsid w:val="00F16626"/>
    <w:rsid w:val="00F33658"/>
    <w:rsid w:val="00F35CCE"/>
    <w:rsid w:val="00F40887"/>
    <w:rsid w:val="00F42487"/>
    <w:rsid w:val="00F56F48"/>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E84-C437-4B57-8E01-D2536138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cp:lastPrinted>2024-12-24T02:37:00Z</cp:lastPrinted>
  <dcterms:created xsi:type="dcterms:W3CDTF">2025-03-28T08:21:00Z</dcterms:created>
  <dcterms:modified xsi:type="dcterms:W3CDTF">2025-04-01T02:06:00Z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