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4B569D">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7157D1AD" w:rsidR="00CA7296" w:rsidRDefault="00CA7296" w:rsidP="00CA7296">
      <w:pPr>
        <w:spacing w:line="312" w:lineRule="auto"/>
        <w:ind w:firstLine="420"/>
        <w:rPr>
          <w:rFonts w:ascii="宋体" w:hAnsi="宋体" w:cs="宋体"/>
        </w:rPr>
      </w:pPr>
      <w:r>
        <w:t>周</w:t>
      </w:r>
      <w:r w:rsidR="00BF1550">
        <w:rPr>
          <w:rFonts w:hint="eastAsia"/>
        </w:rPr>
        <w:t>五</w:t>
      </w:r>
      <w:r>
        <w:rPr>
          <w:rFonts w:hint="eastAsia"/>
        </w:rPr>
        <w:t>（</w:t>
      </w:r>
      <w:r w:rsidR="00257436">
        <w:t>4</w:t>
      </w:r>
      <w:r>
        <w:rPr>
          <w:rFonts w:hint="eastAsia"/>
        </w:rPr>
        <w:t>月</w:t>
      </w:r>
      <w:r w:rsidR="00BF1550">
        <w:t>11</w:t>
      </w:r>
      <w:r>
        <w:rPr>
          <w:rFonts w:hint="eastAsia"/>
        </w:rPr>
        <w:t>日）</w:t>
      </w:r>
      <w:r>
        <w:t>美元兑人民币中间价</w:t>
      </w:r>
      <w:r>
        <w:rPr>
          <w:rFonts w:ascii="宋体" w:hAnsi="宋体" w:cs="宋体"/>
        </w:rPr>
        <w:t>报</w:t>
      </w:r>
      <w:r w:rsidRPr="00076C89">
        <w:rPr>
          <w:rFonts w:ascii="宋体" w:hAnsi="宋体" w:cs="宋体"/>
        </w:rPr>
        <w:t>7.</w:t>
      </w:r>
      <w:r w:rsidR="0005052B">
        <w:rPr>
          <w:rFonts w:ascii="宋体" w:hAnsi="宋体" w:cs="宋体"/>
        </w:rPr>
        <w:t>2087</w:t>
      </w:r>
      <w:r>
        <w:rPr>
          <w:rFonts w:ascii="宋体" w:hAnsi="宋体" w:cs="宋体"/>
        </w:rPr>
        <w:t>，</w:t>
      </w:r>
      <w:r>
        <w:rPr>
          <w:rFonts w:ascii="宋体" w:hAnsi="宋体" w:cs="宋体" w:hint="eastAsia"/>
        </w:rPr>
        <w:t>调</w:t>
      </w:r>
      <w:r w:rsidR="00433DAC">
        <w:rPr>
          <w:rFonts w:ascii="宋体" w:hAnsi="宋体" w:cs="宋体" w:hint="eastAsia"/>
        </w:rPr>
        <w:t>升</w:t>
      </w:r>
      <w:r w:rsidR="0005052B">
        <w:rPr>
          <w:rFonts w:ascii="宋体" w:hAnsi="宋体" w:cs="宋体"/>
        </w:rPr>
        <w:t>23</w:t>
      </w:r>
      <w:r>
        <w:rPr>
          <w:rFonts w:ascii="宋体" w:hAnsi="宋体" w:cs="宋体" w:hint="eastAsia"/>
        </w:rPr>
        <w:t>个基点，上周累计调</w:t>
      </w:r>
      <w:r w:rsidR="00433DAC">
        <w:rPr>
          <w:rFonts w:ascii="宋体" w:hAnsi="宋体" w:cs="宋体" w:hint="eastAsia"/>
        </w:rPr>
        <w:t>升</w:t>
      </w:r>
      <w:r w:rsidR="0005052B">
        <w:rPr>
          <w:rFonts w:ascii="宋体" w:hAnsi="宋体" w:cs="宋体"/>
        </w:rPr>
        <w:t>107</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EE0ABC">
        <w:rPr>
          <w:rFonts w:ascii="宋体" w:hAnsi="宋体" w:cs="宋体"/>
        </w:rPr>
        <w:t>5</w:t>
      </w:r>
      <w:r>
        <w:rPr>
          <w:rFonts w:ascii="宋体" w:hAnsi="宋体" w:cs="宋体" w:hint="eastAsia"/>
        </w:rPr>
        <w:t>收</w:t>
      </w:r>
      <w:r w:rsidR="0005615C">
        <w:rPr>
          <w:rFonts w:ascii="宋体" w:hAnsi="宋体" w:cs="宋体" w:hint="eastAsia"/>
        </w:rPr>
        <w:t>涨0</w:t>
      </w:r>
      <w:r w:rsidR="0005615C">
        <w:rPr>
          <w:rFonts w:ascii="宋体" w:hAnsi="宋体" w:cs="宋体"/>
        </w:rPr>
        <w:t>.</w:t>
      </w:r>
      <w:r w:rsidR="0005052B">
        <w:rPr>
          <w:rFonts w:ascii="宋体" w:hAnsi="宋体" w:cs="宋体"/>
        </w:rPr>
        <w:t>36</w:t>
      </w:r>
      <w:r>
        <w:rPr>
          <w:rFonts w:ascii="宋体" w:hAnsi="宋体" w:cs="宋体" w:hint="eastAsia"/>
        </w:rPr>
        <w:t>%。新交所美元兑离岸人民币期货主力合约</w:t>
      </w:r>
      <w:r>
        <w:rPr>
          <w:rFonts w:ascii="宋体" w:hAnsi="宋体" w:cs="宋体"/>
        </w:rPr>
        <w:t>UC</w:t>
      </w:r>
      <w:r w:rsidR="0005615C">
        <w:rPr>
          <w:rFonts w:ascii="宋体" w:hAnsi="宋体" w:cs="宋体"/>
        </w:rPr>
        <w:t>J</w:t>
      </w:r>
      <w:r>
        <w:rPr>
          <w:rFonts w:ascii="宋体" w:hAnsi="宋体" w:cs="宋体"/>
        </w:rPr>
        <w:t>2</w:t>
      </w:r>
      <w:r>
        <w:rPr>
          <w:rFonts w:ascii="宋体" w:hAnsi="宋体" w:cs="宋体" w:hint="eastAsia"/>
        </w:rPr>
        <w:t>5收</w:t>
      </w:r>
      <w:r w:rsidR="0005052B">
        <w:rPr>
          <w:rFonts w:ascii="宋体" w:hAnsi="宋体" w:cs="宋体" w:hint="eastAsia"/>
        </w:rPr>
        <w:t>涨0</w:t>
      </w:r>
      <w:r w:rsidR="0005052B">
        <w:rPr>
          <w:rFonts w:ascii="宋体" w:hAnsi="宋体" w:cs="宋体"/>
        </w:rPr>
        <w:t>.54%</w:t>
      </w:r>
      <w:r>
        <w:rPr>
          <w:rFonts w:ascii="宋体" w:hAnsi="宋体" w:cs="宋体" w:hint="eastAsia"/>
        </w:rPr>
        <w:t>。</w:t>
      </w:r>
    </w:p>
    <w:p w14:paraId="2A8620FC" w14:textId="070AF8F9" w:rsidR="00CA7296" w:rsidRDefault="00CA7296" w:rsidP="00CA7296">
      <w:pPr>
        <w:spacing w:line="312" w:lineRule="auto"/>
        <w:ind w:firstLine="420"/>
      </w:pPr>
      <w:r>
        <w:rPr>
          <w:rFonts w:ascii="宋体" w:hAnsi="宋体" w:cs="宋体" w:hint="eastAsia"/>
        </w:rPr>
        <w:t>美元兑在岸人民币</w:t>
      </w:r>
      <w:r>
        <w:t>收报</w:t>
      </w:r>
      <w:r w:rsidR="00AD25D1">
        <w:t>7.</w:t>
      </w:r>
      <w:r w:rsidR="00F64EF4">
        <w:t>3</w:t>
      </w:r>
      <w:r w:rsidR="005D4042">
        <w:t>245</w:t>
      </w:r>
      <w:r>
        <w:t>，</w:t>
      </w:r>
      <w:r>
        <w:rPr>
          <w:rFonts w:hint="eastAsia"/>
        </w:rPr>
        <w:t>美元兑离岸人民币收报</w:t>
      </w:r>
      <w:r>
        <w:rPr>
          <w:rFonts w:hint="eastAsia"/>
        </w:rPr>
        <w:t>7</w:t>
      </w:r>
      <w:r>
        <w:t>.</w:t>
      </w:r>
      <w:r w:rsidR="006B50D4">
        <w:t>2</w:t>
      </w:r>
      <w:r w:rsidR="005D4042">
        <w:t>813</w:t>
      </w:r>
      <w:r>
        <w:rPr>
          <w:rFonts w:hint="eastAsia"/>
        </w:rPr>
        <w:t>，在当周</w:t>
      </w:r>
      <w:r>
        <w:t>分别</w:t>
      </w:r>
      <w:r w:rsidR="00007BCC">
        <w:rPr>
          <w:rFonts w:hint="eastAsia"/>
        </w:rPr>
        <w:t>上</w:t>
      </w:r>
      <w:r w:rsidR="00F76960">
        <w:rPr>
          <w:rFonts w:hint="eastAsia"/>
        </w:rPr>
        <w:t>调</w:t>
      </w:r>
      <w:r w:rsidR="005D4042">
        <w:t>202</w:t>
      </w:r>
      <w:r>
        <w:t>和</w:t>
      </w:r>
      <w:r w:rsidR="005D4042">
        <w:rPr>
          <w:rFonts w:hint="eastAsia"/>
        </w:rPr>
        <w:t>下</w:t>
      </w:r>
      <w:r w:rsidR="0066318A">
        <w:rPr>
          <w:rFonts w:hint="eastAsia"/>
        </w:rPr>
        <w:t>调</w:t>
      </w:r>
      <w:r w:rsidR="005D4042">
        <w:rPr>
          <w:rFonts w:hint="eastAsia"/>
        </w:rPr>
        <w:t>1</w:t>
      </w:r>
      <w:r w:rsidR="005D4042">
        <w:t>53</w:t>
      </w:r>
      <w:r>
        <w:rPr>
          <w:rFonts w:hint="eastAsia"/>
        </w:rPr>
        <w:t>个基点</w:t>
      </w:r>
      <w:r>
        <w:t>。欧元兑人民币报</w:t>
      </w:r>
      <w:r w:rsidR="00F64EF4">
        <w:t>8.</w:t>
      </w:r>
      <w:r w:rsidR="005D4042">
        <w:t>3086</w:t>
      </w:r>
      <w:r>
        <w:t>、英镑兑人民币报</w:t>
      </w:r>
      <w:r w:rsidR="00C66DB1">
        <w:t>9.</w:t>
      </w:r>
      <w:r w:rsidR="005D4042">
        <w:t>5439</w:t>
      </w:r>
      <w:r>
        <w:t>、</w:t>
      </w:r>
      <w:r w:rsidR="000959E1">
        <w:rPr>
          <w:rFonts w:hint="eastAsia"/>
        </w:rPr>
        <w:t>日元</w:t>
      </w:r>
      <w:r>
        <w:t>兑</w:t>
      </w:r>
      <w:r w:rsidR="000959E1">
        <w:rPr>
          <w:rFonts w:hint="eastAsia"/>
        </w:rPr>
        <w:t>人民币</w:t>
      </w:r>
      <w:r>
        <w:t>报</w:t>
      </w:r>
      <w:r w:rsidR="005D4042">
        <w:t>5.1326</w:t>
      </w:r>
      <w:r w:rsidR="000959E1">
        <w:rPr>
          <w:rFonts w:hint="eastAsia"/>
        </w:rPr>
        <w:t>、</w:t>
      </w:r>
      <w:r>
        <w:t>澳元兑人民币报</w:t>
      </w:r>
      <w:r>
        <w:t>4</w:t>
      </w:r>
      <w:r w:rsidR="006B50D4">
        <w:t>.</w:t>
      </w:r>
      <w:r w:rsidR="005D4042">
        <w:t>5391</w:t>
      </w:r>
      <w:r>
        <w:rPr>
          <w:rFonts w:hint="eastAsia"/>
        </w:rPr>
        <w:t>，在当</w:t>
      </w:r>
      <w:r>
        <w:t>周分别</w:t>
      </w:r>
      <w:r w:rsidR="00EE0ABC">
        <w:rPr>
          <w:rFonts w:hint="eastAsia"/>
        </w:rPr>
        <w:t>涨</w:t>
      </w:r>
      <w:r w:rsidR="005D4042">
        <w:t>2452</w:t>
      </w:r>
      <w:r>
        <w:t>、</w:t>
      </w:r>
      <w:r w:rsidR="005D4042">
        <w:rPr>
          <w:rFonts w:hint="eastAsia"/>
        </w:rPr>
        <w:t>跌</w:t>
      </w:r>
      <w:r w:rsidR="005D4042">
        <w:rPr>
          <w:rFonts w:hint="eastAsia"/>
        </w:rPr>
        <w:t>6</w:t>
      </w:r>
      <w:r w:rsidR="005D4042">
        <w:t>88</w:t>
      </w:r>
      <w:r>
        <w:rPr>
          <w:rFonts w:hint="eastAsia"/>
        </w:rPr>
        <w:t>、</w:t>
      </w:r>
      <w:r w:rsidR="00F64EF4">
        <w:rPr>
          <w:rFonts w:hint="eastAsia"/>
        </w:rPr>
        <w:t>涨</w:t>
      </w:r>
      <w:r w:rsidR="005D4042">
        <w:t>1444</w:t>
      </w:r>
      <w:r>
        <w:t>和</w:t>
      </w:r>
      <w:r w:rsidR="005D4042">
        <w:rPr>
          <w:rFonts w:hint="eastAsia"/>
        </w:rPr>
        <w:t>跌</w:t>
      </w:r>
      <w:r w:rsidR="005D4042">
        <w:rPr>
          <w:rFonts w:hint="eastAsia"/>
        </w:rPr>
        <w:t>9</w:t>
      </w:r>
      <w:r w:rsidR="005D4042">
        <w:t>65</w:t>
      </w:r>
      <w:r>
        <w:rPr>
          <w:rFonts w:hint="eastAsia"/>
        </w:rPr>
        <w:t>个基点</w:t>
      </w:r>
      <w:r>
        <w:t>。</w:t>
      </w:r>
    </w:p>
    <w:p w14:paraId="76AC2601" w14:textId="5D8A4AAD" w:rsidR="00CA7296" w:rsidRDefault="00CA7296" w:rsidP="00CA7296">
      <w:pPr>
        <w:spacing w:line="312" w:lineRule="auto"/>
        <w:ind w:firstLine="420"/>
      </w:pPr>
      <w:r>
        <w:rPr>
          <w:rFonts w:hint="eastAsia"/>
        </w:rPr>
        <w:t>上</w:t>
      </w:r>
      <w:r w:rsidR="00600382">
        <w:rPr>
          <w:rFonts w:hint="eastAsia"/>
        </w:rPr>
        <w:t>周</w:t>
      </w:r>
      <w:r w:rsidR="00600382" w:rsidRPr="00600382">
        <w:rPr>
          <w:rFonts w:hint="eastAsia"/>
        </w:rPr>
        <w:t>央行公开市场累计进行了</w:t>
      </w:r>
      <w:r w:rsidR="00CC2C53" w:rsidRPr="00CC2C53">
        <w:rPr>
          <w:rFonts w:hint="eastAsia"/>
        </w:rPr>
        <w:t>4742</w:t>
      </w:r>
      <w:r w:rsidR="00CC2C53" w:rsidRPr="00CC2C53">
        <w:rPr>
          <w:rFonts w:hint="eastAsia"/>
        </w:rPr>
        <w:t>亿元逆回购操作，</w:t>
      </w:r>
      <w:r w:rsidR="00CC2C53">
        <w:rPr>
          <w:rFonts w:hint="eastAsia"/>
        </w:rPr>
        <w:t>当</w:t>
      </w:r>
      <w:r w:rsidR="00CC2C53" w:rsidRPr="00CC2C53">
        <w:rPr>
          <w:rFonts w:hint="eastAsia"/>
        </w:rPr>
        <w:t>周央行公开市场有</w:t>
      </w:r>
      <w:r w:rsidR="00CC2C53" w:rsidRPr="00CC2C53">
        <w:rPr>
          <w:rFonts w:hint="eastAsia"/>
        </w:rPr>
        <w:t>9134</w:t>
      </w:r>
      <w:r w:rsidR="00CC2C53" w:rsidRPr="00CC2C53">
        <w:rPr>
          <w:rFonts w:hint="eastAsia"/>
        </w:rPr>
        <w:t>亿元逆回购到期，因此净回笼</w:t>
      </w:r>
      <w:r w:rsidR="00CC2C53" w:rsidRPr="00CC2C53">
        <w:rPr>
          <w:rFonts w:hint="eastAsia"/>
        </w:rPr>
        <w:t>4392</w:t>
      </w:r>
      <w:r w:rsidR="00CC2C53" w:rsidRPr="00CC2C53">
        <w:rPr>
          <w:rFonts w:hint="eastAsia"/>
        </w:rPr>
        <w:t>亿元。</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12F8252D" w:rsidR="00CA7296" w:rsidRPr="00762458" w:rsidRDefault="00CA7296" w:rsidP="00CA7296">
      <w:pPr>
        <w:spacing w:line="312" w:lineRule="auto"/>
        <w:ind w:firstLine="420"/>
        <w:rPr>
          <w:rFonts w:ascii="宋体" w:hAnsi="宋体"/>
        </w:rPr>
      </w:pPr>
      <w:r w:rsidRPr="0086476E">
        <w:rPr>
          <w:rFonts w:ascii="宋体" w:hAnsi="宋体"/>
        </w:rPr>
        <w:t>1</w:t>
      </w:r>
      <w:r w:rsidR="00626AF8">
        <w:rPr>
          <w:rFonts w:ascii="宋体" w:hAnsi="宋体" w:hint="eastAsia"/>
        </w:rPr>
        <w:t>、</w:t>
      </w:r>
      <w:r w:rsidR="0005052B" w:rsidRPr="00D17374">
        <w:rPr>
          <w:rFonts w:ascii="宋体" w:hAnsi="宋体" w:hint="eastAsia"/>
        </w:rPr>
        <w:t>美国政府启动了由商务部牵头的</w:t>
      </w:r>
      <w:r w:rsidR="0005052B" w:rsidRPr="00D17374">
        <w:rPr>
          <w:rFonts w:ascii="宋体" w:hAnsi="宋体"/>
        </w:rPr>
        <w:t>232</w:t>
      </w:r>
      <w:r w:rsidR="005D4042">
        <w:rPr>
          <w:rFonts w:ascii="宋体" w:hAnsi="宋体"/>
        </w:rPr>
        <w:t>国家安全调查，朝</w:t>
      </w:r>
      <w:r w:rsidR="0005052B" w:rsidRPr="00D17374">
        <w:rPr>
          <w:rFonts w:ascii="宋体" w:hAnsi="宋体"/>
        </w:rPr>
        <w:t>半导体和药品进口征收关税迈出了决定性的一步。美国商务部在《联邦公报》上发布的两份通知中表示，将调查“进口半导体和半导体制造设备”以及“药品和药物成分，包括成品药”对美国国家安全的影响。</w:t>
      </w:r>
    </w:p>
    <w:p w14:paraId="3316BE34" w14:textId="2F10EC93" w:rsidR="00785749" w:rsidRDefault="00CA7296" w:rsidP="0086476E">
      <w:pPr>
        <w:spacing w:line="312" w:lineRule="auto"/>
        <w:ind w:firstLine="420"/>
        <w:rPr>
          <w:rFonts w:ascii="宋体" w:hAnsi="宋体"/>
        </w:rPr>
      </w:pPr>
      <w:r w:rsidRPr="0086476E">
        <w:rPr>
          <w:rFonts w:ascii="宋体" w:hAnsi="宋体" w:hint="eastAsia"/>
        </w:rPr>
        <w:t>2、</w:t>
      </w:r>
      <w:r w:rsidR="0005052B" w:rsidRPr="00ED059B">
        <w:rPr>
          <w:rFonts w:ascii="宋体" w:hAnsi="宋体" w:hint="eastAsia"/>
        </w:rPr>
        <w:t>商务部新闻发言人就美方豁免部分产品的“对等关税”答记者问称，中方正在对有关影响进行评估。中方对中美经贸关系的立场是一贯的。贸易战没有赢家，保护主义没有出路。中方敦促美方正视国际社会和国内各方理性声音，在纠错方面迈出一大步，彻底取消“对等关税”的错误做法，回到相互尊重，通过平等对话解决分歧的正确道路上来。</w:t>
      </w:r>
    </w:p>
    <w:p w14:paraId="7CFBDA2E" w14:textId="21CA80DE" w:rsidR="00D276C0"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05052B" w:rsidRPr="00ED059B">
        <w:rPr>
          <w:rFonts w:ascii="宋体" w:hAnsi="宋体" w:hint="eastAsia"/>
        </w:rPr>
        <w:t>国务院关税税则委员会公告称，自</w:t>
      </w:r>
      <w:r w:rsidR="0005052B" w:rsidRPr="00ED059B">
        <w:rPr>
          <w:rFonts w:ascii="宋体" w:hAnsi="宋体"/>
        </w:rPr>
        <w:t>4月12日起，调整《国务院关税税则委员会关于调整对原产于美国的进口商品加征关税措施的公告》（税委会公告2025年第5号）规定的加征关税税率，由84%提高至125%。</w:t>
      </w:r>
    </w:p>
    <w:p w14:paraId="5E26AA41" w14:textId="5357834B" w:rsidR="00CA7296" w:rsidRPr="0086476E" w:rsidRDefault="00CA7296" w:rsidP="00CA7296">
      <w:pPr>
        <w:spacing w:line="312" w:lineRule="auto"/>
        <w:ind w:firstLine="420"/>
        <w:rPr>
          <w:rFonts w:ascii="宋体" w:hAnsi="宋体"/>
        </w:rPr>
      </w:pPr>
      <w:r w:rsidRPr="0086476E">
        <w:rPr>
          <w:rFonts w:ascii="宋体" w:hAnsi="宋体" w:hint="eastAsia"/>
        </w:rPr>
        <w:t>4、</w:t>
      </w:r>
      <w:r w:rsidR="0005052B" w:rsidRPr="00D17374">
        <w:rPr>
          <w:rFonts w:ascii="宋体" w:hAnsi="宋体" w:hint="eastAsia"/>
        </w:rPr>
        <w:t>欧佩克月报将</w:t>
      </w:r>
      <w:r w:rsidR="0005052B" w:rsidRPr="00D17374">
        <w:rPr>
          <w:rFonts w:ascii="宋体" w:hAnsi="宋体"/>
        </w:rPr>
        <w:t>2025年全球经济增长预测由3.1%下调至3%，将2026年全球经济增长预测由3.2%下调至3.1%；将2025年美国经济增长预测由2.4%下调至2.1%，将2026年美国经济增长预测由2.3%下调至2.2%</w:t>
      </w:r>
      <w:r w:rsidR="0005052B">
        <w:rPr>
          <w:rFonts w:ascii="宋体" w:hAnsi="宋体" w:hint="eastAsia"/>
        </w:rPr>
        <w:t>。</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A877B13" w:rsidR="00CA7296" w:rsidRDefault="00BF155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1A896783" wp14:editId="0A58AF24">
            <wp:extent cx="3542478" cy="1881962"/>
            <wp:effectExtent l="0" t="0" r="12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59007" cy="1890743"/>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D905C4"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sidR="00433DAC">
        <w:rPr>
          <w:rFonts w:ascii="宋体" w:eastAsia="宋体" w:hAnsi="宋体" w:hint="eastAsia"/>
          <w:b/>
        </w:rPr>
        <w:t>主</w:t>
      </w:r>
      <w:r w:rsidR="00EE0ABC">
        <w:rPr>
          <w:rFonts w:ascii="宋体" w:eastAsia="宋体" w:hAnsi="宋体" w:hint="eastAsia"/>
          <w:b/>
        </w:rPr>
        <w:t>连</w:t>
      </w:r>
      <w:r>
        <w:rPr>
          <w:rFonts w:ascii="宋体" w:eastAsia="宋体" w:hAnsi="宋体" w:hint="eastAsia"/>
          <w:b/>
        </w:rPr>
        <w:t>收盘价</w:t>
      </w:r>
    </w:p>
    <w:p w14:paraId="7F81A8FC" w14:textId="26E73B64" w:rsidR="00CA7296" w:rsidRDefault="00BF1550" w:rsidP="00CA7296">
      <w:pPr>
        <w:spacing w:line="360" w:lineRule="auto"/>
        <w:jc w:val="center"/>
        <w:rPr>
          <w:rFonts w:ascii="宋体" w:hAnsi="宋体"/>
          <w:sz w:val="18"/>
          <w:szCs w:val="18"/>
        </w:rPr>
      </w:pPr>
      <w:r>
        <w:rPr>
          <w:noProof/>
        </w:rPr>
        <w:drawing>
          <wp:inline distT="0" distB="0" distL="0" distR="0" wp14:anchorId="0FDE204E" wp14:editId="427D8593">
            <wp:extent cx="4529470" cy="2566300"/>
            <wp:effectExtent l="0" t="0" r="4445"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1338" cy="2590021"/>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1A4A6702" w:rsidR="00CA7296" w:rsidRDefault="00BF1550" w:rsidP="00CA7296">
      <w:pPr>
        <w:spacing w:line="360" w:lineRule="auto"/>
        <w:jc w:val="center"/>
        <w:rPr>
          <w:rFonts w:ascii="宋体" w:hAnsi="宋体"/>
          <w:sz w:val="18"/>
          <w:szCs w:val="18"/>
        </w:rPr>
      </w:pPr>
      <w:r>
        <w:rPr>
          <w:noProof/>
        </w:rPr>
        <w:drawing>
          <wp:inline distT="0" distB="0" distL="0" distR="0" wp14:anchorId="335E770B" wp14:editId="384E58CC">
            <wp:extent cx="3678865" cy="2085187"/>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2451" cy="2092888"/>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8D8CEDE"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EE0ABC">
        <w:rPr>
          <w:rFonts w:ascii="宋体" w:eastAsia="宋体" w:hAnsi="宋体" w:hint="eastAsia"/>
          <w:b/>
        </w:rPr>
        <w:t>主连</w:t>
      </w:r>
      <w:r>
        <w:rPr>
          <w:rFonts w:ascii="宋体" w:eastAsia="宋体" w:hAnsi="宋体" w:hint="eastAsia"/>
          <w:b/>
        </w:rPr>
        <w:t>收盘价</w:t>
      </w:r>
    </w:p>
    <w:p w14:paraId="328A7973" w14:textId="1D51F971" w:rsidR="00CA7296" w:rsidRDefault="00BF1550" w:rsidP="00CA7296">
      <w:pPr>
        <w:jc w:val="center"/>
      </w:pPr>
      <w:r>
        <w:rPr>
          <w:noProof/>
        </w:rPr>
        <w:drawing>
          <wp:inline distT="0" distB="0" distL="0" distR="0" wp14:anchorId="6CDB1D38" wp14:editId="50947DA9">
            <wp:extent cx="4486940" cy="2536801"/>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9657" cy="2538337"/>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4011B26D" w:rsidR="00CA7296" w:rsidRDefault="00BF1550" w:rsidP="00CA7296">
      <w:pPr>
        <w:jc w:val="center"/>
      </w:pPr>
      <w:r>
        <w:rPr>
          <w:noProof/>
        </w:rPr>
        <w:drawing>
          <wp:inline distT="0" distB="0" distL="0" distR="0" wp14:anchorId="01F6CCEE" wp14:editId="529F8315">
            <wp:extent cx="3902149" cy="2329764"/>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17892" cy="2339163"/>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6A496179" w:rsidR="00CA7296" w:rsidRDefault="00BF1550" w:rsidP="00CA7296">
      <w:pPr>
        <w:spacing w:beforeLines="50" w:before="156" w:line="312" w:lineRule="auto"/>
        <w:jc w:val="center"/>
        <w:rPr>
          <w:rFonts w:ascii="微软雅黑" w:eastAsia="微软雅黑" w:hAnsi="微软雅黑"/>
          <w:b/>
          <w:bCs/>
          <w:sz w:val="28"/>
          <w:szCs w:val="28"/>
        </w:rPr>
      </w:pPr>
      <w:bookmarkStart w:id="0" w:name="_GoBack"/>
      <w:r>
        <w:rPr>
          <w:noProof/>
        </w:rPr>
        <w:drawing>
          <wp:inline distT="0" distB="0" distL="0" distR="0" wp14:anchorId="1C2D60E3" wp14:editId="72AD64DA">
            <wp:extent cx="4051005" cy="2360295"/>
            <wp:effectExtent l="0" t="0" r="6985" b="1905"/>
            <wp:docPr id="7" name="图表 7">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0"/>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44B8EC37" w:rsidR="004445D6" w:rsidRDefault="00BF1550" w:rsidP="00CA7296">
      <w:pPr>
        <w:spacing w:line="312" w:lineRule="auto"/>
        <w:ind w:firstLine="420"/>
        <w:rPr>
          <w:rFonts w:ascii="宋体" w:hAnsi="宋体" w:cs="宋体"/>
        </w:rPr>
      </w:pPr>
      <w:r w:rsidRPr="00BF1550">
        <w:rPr>
          <w:rFonts w:ascii="宋体" w:hAnsi="宋体" w:cs="宋体" w:hint="eastAsia"/>
        </w:rPr>
        <w:t>最新数据显示，美国总统特朗普的关税政策反复无常，加剧市场对贸易紧张局势的担忧，4月份美国消费者信心急剧恶化，录得50.8，远低于前值57及预期值54.5，而12个月通胀预期飙升至1981年以来的最高水平，从前值的5%升至6.7%。与此同时，欧佩克月报将2025年全球经济增长预测由3.1%下调至3%，将2025年美国经济增长预测由2.4%下调至2.1%，也代表着对美信心回落。</w:t>
      </w:r>
      <w:r w:rsidR="000B45D7">
        <w:rPr>
          <w:rFonts w:ascii="宋体" w:hAnsi="宋体" w:cs="宋体"/>
        </w:rPr>
        <w:t xml:space="preserve"> </w:t>
      </w:r>
    </w:p>
    <w:p w14:paraId="41B37BB3" w14:textId="2C34321A" w:rsidR="0087172E" w:rsidRDefault="00061E07" w:rsidP="0079373C">
      <w:pPr>
        <w:spacing w:line="312" w:lineRule="auto"/>
        <w:ind w:firstLine="420"/>
        <w:rPr>
          <w:rFonts w:ascii="宋体" w:hAnsi="宋体" w:cs="宋体"/>
        </w:rPr>
      </w:pPr>
      <w:r>
        <w:rPr>
          <w:rFonts w:ascii="宋体" w:hAnsi="宋体" w:cs="宋体" w:hint="eastAsia"/>
          <w:kern w:val="0"/>
        </w:rPr>
        <w:t>国内端，4月11日，我国国务院关税税则委员会公告将对原产于美国的进口商品加征关税税率提高至125%，如果美方后续对中国输美商品继续加征关税，中方将不予理会。这或导致部分对美贸易依赖度高的行业承压，但通过市场多元化、国产替代和供应链调整，我国经济具备较强的抗风险能力。此外，商务部表示，面对美国霸凌关税，中国将坚定不移推进高水平对外开放，将帮助出口遇阻的外贸企业开拓国内市场，用好消费品以旧换新政策，办好外贸优品中华行等系列活动，深入开展内外贸一体化工作等。需要注意的是，不论是贸易结构多元化发展还是高端制造业技术突破均为中长期目标，无法一蹴而就。</w:t>
      </w:r>
      <w:r>
        <w:rPr>
          <w:rFonts w:ascii="宋体" w:hAnsi="宋体" w:cs="宋体" w:hint="eastAsia"/>
          <w:kern w:val="0"/>
        </w:rPr>
        <w:t>预计</w:t>
      </w:r>
      <w:r>
        <w:rPr>
          <w:rFonts w:ascii="宋体" w:hAnsi="宋体" w:cs="宋体" w:hint="eastAsia"/>
        </w:rPr>
        <w:t>短期</w:t>
      </w:r>
      <w:r>
        <w:rPr>
          <w:rFonts w:ascii="宋体" w:hAnsi="宋体" w:cs="宋体" w:hint="eastAsia"/>
          <w:kern w:val="0"/>
        </w:rPr>
        <w:t>在出口预期恶化、避险需求上升、资本外流的影响下</w:t>
      </w:r>
      <w:r w:rsidR="000B45D7">
        <w:rPr>
          <w:rFonts w:ascii="宋体" w:hAnsi="宋体" w:cs="宋体" w:hint="eastAsia"/>
        </w:rPr>
        <w:t>，</w:t>
      </w:r>
      <w:r w:rsidR="000B45D7" w:rsidRPr="00A92E8E">
        <w:rPr>
          <w:rFonts w:ascii="宋体" w:hAnsi="宋体" w:cs="宋体" w:hint="eastAsia"/>
        </w:rPr>
        <w:t>美元</w:t>
      </w:r>
      <w:r w:rsidR="000B45D7">
        <w:rPr>
          <w:rFonts w:ascii="宋体" w:hAnsi="宋体" w:cs="宋体" w:hint="eastAsia"/>
        </w:rPr>
        <w:t>兑</w:t>
      </w:r>
      <w:r w:rsidR="000B45D7" w:rsidRPr="00A92E8E">
        <w:rPr>
          <w:rFonts w:ascii="宋体" w:hAnsi="宋体" w:cs="宋体" w:hint="eastAsia"/>
        </w:rPr>
        <w:t>人民币</w:t>
      </w:r>
      <w:r>
        <w:rPr>
          <w:rFonts w:ascii="宋体" w:hAnsi="宋体" w:cs="宋体" w:hint="eastAsia"/>
        </w:rPr>
        <w:t>或</w:t>
      </w:r>
      <w:r w:rsidR="000B45D7">
        <w:rPr>
          <w:rFonts w:ascii="宋体" w:hAnsi="宋体" w:cs="宋体" w:hint="eastAsia"/>
        </w:rPr>
        <w:t>于7</w:t>
      </w:r>
      <w:r w:rsidR="000B45D7">
        <w:rPr>
          <w:rFonts w:ascii="宋体" w:hAnsi="宋体" w:cs="宋体"/>
        </w:rPr>
        <w:t>.3</w:t>
      </w:r>
      <w:r w:rsidR="00F64EF4">
        <w:rPr>
          <w:rFonts w:ascii="宋体" w:hAnsi="宋体" w:cs="宋体"/>
        </w:rPr>
        <w:t>0</w:t>
      </w:r>
      <w:r w:rsidR="000B45D7">
        <w:rPr>
          <w:rFonts w:ascii="宋体" w:hAnsi="宋体" w:cs="宋体" w:hint="eastAsia"/>
        </w:rPr>
        <w:t>左右</w:t>
      </w:r>
      <w:r>
        <w:rPr>
          <w:rFonts w:ascii="宋体" w:hAnsi="宋体" w:cs="宋体" w:hint="eastAsia"/>
        </w:rPr>
        <w:t>宽幅</w:t>
      </w:r>
      <w:r w:rsidR="000B45D7">
        <w:rPr>
          <w:rFonts w:ascii="宋体" w:hAnsi="宋体" w:cs="宋体" w:hint="eastAsia"/>
        </w:rPr>
        <w:t>波动</w:t>
      </w:r>
      <w:r>
        <w:rPr>
          <w:rFonts w:ascii="宋体" w:hAnsi="宋体" w:cs="宋体" w:hint="eastAsia"/>
        </w:rPr>
        <w:t>，</w:t>
      </w:r>
      <w:r w:rsidR="000B45D7" w:rsidRPr="000B45D7">
        <w:rPr>
          <w:rFonts w:ascii="宋体" w:hAnsi="宋体" w:cs="宋体" w:hint="eastAsia"/>
        </w:rPr>
        <w:t>后续需持续关注关税政策及相关</w:t>
      </w:r>
      <w:r w:rsidR="00F64EF4">
        <w:rPr>
          <w:rFonts w:ascii="宋体" w:hAnsi="宋体" w:cs="宋体" w:hint="eastAsia"/>
        </w:rPr>
        <w:t>外汇</w:t>
      </w:r>
      <w:r w:rsidR="000B45D7" w:rsidRPr="000B45D7">
        <w:rPr>
          <w:rFonts w:ascii="宋体" w:hAnsi="宋体" w:cs="宋体" w:hint="eastAsia"/>
        </w:rPr>
        <w:t>政策。</w:t>
      </w:r>
    </w:p>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B7EC" w14:textId="77777777" w:rsidR="00BD7EBC" w:rsidRDefault="00BD7EBC" w:rsidP="00127060">
      <w:r>
        <w:separator/>
      </w:r>
    </w:p>
  </w:endnote>
  <w:endnote w:type="continuationSeparator" w:id="0">
    <w:p w14:paraId="1D398F7E" w14:textId="77777777" w:rsidR="00BD7EBC" w:rsidRDefault="00BD7EBC"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54086" w14:textId="77777777" w:rsidR="00BD7EBC" w:rsidRDefault="00BD7EBC" w:rsidP="00127060">
      <w:r>
        <w:separator/>
      </w:r>
    </w:p>
  </w:footnote>
  <w:footnote w:type="continuationSeparator" w:id="0">
    <w:p w14:paraId="2BEB02EC" w14:textId="77777777" w:rsidR="00BD7EBC" w:rsidRDefault="00BD7EBC"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07BCC"/>
    <w:rsid w:val="00011E90"/>
    <w:rsid w:val="00015ABA"/>
    <w:rsid w:val="00015CEB"/>
    <w:rsid w:val="00016329"/>
    <w:rsid w:val="000218EC"/>
    <w:rsid w:val="00027E72"/>
    <w:rsid w:val="000301E2"/>
    <w:rsid w:val="000328C5"/>
    <w:rsid w:val="000447DD"/>
    <w:rsid w:val="0005052B"/>
    <w:rsid w:val="000540B3"/>
    <w:rsid w:val="00055C18"/>
    <w:rsid w:val="0005615C"/>
    <w:rsid w:val="00061E07"/>
    <w:rsid w:val="000649D8"/>
    <w:rsid w:val="000658CB"/>
    <w:rsid w:val="00066060"/>
    <w:rsid w:val="00072AF7"/>
    <w:rsid w:val="0007552B"/>
    <w:rsid w:val="000959E1"/>
    <w:rsid w:val="000A0A52"/>
    <w:rsid w:val="000A1B52"/>
    <w:rsid w:val="000A1C34"/>
    <w:rsid w:val="000A1E80"/>
    <w:rsid w:val="000A6E63"/>
    <w:rsid w:val="000B3BF6"/>
    <w:rsid w:val="000B4160"/>
    <w:rsid w:val="000B45D7"/>
    <w:rsid w:val="000B6102"/>
    <w:rsid w:val="000B7B1E"/>
    <w:rsid w:val="000C405D"/>
    <w:rsid w:val="000D138F"/>
    <w:rsid w:val="000D41B5"/>
    <w:rsid w:val="000D41E0"/>
    <w:rsid w:val="000D4E7F"/>
    <w:rsid w:val="000D5473"/>
    <w:rsid w:val="000D59E5"/>
    <w:rsid w:val="000E6617"/>
    <w:rsid w:val="00115730"/>
    <w:rsid w:val="0012070F"/>
    <w:rsid w:val="00127060"/>
    <w:rsid w:val="001470E8"/>
    <w:rsid w:val="00150521"/>
    <w:rsid w:val="00153427"/>
    <w:rsid w:val="0015671A"/>
    <w:rsid w:val="001573DE"/>
    <w:rsid w:val="00182FB2"/>
    <w:rsid w:val="00197E1F"/>
    <w:rsid w:val="00197E3E"/>
    <w:rsid w:val="001A59DE"/>
    <w:rsid w:val="001B6505"/>
    <w:rsid w:val="001C7A4C"/>
    <w:rsid w:val="001D5BF6"/>
    <w:rsid w:val="001F0B8B"/>
    <w:rsid w:val="001F4E90"/>
    <w:rsid w:val="0020319F"/>
    <w:rsid w:val="00215D99"/>
    <w:rsid w:val="0021694A"/>
    <w:rsid w:val="00220075"/>
    <w:rsid w:val="00220B10"/>
    <w:rsid w:val="00223E72"/>
    <w:rsid w:val="00227DE4"/>
    <w:rsid w:val="002348D9"/>
    <w:rsid w:val="002348FA"/>
    <w:rsid w:val="00247EFC"/>
    <w:rsid w:val="00257436"/>
    <w:rsid w:val="0026035D"/>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D49D0"/>
    <w:rsid w:val="002E0B93"/>
    <w:rsid w:val="002E39E8"/>
    <w:rsid w:val="002F6580"/>
    <w:rsid w:val="00300223"/>
    <w:rsid w:val="00301549"/>
    <w:rsid w:val="00304D86"/>
    <w:rsid w:val="003070DC"/>
    <w:rsid w:val="00312B57"/>
    <w:rsid w:val="00341353"/>
    <w:rsid w:val="0035301A"/>
    <w:rsid w:val="00357828"/>
    <w:rsid w:val="0036506F"/>
    <w:rsid w:val="0036685A"/>
    <w:rsid w:val="00371BC0"/>
    <w:rsid w:val="00377B85"/>
    <w:rsid w:val="00392306"/>
    <w:rsid w:val="003A2616"/>
    <w:rsid w:val="003A7F2C"/>
    <w:rsid w:val="003D2210"/>
    <w:rsid w:val="003D3AF3"/>
    <w:rsid w:val="003D3DB8"/>
    <w:rsid w:val="003E0E92"/>
    <w:rsid w:val="003E1D2F"/>
    <w:rsid w:val="003E5930"/>
    <w:rsid w:val="003F2BF1"/>
    <w:rsid w:val="003F3205"/>
    <w:rsid w:val="004012E4"/>
    <w:rsid w:val="004023AC"/>
    <w:rsid w:val="00414D5B"/>
    <w:rsid w:val="00416F99"/>
    <w:rsid w:val="00431962"/>
    <w:rsid w:val="00433DAC"/>
    <w:rsid w:val="00434A8A"/>
    <w:rsid w:val="004445D6"/>
    <w:rsid w:val="00447802"/>
    <w:rsid w:val="00456C36"/>
    <w:rsid w:val="00456F4B"/>
    <w:rsid w:val="00462568"/>
    <w:rsid w:val="00472C1A"/>
    <w:rsid w:val="004855D9"/>
    <w:rsid w:val="004A483B"/>
    <w:rsid w:val="004A5DEA"/>
    <w:rsid w:val="004B1822"/>
    <w:rsid w:val="004B569D"/>
    <w:rsid w:val="004C131F"/>
    <w:rsid w:val="004D283C"/>
    <w:rsid w:val="004D75A9"/>
    <w:rsid w:val="004E22E6"/>
    <w:rsid w:val="004F0C55"/>
    <w:rsid w:val="004F16E7"/>
    <w:rsid w:val="00505DD6"/>
    <w:rsid w:val="00511152"/>
    <w:rsid w:val="0051618C"/>
    <w:rsid w:val="0055205C"/>
    <w:rsid w:val="00574E1F"/>
    <w:rsid w:val="00583AD9"/>
    <w:rsid w:val="00585144"/>
    <w:rsid w:val="005D4042"/>
    <w:rsid w:val="005D591B"/>
    <w:rsid w:val="005D6040"/>
    <w:rsid w:val="00600382"/>
    <w:rsid w:val="006206E8"/>
    <w:rsid w:val="00621D14"/>
    <w:rsid w:val="00624E74"/>
    <w:rsid w:val="00626AF8"/>
    <w:rsid w:val="00626F9A"/>
    <w:rsid w:val="0065442E"/>
    <w:rsid w:val="00655FE4"/>
    <w:rsid w:val="006603DF"/>
    <w:rsid w:val="0066318A"/>
    <w:rsid w:val="006938C5"/>
    <w:rsid w:val="006A2C2A"/>
    <w:rsid w:val="006A35D1"/>
    <w:rsid w:val="006A3F5D"/>
    <w:rsid w:val="006B50D4"/>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749"/>
    <w:rsid w:val="0078583C"/>
    <w:rsid w:val="00792E03"/>
    <w:rsid w:val="0079373C"/>
    <w:rsid w:val="007A5815"/>
    <w:rsid w:val="007B10D1"/>
    <w:rsid w:val="007B677E"/>
    <w:rsid w:val="007B746D"/>
    <w:rsid w:val="007C0CD5"/>
    <w:rsid w:val="007C4700"/>
    <w:rsid w:val="007C7C58"/>
    <w:rsid w:val="007D3E5A"/>
    <w:rsid w:val="007D60FF"/>
    <w:rsid w:val="007E4414"/>
    <w:rsid w:val="007F6420"/>
    <w:rsid w:val="00804540"/>
    <w:rsid w:val="0083623C"/>
    <w:rsid w:val="00852D32"/>
    <w:rsid w:val="00853402"/>
    <w:rsid w:val="00854449"/>
    <w:rsid w:val="008575F1"/>
    <w:rsid w:val="0086476E"/>
    <w:rsid w:val="0087172E"/>
    <w:rsid w:val="00882F85"/>
    <w:rsid w:val="00886C14"/>
    <w:rsid w:val="00887911"/>
    <w:rsid w:val="008A1FB2"/>
    <w:rsid w:val="008A2B9D"/>
    <w:rsid w:val="008A4C3C"/>
    <w:rsid w:val="008B0DD1"/>
    <w:rsid w:val="008B5D1D"/>
    <w:rsid w:val="008B7950"/>
    <w:rsid w:val="008C13E8"/>
    <w:rsid w:val="008C2303"/>
    <w:rsid w:val="008C495E"/>
    <w:rsid w:val="008C55B1"/>
    <w:rsid w:val="0090054A"/>
    <w:rsid w:val="009078F0"/>
    <w:rsid w:val="00912158"/>
    <w:rsid w:val="00915D99"/>
    <w:rsid w:val="00916F88"/>
    <w:rsid w:val="00921AD3"/>
    <w:rsid w:val="00922740"/>
    <w:rsid w:val="0093171E"/>
    <w:rsid w:val="009425B7"/>
    <w:rsid w:val="00950AA4"/>
    <w:rsid w:val="009528D9"/>
    <w:rsid w:val="009624AE"/>
    <w:rsid w:val="00965238"/>
    <w:rsid w:val="0097610B"/>
    <w:rsid w:val="0097639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D468C"/>
    <w:rsid w:val="00AE5D02"/>
    <w:rsid w:val="00AF4AA5"/>
    <w:rsid w:val="00B17CED"/>
    <w:rsid w:val="00B20497"/>
    <w:rsid w:val="00B21983"/>
    <w:rsid w:val="00B25A83"/>
    <w:rsid w:val="00B6015F"/>
    <w:rsid w:val="00B61147"/>
    <w:rsid w:val="00B62125"/>
    <w:rsid w:val="00B62126"/>
    <w:rsid w:val="00B62713"/>
    <w:rsid w:val="00B64891"/>
    <w:rsid w:val="00B71877"/>
    <w:rsid w:val="00B73C28"/>
    <w:rsid w:val="00B770FE"/>
    <w:rsid w:val="00B85DFF"/>
    <w:rsid w:val="00B874B7"/>
    <w:rsid w:val="00B87C9E"/>
    <w:rsid w:val="00B91814"/>
    <w:rsid w:val="00BA0B26"/>
    <w:rsid w:val="00BA7B2C"/>
    <w:rsid w:val="00BB7F54"/>
    <w:rsid w:val="00BC610A"/>
    <w:rsid w:val="00BD0804"/>
    <w:rsid w:val="00BD65EE"/>
    <w:rsid w:val="00BD7EBC"/>
    <w:rsid w:val="00BE2780"/>
    <w:rsid w:val="00BE7495"/>
    <w:rsid w:val="00BF0672"/>
    <w:rsid w:val="00BF1550"/>
    <w:rsid w:val="00BF4F9A"/>
    <w:rsid w:val="00BF7D0E"/>
    <w:rsid w:val="00C12E3E"/>
    <w:rsid w:val="00C34E83"/>
    <w:rsid w:val="00C46144"/>
    <w:rsid w:val="00C47469"/>
    <w:rsid w:val="00C505AE"/>
    <w:rsid w:val="00C66DB1"/>
    <w:rsid w:val="00C670BC"/>
    <w:rsid w:val="00C7140E"/>
    <w:rsid w:val="00C77777"/>
    <w:rsid w:val="00C85ECA"/>
    <w:rsid w:val="00CA1C69"/>
    <w:rsid w:val="00CA3BCB"/>
    <w:rsid w:val="00CA7296"/>
    <w:rsid w:val="00CB2110"/>
    <w:rsid w:val="00CB6E2B"/>
    <w:rsid w:val="00CC28AB"/>
    <w:rsid w:val="00CC2C53"/>
    <w:rsid w:val="00CD3D78"/>
    <w:rsid w:val="00CD7080"/>
    <w:rsid w:val="00CD788A"/>
    <w:rsid w:val="00CE4FC7"/>
    <w:rsid w:val="00CE5ABB"/>
    <w:rsid w:val="00CF5574"/>
    <w:rsid w:val="00CF65DD"/>
    <w:rsid w:val="00D0319E"/>
    <w:rsid w:val="00D03363"/>
    <w:rsid w:val="00D06CB0"/>
    <w:rsid w:val="00D104E8"/>
    <w:rsid w:val="00D12EAC"/>
    <w:rsid w:val="00D13805"/>
    <w:rsid w:val="00D22BF7"/>
    <w:rsid w:val="00D276C0"/>
    <w:rsid w:val="00D3039F"/>
    <w:rsid w:val="00D32B08"/>
    <w:rsid w:val="00D37130"/>
    <w:rsid w:val="00D435DB"/>
    <w:rsid w:val="00D46F69"/>
    <w:rsid w:val="00D521AE"/>
    <w:rsid w:val="00D63942"/>
    <w:rsid w:val="00D63AF2"/>
    <w:rsid w:val="00D66AEE"/>
    <w:rsid w:val="00D710D7"/>
    <w:rsid w:val="00D72D1D"/>
    <w:rsid w:val="00D7687B"/>
    <w:rsid w:val="00D87535"/>
    <w:rsid w:val="00D906DE"/>
    <w:rsid w:val="00D96A08"/>
    <w:rsid w:val="00DA3C42"/>
    <w:rsid w:val="00DA6F42"/>
    <w:rsid w:val="00DB06A2"/>
    <w:rsid w:val="00DB2849"/>
    <w:rsid w:val="00DB70AE"/>
    <w:rsid w:val="00DD3375"/>
    <w:rsid w:val="00DE5BCE"/>
    <w:rsid w:val="00DF74BC"/>
    <w:rsid w:val="00E07DDD"/>
    <w:rsid w:val="00E136F7"/>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A1A14"/>
    <w:rsid w:val="00EB0DF5"/>
    <w:rsid w:val="00EC0693"/>
    <w:rsid w:val="00EC7330"/>
    <w:rsid w:val="00ED03AD"/>
    <w:rsid w:val="00ED2B5E"/>
    <w:rsid w:val="00ED78EE"/>
    <w:rsid w:val="00EE0ABC"/>
    <w:rsid w:val="00EF044D"/>
    <w:rsid w:val="00EF470E"/>
    <w:rsid w:val="00EF4EA3"/>
    <w:rsid w:val="00EF6715"/>
    <w:rsid w:val="00F0560A"/>
    <w:rsid w:val="00F13C7E"/>
    <w:rsid w:val="00F15BF4"/>
    <w:rsid w:val="00F16626"/>
    <w:rsid w:val="00F33658"/>
    <w:rsid w:val="00F35CCE"/>
    <w:rsid w:val="00F40887"/>
    <w:rsid w:val="00F42487"/>
    <w:rsid w:val="00F56F48"/>
    <w:rsid w:val="00F64EF4"/>
    <w:rsid w:val="00F7091A"/>
    <w:rsid w:val="00F73349"/>
    <w:rsid w:val="00F75A3D"/>
    <w:rsid w:val="00F76960"/>
    <w:rsid w:val="00F772C1"/>
    <w:rsid w:val="00F810DB"/>
    <w:rsid w:val="00F858FD"/>
    <w:rsid w:val="00F868F7"/>
    <w:rsid w:val="00F94497"/>
    <w:rsid w:val="00F95B17"/>
    <w:rsid w:val="00FA6D95"/>
    <w:rsid w:val="00FB693A"/>
    <w:rsid w:val="00FB72A5"/>
    <w:rsid w:val="00FC30F3"/>
    <w:rsid w:val="00FD467E"/>
    <w:rsid w:val="00FD78AF"/>
    <w:rsid w:val="00FE13D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26032;&#26700;&#38754;&#23601;&#26159;&#23427;&#20102;\&#20154;&#27665;&#24065;&#21608;&#25253;\&#27599;&#21608;&#26356;&#2603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'图表6 在岸、离岸人民币及价差'!$G$1</c:f>
              <c:strCache>
                <c:ptCount val="1"/>
                <c:pt idx="0">
                  <c:v>价差(右轴)</c:v>
                </c:pt>
              </c:strCache>
            </c:strRef>
          </c:tx>
          <c:spPr>
            <a:solidFill>
              <a:schemeClr val="bg1">
                <a:lumMod val="65000"/>
              </a:schemeClr>
            </a:solidFill>
            <a:ln>
              <a:noFill/>
            </a:ln>
            <a:effectLst/>
          </c:spPr>
          <c:invertIfNegative val="0"/>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在岸、离岸人民币及价差'!$G$5:$G$10</c:f>
              <c:numCache>
                <c:formatCode>0.0000_ </c:formatCode>
                <c:ptCount val="6"/>
                <c:pt idx="0">
                  <c:v>3.0100000000000016E-2</c:v>
                </c:pt>
                <c:pt idx="1">
                  <c:v>9.1000000000000192E-2</c:v>
                </c:pt>
                <c:pt idx="2">
                  <c:v>-2.7999999999996916E-3</c:v>
                </c:pt>
                <c:pt idx="3">
                  <c:v>-3.110000000000035E-2</c:v>
                </c:pt>
                <c:pt idx="4">
                  <c:v>-4.3199999999999683E-2</c:v>
                </c:pt>
                <c:pt idx="5">
                  <c:v>9.9999999999997868E-3</c:v>
                </c:pt>
              </c:numCache>
            </c:numRef>
          </c:val>
          <c:extLst>
            <c:ext xmlns:c16="http://schemas.microsoft.com/office/drawing/2014/chart" uri="{C3380CC4-5D6E-409C-BE32-E72D297353CC}">
              <c16:uniqueId val="{00000000-CC67-4336-8B53-72C674E8EDED}"/>
            </c:ext>
          </c:extLst>
        </c:ser>
        <c:dLbls>
          <c:showLegendKey val="0"/>
          <c:showVal val="0"/>
          <c:showCatName val="0"/>
          <c:showSerName val="0"/>
          <c:showPercent val="0"/>
          <c:showBubbleSize val="0"/>
        </c:dLbls>
        <c:gapWidth val="219"/>
        <c:overlap val="-27"/>
        <c:axId val="1620896639"/>
        <c:axId val="1620883743"/>
      </c:barChart>
      <c:lineChart>
        <c:grouping val="standard"/>
        <c:varyColors val="0"/>
        <c:ser>
          <c:idx val="1"/>
          <c:order val="1"/>
          <c:tx>
            <c:strRef>
              <c:f>'图表6 在岸、离岸人民币及价差'!$B$1</c:f>
              <c:strCache>
                <c:ptCount val="1"/>
                <c:pt idx="0">
                  <c:v>美元兑人民币(CFETS)</c:v>
                </c:pt>
              </c:strCache>
            </c:strRef>
          </c:tx>
          <c:spPr>
            <a:ln w="28575" cap="rnd">
              <a:solidFill>
                <a:schemeClr val="accent5"/>
              </a:solidFill>
              <a:round/>
            </a:ln>
            <a:effectLst/>
          </c:spPr>
          <c:marker>
            <c:symbol val="none"/>
          </c:marker>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在岸、离岸人民币及价差'!$B$5:$B$10</c:f>
              <c:numCache>
                <c:formatCode>0.0000</c:formatCode>
                <c:ptCount val="6"/>
                <c:pt idx="0">
                  <c:v>7.3148999999999997</c:v>
                </c:pt>
                <c:pt idx="1">
                  <c:v>7.3368000000000002</c:v>
                </c:pt>
                <c:pt idx="2">
                  <c:v>7.3498000000000001</c:v>
                </c:pt>
                <c:pt idx="3">
                  <c:v>7.3429000000000002</c:v>
                </c:pt>
                <c:pt idx="4">
                  <c:v>7.3244999999999996</c:v>
                </c:pt>
                <c:pt idx="5">
                  <c:v>7.3021000000000003</c:v>
                </c:pt>
              </c:numCache>
            </c:numRef>
          </c:val>
          <c:smooth val="0"/>
          <c:extLst>
            <c:ext xmlns:c16="http://schemas.microsoft.com/office/drawing/2014/chart" uri="{C3380CC4-5D6E-409C-BE32-E72D297353CC}">
              <c16:uniqueId val="{00000001-CC67-4336-8B53-72C674E8EDED}"/>
            </c:ext>
          </c:extLst>
        </c:ser>
        <c:ser>
          <c:idx val="2"/>
          <c:order val="2"/>
          <c:tx>
            <c:strRef>
              <c:f>'图表6 在岸、离岸人民币及价差'!$E$1</c:f>
              <c:strCache>
                <c:ptCount val="1"/>
                <c:pt idx="0">
                  <c:v>美元兑离岸人民币</c:v>
                </c:pt>
              </c:strCache>
            </c:strRef>
          </c:tx>
          <c:spPr>
            <a:ln w="28575" cap="rnd">
              <a:solidFill>
                <a:srgbClr val="C00000"/>
              </a:solidFill>
              <a:round/>
            </a:ln>
            <a:effectLst/>
          </c:spPr>
          <c:marker>
            <c:symbol val="none"/>
          </c:marker>
          <c:cat>
            <c:numRef>
              <c:f>'图表6 在岸、离岸人民币及价差'!$A$5:$A$10</c:f>
              <c:numCache>
                <c:formatCode>yyyy\-mm\-dd</c:formatCode>
                <c:ptCount val="6"/>
                <c:pt idx="0">
                  <c:v>45754</c:v>
                </c:pt>
                <c:pt idx="1">
                  <c:v>45755</c:v>
                </c:pt>
                <c:pt idx="2">
                  <c:v>45756</c:v>
                </c:pt>
                <c:pt idx="3">
                  <c:v>45757</c:v>
                </c:pt>
                <c:pt idx="4">
                  <c:v>45758</c:v>
                </c:pt>
                <c:pt idx="5">
                  <c:v>45761</c:v>
                </c:pt>
              </c:numCache>
            </c:numRef>
          </c:cat>
          <c:val>
            <c:numRef>
              <c:f>'图表6 在岸、离岸人民币及价差'!$E$5:$E$10</c:f>
              <c:numCache>
                <c:formatCode>0.0000</c:formatCode>
                <c:ptCount val="6"/>
                <c:pt idx="0">
                  <c:v>7.3449999999999998</c:v>
                </c:pt>
                <c:pt idx="1">
                  <c:v>7.4278000000000004</c:v>
                </c:pt>
                <c:pt idx="2">
                  <c:v>7.3470000000000004</c:v>
                </c:pt>
                <c:pt idx="3">
                  <c:v>7.3117999999999999</c:v>
                </c:pt>
                <c:pt idx="4">
                  <c:v>7.2812999999999999</c:v>
                </c:pt>
                <c:pt idx="5">
                  <c:v>7.3121</c:v>
                </c:pt>
              </c:numCache>
            </c:numRef>
          </c:val>
          <c:smooth val="0"/>
          <c:extLst>
            <c:ext xmlns:c16="http://schemas.microsoft.com/office/drawing/2014/chart" uri="{C3380CC4-5D6E-409C-BE32-E72D297353CC}">
              <c16:uniqueId val="{00000002-CC67-4336-8B53-72C674E8EDED}"/>
            </c:ext>
          </c:extLst>
        </c:ser>
        <c:dLbls>
          <c:showLegendKey val="0"/>
          <c:showVal val="0"/>
          <c:showCatName val="0"/>
          <c:showSerName val="0"/>
          <c:showPercent val="0"/>
          <c:showBubbleSize val="0"/>
        </c:dLbls>
        <c:marker val="1"/>
        <c:smooth val="0"/>
        <c:axId val="614802079"/>
        <c:axId val="614798335"/>
      </c:lineChart>
      <c:catAx>
        <c:axId val="614802079"/>
        <c:scaling>
          <c:orientation val="minMax"/>
        </c:scaling>
        <c:delete val="0"/>
        <c:axPos val="b"/>
        <c:numFmt formatCode="yyyy\-mm\-dd"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614798335"/>
        <c:crosses val="autoZero"/>
        <c:auto val="0"/>
        <c:lblAlgn val="ctr"/>
        <c:lblOffset val="100"/>
        <c:noMultiLvlLbl val="0"/>
      </c:catAx>
      <c:valAx>
        <c:axId val="61479833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14802079"/>
        <c:crosses val="autoZero"/>
        <c:crossBetween val="between"/>
      </c:valAx>
      <c:valAx>
        <c:axId val="1620883743"/>
        <c:scaling>
          <c:orientation val="minMax"/>
        </c:scaling>
        <c:delete val="0"/>
        <c:axPos val="r"/>
        <c:numFmt formatCode="0.0000_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620896639"/>
        <c:crosses val="max"/>
        <c:crossBetween val="between"/>
      </c:valAx>
      <c:catAx>
        <c:axId val="1620896639"/>
        <c:scaling>
          <c:orientation val="minMax"/>
        </c:scaling>
        <c:delete val="1"/>
        <c:axPos val="b"/>
        <c:numFmt formatCode="yyyy\-mm\-dd" sourceLinked="1"/>
        <c:majorTickMark val="out"/>
        <c:minorTickMark val="none"/>
        <c:tickLblPos val="nextTo"/>
        <c:crossAx val="1620883743"/>
        <c:crosses val="autoZero"/>
        <c:auto val="0"/>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宋体" panose="02010600030101010101" pitchFamily="2" charset="-122"/>
              <a:ea typeface="宋体" panose="02010600030101010101" pitchFamily="2" charset="-122"/>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B31E0-7056-4D04-BBE7-D0687784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4</cp:revision>
  <cp:lastPrinted>2024-12-24T02:37:00Z</cp:lastPrinted>
  <dcterms:created xsi:type="dcterms:W3CDTF">2025-04-15T00:34:00Z</dcterms:created>
  <dcterms:modified xsi:type="dcterms:W3CDTF">2025-04-15T01:52:00Z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