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D4FFCB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F1672">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2B3A18">
        <w:rPr>
          <w:rFonts w:ascii="微软雅黑" w:eastAsia="微软雅黑" w:hAnsi="微软雅黑" w:cs="微软雅黑" w:hint="eastAsia"/>
          <w:b/>
          <w:bCs/>
          <w:color w:val="005D97"/>
          <w:spacing w:val="-22"/>
          <w:sz w:val="48"/>
          <w:szCs w:val="48"/>
          <w:lang w:eastAsia="zh-CN"/>
        </w:rPr>
        <w:t>24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66649E7" w:rsidR="00904B93" w:rsidRDefault="0031770C" w:rsidP="0059328D">
      <w:pPr>
        <w:ind w:firstLineChars="200" w:firstLine="468"/>
        <w:rPr>
          <w:rFonts w:ascii="微软雅黑" w:eastAsia="微软雅黑" w:hAnsi="微软雅黑" w:cs="微软雅黑"/>
          <w:spacing w:val="12"/>
          <w:lang w:eastAsia="zh-CN"/>
        </w:rPr>
      </w:pPr>
      <w:r w:rsidRPr="0031770C">
        <w:rPr>
          <w:rFonts w:ascii="微软雅黑" w:eastAsia="微软雅黑" w:hAnsi="微软雅黑" w:cs="微软雅黑" w:hint="eastAsia"/>
          <w:spacing w:val="12"/>
          <w:lang w:eastAsia="zh-CN"/>
        </w:rPr>
        <w:t>美国三大股指收盘涨跌不一，道指</w:t>
      </w:r>
      <w:r w:rsidR="002B3A18">
        <w:rPr>
          <w:rFonts w:ascii="微软雅黑" w:eastAsia="微软雅黑" w:hAnsi="微软雅黑" w:cs="微软雅黑" w:hint="eastAsia"/>
          <w:spacing w:val="12"/>
          <w:lang w:eastAsia="zh-CN"/>
        </w:rPr>
        <w:t>涨</w:t>
      </w:r>
      <w:r w:rsidRPr="0031770C">
        <w:rPr>
          <w:rFonts w:ascii="微软雅黑" w:eastAsia="微软雅黑" w:hAnsi="微软雅黑" w:cs="微软雅黑"/>
          <w:spacing w:val="12"/>
          <w:lang w:eastAsia="zh-CN"/>
        </w:rPr>
        <w:t>0.</w:t>
      </w:r>
      <w:r w:rsidR="002B3A18">
        <w:rPr>
          <w:rFonts w:ascii="微软雅黑" w:eastAsia="微软雅黑" w:hAnsi="微软雅黑" w:cs="微软雅黑" w:hint="eastAsia"/>
          <w:spacing w:val="12"/>
          <w:lang w:eastAsia="zh-CN"/>
        </w:rPr>
        <w:t>89</w:t>
      </w:r>
      <w:r w:rsidRPr="0031770C">
        <w:rPr>
          <w:rFonts w:ascii="微软雅黑" w:eastAsia="微软雅黑" w:hAnsi="微软雅黑" w:cs="微软雅黑"/>
          <w:spacing w:val="12"/>
          <w:lang w:eastAsia="zh-CN"/>
        </w:rPr>
        <w:t>%</w:t>
      </w:r>
      <w:r w:rsidRPr="0031770C">
        <w:rPr>
          <w:rFonts w:ascii="微软雅黑" w:eastAsia="微软雅黑" w:hAnsi="微软雅黑" w:cs="微软雅黑" w:hint="eastAsia"/>
          <w:spacing w:val="12"/>
          <w:lang w:eastAsia="zh-CN"/>
        </w:rPr>
        <w:t>报</w:t>
      </w:r>
      <w:r w:rsidRPr="0031770C">
        <w:rPr>
          <w:rFonts w:ascii="微软雅黑" w:eastAsia="微软雅黑" w:hAnsi="微软雅黑" w:cs="微软雅黑"/>
          <w:spacing w:val="12"/>
          <w:lang w:eastAsia="zh-CN"/>
        </w:rPr>
        <w:t>42</w:t>
      </w:r>
      <w:r w:rsidR="002B3A18">
        <w:rPr>
          <w:rFonts w:ascii="微软雅黑" w:eastAsia="微软雅黑" w:hAnsi="微软雅黑" w:cs="微软雅黑" w:hint="eastAsia"/>
          <w:spacing w:val="12"/>
          <w:lang w:eastAsia="zh-CN"/>
        </w:rPr>
        <w:t>581.78</w:t>
      </w:r>
      <w:r w:rsidRPr="0031770C">
        <w:rPr>
          <w:rFonts w:ascii="微软雅黑" w:eastAsia="微软雅黑" w:hAnsi="微软雅黑" w:cs="微软雅黑" w:hint="eastAsia"/>
          <w:spacing w:val="12"/>
          <w:lang w:eastAsia="zh-CN"/>
        </w:rPr>
        <w:t>点，标普</w:t>
      </w:r>
      <w:r w:rsidRPr="0031770C">
        <w:rPr>
          <w:rFonts w:ascii="微软雅黑" w:eastAsia="微软雅黑" w:hAnsi="微软雅黑" w:cs="微软雅黑"/>
          <w:spacing w:val="12"/>
          <w:lang w:eastAsia="zh-CN"/>
        </w:rPr>
        <w:t>500</w:t>
      </w:r>
      <w:r w:rsidRPr="0031770C">
        <w:rPr>
          <w:rFonts w:ascii="微软雅黑" w:eastAsia="微软雅黑" w:hAnsi="微软雅黑" w:cs="微软雅黑" w:hint="eastAsia"/>
          <w:spacing w:val="12"/>
          <w:lang w:eastAsia="zh-CN"/>
        </w:rPr>
        <w:t>指数</w:t>
      </w:r>
      <w:r w:rsidR="002B3A18">
        <w:rPr>
          <w:rFonts w:ascii="微软雅黑" w:eastAsia="微软雅黑" w:hAnsi="微软雅黑" w:cs="微软雅黑" w:hint="eastAsia"/>
          <w:spacing w:val="12"/>
          <w:lang w:eastAsia="zh-CN"/>
        </w:rPr>
        <w:t>涨</w:t>
      </w:r>
      <w:r w:rsidRPr="0031770C">
        <w:rPr>
          <w:rFonts w:ascii="微软雅黑" w:eastAsia="微软雅黑" w:hAnsi="微软雅黑" w:cs="微软雅黑"/>
          <w:spacing w:val="12"/>
          <w:lang w:eastAsia="zh-CN"/>
        </w:rPr>
        <w:t>0.</w:t>
      </w:r>
      <w:r w:rsidR="002B3A18">
        <w:rPr>
          <w:rFonts w:ascii="微软雅黑" w:eastAsia="微软雅黑" w:hAnsi="微软雅黑" w:cs="微软雅黑" w:hint="eastAsia"/>
          <w:spacing w:val="12"/>
          <w:lang w:eastAsia="zh-CN"/>
        </w:rPr>
        <w:t>96</w:t>
      </w:r>
      <w:r w:rsidRPr="0031770C">
        <w:rPr>
          <w:rFonts w:ascii="微软雅黑" w:eastAsia="微软雅黑" w:hAnsi="微软雅黑" w:cs="微软雅黑"/>
          <w:spacing w:val="12"/>
          <w:lang w:eastAsia="zh-CN"/>
        </w:rPr>
        <w:t>%</w:t>
      </w:r>
      <w:r w:rsidRPr="0031770C">
        <w:rPr>
          <w:rFonts w:ascii="微软雅黑" w:eastAsia="微软雅黑" w:hAnsi="微软雅黑" w:cs="微软雅黑" w:hint="eastAsia"/>
          <w:spacing w:val="12"/>
          <w:lang w:eastAsia="zh-CN"/>
        </w:rPr>
        <w:t>报</w:t>
      </w:r>
      <w:r w:rsidR="002B3A18">
        <w:rPr>
          <w:rFonts w:ascii="微软雅黑" w:eastAsia="微软雅黑" w:hAnsi="微软雅黑" w:cs="微软雅黑" w:hint="eastAsia"/>
          <w:spacing w:val="12"/>
          <w:lang w:eastAsia="zh-CN"/>
        </w:rPr>
        <w:t>6025.17</w:t>
      </w:r>
      <w:r w:rsidRPr="0031770C">
        <w:rPr>
          <w:rFonts w:ascii="微软雅黑" w:eastAsia="微软雅黑" w:hAnsi="微软雅黑" w:cs="微软雅黑" w:hint="eastAsia"/>
          <w:spacing w:val="12"/>
          <w:lang w:eastAsia="zh-CN"/>
        </w:rPr>
        <w:t>点，纳指涨</w:t>
      </w:r>
      <w:r w:rsidRPr="0031770C">
        <w:rPr>
          <w:rFonts w:ascii="微软雅黑" w:eastAsia="微软雅黑" w:hAnsi="微软雅黑" w:cs="微软雅黑"/>
          <w:spacing w:val="12"/>
          <w:lang w:eastAsia="zh-CN"/>
        </w:rPr>
        <w:t>0.</w:t>
      </w:r>
      <w:r w:rsidR="002B3A18">
        <w:rPr>
          <w:rFonts w:ascii="微软雅黑" w:eastAsia="微软雅黑" w:hAnsi="微软雅黑" w:cs="微软雅黑" w:hint="eastAsia"/>
          <w:spacing w:val="12"/>
          <w:lang w:eastAsia="zh-CN"/>
        </w:rPr>
        <w:t>94</w:t>
      </w:r>
      <w:r w:rsidRPr="0031770C">
        <w:rPr>
          <w:rFonts w:ascii="微软雅黑" w:eastAsia="微软雅黑" w:hAnsi="微软雅黑" w:cs="微软雅黑"/>
          <w:spacing w:val="12"/>
          <w:lang w:eastAsia="zh-CN"/>
        </w:rPr>
        <w:t>%</w:t>
      </w:r>
      <w:r w:rsidRPr="0031770C">
        <w:rPr>
          <w:rFonts w:ascii="微软雅黑" w:eastAsia="微软雅黑" w:hAnsi="微软雅黑" w:cs="微软雅黑" w:hint="eastAsia"/>
          <w:spacing w:val="12"/>
          <w:lang w:eastAsia="zh-CN"/>
        </w:rPr>
        <w:t>报</w:t>
      </w:r>
      <w:r w:rsidRPr="0031770C">
        <w:rPr>
          <w:rFonts w:ascii="微软雅黑" w:eastAsia="微软雅黑" w:hAnsi="微软雅黑" w:cs="微软雅黑"/>
          <w:spacing w:val="12"/>
          <w:lang w:eastAsia="zh-CN"/>
        </w:rPr>
        <w:t>19</w:t>
      </w:r>
      <w:r w:rsidR="002B3A18">
        <w:rPr>
          <w:rFonts w:ascii="微软雅黑" w:eastAsia="微软雅黑" w:hAnsi="微软雅黑" w:cs="微软雅黑" w:hint="eastAsia"/>
          <w:spacing w:val="12"/>
          <w:lang w:eastAsia="zh-CN"/>
        </w:rPr>
        <w:t>630.97</w:t>
      </w:r>
      <w:r>
        <w:rPr>
          <w:rFonts w:ascii="微软雅黑" w:eastAsia="微软雅黑" w:hAnsi="微软雅黑" w:cs="微软雅黑" w:hint="eastAsia"/>
          <w:spacing w:val="12"/>
          <w:lang w:eastAsia="zh-CN"/>
        </w:rPr>
        <w:t>点</w:t>
      </w:r>
      <w:r w:rsidR="001C290A" w:rsidRPr="001C290A">
        <w:rPr>
          <w:rFonts w:ascii="微软雅黑" w:eastAsia="微软雅黑" w:hAnsi="微软雅黑" w:cs="微软雅黑" w:hint="eastAsia"/>
          <w:spacing w:val="12"/>
          <w:lang w:eastAsia="zh-CN"/>
        </w:rPr>
        <w:t>。</w:t>
      </w:r>
      <w:r w:rsidR="002B3A18" w:rsidRPr="002B3A18">
        <w:rPr>
          <w:rFonts w:ascii="微软雅黑" w:eastAsia="微软雅黑" w:hAnsi="微软雅黑" w:cs="微软雅黑" w:hint="eastAsia"/>
          <w:spacing w:val="12"/>
          <w:lang w:eastAsia="zh-CN"/>
        </w:rPr>
        <w:t>美元指数跌0.39%报98.38，非美货币多数上涨，</w:t>
      </w:r>
      <w:r w:rsidR="002B3A18" w:rsidRPr="002B3A18">
        <w:rPr>
          <w:rFonts w:ascii="微软雅黑" w:eastAsia="微软雅黑" w:hAnsi="微软雅黑" w:cs="微软雅黑"/>
          <w:spacing w:val="12"/>
          <w:lang w:eastAsia="zh-CN"/>
        </w:rPr>
        <w:t>欧元兑美元</w:t>
      </w:r>
      <w:r w:rsidR="002B3A18" w:rsidRPr="002B3A18">
        <w:rPr>
          <w:rFonts w:ascii="微软雅黑" w:eastAsia="微软雅黑" w:hAnsi="微软雅黑" w:cs="微软雅黑" w:hint="eastAsia"/>
          <w:spacing w:val="12"/>
          <w:lang w:eastAsia="zh-CN"/>
        </w:rPr>
        <w:t>涨0.49%报1.1579，</w:t>
      </w:r>
      <w:r w:rsidR="002B3A18" w:rsidRPr="002B3A18">
        <w:rPr>
          <w:rFonts w:ascii="微软雅黑" w:eastAsia="微软雅黑" w:hAnsi="微软雅黑" w:cs="微软雅黑"/>
          <w:spacing w:val="12"/>
          <w:lang w:eastAsia="zh-CN"/>
        </w:rPr>
        <w:t>英镑兑美元</w:t>
      </w:r>
      <w:r w:rsidR="002B3A18" w:rsidRPr="002B3A18">
        <w:rPr>
          <w:rFonts w:ascii="微软雅黑" w:eastAsia="微软雅黑" w:hAnsi="微软雅黑" w:cs="微软雅黑" w:hint="eastAsia"/>
          <w:spacing w:val="12"/>
          <w:lang w:eastAsia="zh-CN"/>
        </w:rPr>
        <w:t>涨0.57%报1.3525，</w:t>
      </w:r>
      <w:r w:rsidR="002B3A18" w:rsidRPr="002B3A18">
        <w:rPr>
          <w:rFonts w:ascii="微软雅黑" w:eastAsia="微软雅黑" w:hAnsi="微软雅黑" w:cs="微软雅黑"/>
          <w:spacing w:val="12"/>
          <w:lang w:eastAsia="zh-CN"/>
        </w:rPr>
        <w:t>美元兑日元</w:t>
      </w:r>
      <w:r w:rsidR="002B3A18" w:rsidRPr="002B3A18">
        <w:rPr>
          <w:rFonts w:ascii="微软雅黑" w:eastAsia="微软雅黑" w:hAnsi="微软雅黑" w:cs="微软雅黑" w:hint="eastAsia"/>
          <w:spacing w:val="12"/>
          <w:lang w:eastAsia="zh-CN"/>
        </w:rPr>
        <w:t>涨0.02%报146.1395，</w:t>
      </w:r>
      <w:r w:rsidR="002B3A18" w:rsidRPr="002B3A18">
        <w:rPr>
          <w:rFonts w:ascii="微软雅黑" w:eastAsia="微软雅黑" w:hAnsi="微软雅黑" w:cs="微软雅黑"/>
          <w:spacing w:val="12"/>
          <w:lang w:eastAsia="zh-CN"/>
        </w:rPr>
        <w:t>离岸人民币对美元</w:t>
      </w:r>
      <w:r w:rsidR="002B3A18" w:rsidRPr="002B3A18">
        <w:rPr>
          <w:rFonts w:ascii="微软雅黑" w:eastAsia="微软雅黑" w:hAnsi="微软雅黑" w:cs="微软雅黑" w:hint="eastAsia"/>
          <w:spacing w:val="12"/>
          <w:lang w:eastAsia="zh-CN"/>
        </w:rPr>
        <w:t>涨40个基点报7.1754。国际油价大幅走低，</w:t>
      </w:r>
      <w:r w:rsidR="002B3A18" w:rsidRPr="002B3A18">
        <w:rPr>
          <w:rFonts w:ascii="微软雅黑" w:eastAsia="微软雅黑" w:hAnsi="微软雅黑" w:cs="微软雅黑"/>
          <w:spacing w:val="12"/>
          <w:lang w:eastAsia="zh-CN"/>
        </w:rPr>
        <w:t>美油</w:t>
      </w:r>
      <w:r w:rsidR="002B3A18" w:rsidRPr="002B3A18">
        <w:rPr>
          <w:rFonts w:ascii="微软雅黑" w:eastAsia="微软雅黑" w:hAnsi="微软雅黑" w:cs="微软雅黑" w:hint="eastAsia"/>
          <w:spacing w:val="12"/>
          <w:lang w:eastAsia="zh-CN"/>
        </w:rPr>
        <w:t>主力合约收跌8.95%，报67.23美元/桶；</w:t>
      </w:r>
      <w:r w:rsidR="002B3A18" w:rsidRPr="002B3A18">
        <w:rPr>
          <w:rFonts w:ascii="微软雅黑" w:eastAsia="微软雅黑" w:hAnsi="微软雅黑" w:cs="微软雅黑"/>
          <w:spacing w:val="12"/>
          <w:lang w:eastAsia="zh-CN"/>
        </w:rPr>
        <w:t>布伦特原油</w:t>
      </w:r>
      <w:r w:rsidR="002B3A18" w:rsidRPr="002B3A18">
        <w:rPr>
          <w:rFonts w:ascii="微软雅黑" w:eastAsia="微软雅黑" w:hAnsi="微软雅黑" w:cs="微软雅黑" w:hint="eastAsia"/>
          <w:spacing w:val="12"/>
          <w:lang w:eastAsia="zh-CN"/>
        </w:rPr>
        <w:t>主力合约跌8.37%，报69.16美元/桶。国际贵金属期货收盘涨跌不一，COMEX黄金期货跌0.04%报3384.40美元/盎司，</w:t>
      </w:r>
      <w:r w:rsidR="002B3A18" w:rsidRPr="002B3A18">
        <w:rPr>
          <w:rFonts w:ascii="微软雅黑" w:eastAsia="微软雅黑" w:hAnsi="微软雅黑" w:cs="微软雅黑"/>
          <w:spacing w:val="12"/>
          <w:lang w:eastAsia="zh-CN"/>
        </w:rPr>
        <w:t>COMEX白银期货</w:t>
      </w:r>
      <w:r w:rsidR="002B3A18" w:rsidRPr="002B3A18">
        <w:rPr>
          <w:rFonts w:ascii="微软雅黑" w:eastAsia="微软雅黑" w:hAnsi="微软雅黑" w:cs="微软雅黑" w:hint="eastAsia"/>
          <w:spacing w:val="12"/>
          <w:lang w:eastAsia="zh-CN"/>
        </w:rPr>
        <w:t>涨0.09%报36.05美元/盎司。</w:t>
      </w:r>
      <w:r w:rsidR="00C24CC6" w:rsidRPr="002B3A18">
        <w:rPr>
          <w:rFonts w:ascii="微软雅黑" w:eastAsia="微软雅黑" w:hAnsi="微软雅黑" w:cs="微软雅黑"/>
          <w:spacing w:val="12"/>
          <w:lang w:eastAsia="zh-CN"/>
        </w:rPr>
        <w:t>ICE</w:t>
      </w:r>
      <w:r w:rsidR="00C24CC6" w:rsidRPr="002B3A18">
        <w:rPr>
          <w:rFonts w:ascii="微软雅黑" w:eastAsia="微软雅黑" w:hAnsi="微软雅黑" w:cs="微软雅黑" w:hint="eastAsia"/>
          <w:spacing w:val="12"/>
          <w:lang w:eastAsia="zh-CN"/>
        </w:rPr>
        <w:t>原糖主力合约</w:t>
      </w:r>
      <w:r w:rsidR="001C290A" w:rsidRPr="002B3A18">
        <w:rPr>
          <w:rFonts w:ascii="微软雅黑" w:eastAsia="微软雅黑" w:hAnsi="微软雅黑" w:cs="微软雅黑" w:hint="eastAsia"/>
          <w:spacing w:val="12"/>
          <w:lang w:eastAsia="zh-CN"/>
        </w:rPr>
        <w:t>跌</w:t>
      </w:r>
      <w:r w:rsidRPr="002B3A18">
        <w:rPr>
          <w:rFonts w:ascii="微软雅黑" w:eastAsia="微软雅黑" w:hAnsi="微软雅黑" w:cs="微软雅黑"/>
          <w:spacing w:val="12"/>
          <w:lang w:eastAsia="zh-CN"/>
        </w:rPr>
        <w:t>0.</w:t>
      </w:r>
      <w:r w:rsidR="002B3A18">
        <w:rPr>
          <w:rFonts w:ascii="微软雅黑" w:eastAsia="微软雅黑" w:hAnsi="微软雅黑" w:cs="微软雅黑" w:hint="eastAsia"/>
          <w:spacing w:val="12"/>
          <w:lang w:eastAsia="zh-CN"/>
        </w:rPr>
        <w:t>30</w:t>
      </w:r>
      <w:r w:rsidR="00C24CC6" w:rsidRPr="002B3A18">
        <w:rPr>
          <w:rFonts w:ascii="微软雅黑" w:eastAsia="微软雅黑" w:hAnsi="微软雅黑" w:cs="微软雅黑"/>
          <w:spacing w:val="12"/>
          <w:lang w:eastAsia="zh-CN"/>
        </w:rPr>
        <w:t>%</w:t>
      </w:r>
      <w:r w:rsidR="00C24CC6" w:rsidRPr="002B3A18">
        <w:rPr>
          <w:rFonts w:ascii="微软雅黑" w:eastAsia="微软雅黑" w:hAnsi="微软雅黑" w:cs="微软雅黑" w:hint="eastAsia"/>
          <w:spacing w:val="12"/>
          <w:lang w:eastAsia="zh-CN"/>
        </w:rPr>
        <w:t>报</w:t>
      </w:r>
      <w:r w:rsidR="001C290A" w:rsidRPr="002B3A18">
        <w:rPr>
          <w:rFonts w:ascii="微软雅黑" w:eastAsia="微软雅黑" w:hAnsi="微软雅黑" w:cs="微软雅黑"/>
          <w:spacing w:val="12"/>
          <w:lang w:eastAsia="zh-CN"/>
        </w:rPr>
        <w:t>16.</w:t>
      </w:r>
      <w:r w:rsidR="002B3A18">
        <w:rPr>
          <w:rFonts w:ascii="微软雅黑" w:eastAsia="微软雅黑" w:hAnsi="微软雅黑" w:cs="微软雅黑" w:hint="eastAsia"/>
          <w:spacing w:val="12"/>
          <w:lang w:eastAsia="zh-CN"/>
        </w:rPr>
        <w:t>52</w:t>
      </w:r>
      <w:r w:rsidR="00C24CC6" w:rsidRPr="002B3A18">
        <w:rPr>
          <w:rFonts w:ascii="微软雅黑" w:eastAsia="微软雅黑" w:hAnsi="微软雅黑" w:cs="微软雅黑" w:hint="eastAsia"/>
          <w:spacing w:val="12"/>
          <w:lang w:eastAsia="zh-CN"/>
        </w:rPr>
        <w:t>分</w:t>
      </w:r>
      <w:r w:rsidR="00C24CC6" w:rsidRPr="002B3A18">
        <w:rPr>
          <w:rFonts w:ascii="微软雅黑" w:eastAsia="微软雅黑" w:hAnsi="微软雅黑" w:cs="微软雅黑"/>
          <w:spacing w:val="12"/>
          <w:lang w:eastAsia="zh-CN"/>
        </w:rPr>
        <w:t>/</w:t>
      </w:r>
      <w:r w:rsidR="00C24CC6" w:rsidRPr="002B3A18">
        <w:rPr>
          <w:rFonts w:ascii="微软雅黑" w:eastAsia="微软雅黑" w:hAnsi="微软雅黑" w:cs="微软雅黑" w:hint="eastAsia"/>
          <w:spacing w:val="12"/>
          <w:lang w:eastAsia="zh-CN"/>
        </w:rPr>
        <w:t>磅，</w:t>
      </w:r>
      <w:r w:rsidR="00C24CC6" w:rsidRPr="002B3A18">
        <w:rPr>
          <w:rFonts w:ascii="微软雅黑" w:eastAsia="微软雅黑" w:hAnsi="微软雅黑" w:cs="微软雅黑"/>
          <w:spacing w:val="12"/>
          <w:lang w:eastAsia="zh-CN"/>
        </w:rPr>
        <w:t>ICE</w:t>
      </w:r>
      <w:r w:rsidR="00C24CC6" w:rsidRPr="002B3A18">
        <w:rPr>
          <w:rFonts w:ascii="微软雅黑" w:eastAsia="微软雅黑" w:hAnsi="微软雅黑" w:cs="微软雅黑" w:hint="eastAsia"/>
          <w:spacing w:val="12"/>
          <w:lang w:eastAsia="zh-CN"/>
        </w:rPr>
        <w:t>棉花主力合约</w:t>
      </w:r>
      <w:r w:rsidR="002B3A18">
        <w:rPr>
          <w:rFonts w:ascii="微软雅黑" w:eastAsia="微软雅黑" w:hAnsi="微软雅黑" w:cs="微软雅黑" w:hint="eastAsia"/>
          <w:spacing w:val="12"/>
          <w:lang w:eastAsia="zh-CN"/>
        </w:rPr>
        <w:t>涨</w:t>
      </w:r>
      <w:r w:rsidRPr="002B3A18">
        <w:rPr>
          <w:rFonts w:ascii="微软雅黑" w:eastAsia="微软雅黑" w:hAnsi="微软雅黑" w:cs="微软雅黑"/>
          <w:spacing w:val="12"/>
          <w:lang w:eastAsia="zh-CN"/>
        </w:rPr>
        <w:t>1.</w:t>
      </w:r>
      <w:r w:rsidR="002B3A18">
        <w:rPr>
          <w:rFonts w:ascii="微软雅黑" w:eastAsia="微软雅黑" w:hAnsi="微软雅黑" w:cs="微软雅黑" w:hint="eastAsia"/>
          <w:spacing w:val="12"/>
          <w:lang w:eastAsia="zh-CN"/>
        </w:rPr>
        <w:t>29</w:t>
      </w:r>
      <w:r w:rsidR="00C24CC6" w:rsidRPr="002B3A18">
        <w:rPr>
          <w:rFonts w:ascii="微软雅黑" w:eastAsia="微软雅黑" w:hAnsi="微软雅黑" w:cs="微软雅黑"/>
          <w:spacing w:val="12"/>
          <w:lang w:eastAsia="zh-CN"/>
        </w:rPr>
        <w:t>%</w:t>
      </w:r>
      <w:r w:rsidR="00C24CC6" w:rsidRPr="002B3A18">
        <w:rPr>
          <w:rFonts w:ascii="微软雅黑" w:eastAsia="微软雅黑" w:hAnsi="微软雅黑" w:cs="微软雅黑" w:hint="eastAsia"/>
          <w:spacing w:val="12"/>
          <w:lang w:eastAsia="zh-CN"/>
        </w:rPr>
        <w:t>报</w:t>
      </w:r>
      <w:r w:rsidRPr="002B3A18">
        <w:rPr>
          <w:rFonts w:ascii="微软雅黑" w:eastAsia="微软雅黑" w:hAnsi="微软雅黑" w:cs="微软雅黑"/>
          <w:spacing w:val="12"/>
          <w:lang w:eastAsia="zh-CN"/>
        </w:rPr>
        <w:t>6</w:t>
      </w:r>
      <w:r w:rsidR="002B3A18">
        <w:rPr>
          <w:rFonts w:ascii="微软雅黑" w:eastAsia="微软雅黑" w:hAnsi="微软雅黑" w:cs="微软雅黑" w:hint="eastAsia"/>
          <w:spacing w:val="12"/>
          <w:lang w:eastAsia="zh-CN"/>
        </w:rPr>
        <w:t>7.56</w:t>
      </w:r>
      <w:r w:rsidR="00C24CC6" w:rsidRPr="002B3A18">
        <w:rPr>
          <w:rFonts w:ascii="微软雅黑" w:eastAsia="微软雅黑" w:hAnsi="微软雅黑" w:cs="微软雅黑"/>
          <w:spacing w:val="12"/>
          <w:lang w:eastAsia="zh-CN"/>
        </w:rPr>
        <w:t>/</w:t>
      </w:r>
      <w:r w:rsidR="00C24CC6" w:rsidRPr="002B3A18">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0A2A8D1C" w:rsidR="00557736" w:rsidRPr="0022448B" w:rsidRDefault="00A97AAE"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18EC884E" wp14:editId="15B5CAE4">
            <wp:extent cx="6255657" cy="392999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5825" cy="3936379"/>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2BE988D6" w:rsidR="0082015E" w:rsidRPr="002B3A18" w:rsidRDefault="0082015E" w:rsidP="001239E2">
      <w:pPr>
        <w:spacing w:before="102" w:line="257" w:lineRule="auto"/>
        <w:ind w:right="210"/>
        <w:jc w:val="both"/>
        <w:rPr>
          <w:rFonts w:ascii="微软雅黑" w:eastAsia="微软雅黑" w:hAnsi="微软雅黑" w:cs="微软雅黑"/>
          <w:color w:val="auto"/>
          <w:spacing w:val="4"/>
          <w:lang w:eastAsia="zh-CN"/>
        </w:rPr>
      </w:pPr>
      <w:r w:rsidRPr="002B3A18">
        <w:rPr>
          <w:rFonts w:ascii="微软雅黑" w:eastAsia="微软雅黑" w:hAnsi="微软雅黑" w:cs="微软雅黑" w:hint="eastAsia"/>
          <w:color w:val="auto"/>
          <w:spacing w:val="4"/>
          <w:lang w:eastAsia="zh-CN"/>
        </w:rPr>
        <w:t>【</w:t>
      </w:r>
      <w:r w:rsidR="002B3A18" w:rsidRPr="002B3A18">
        <w:rPr>
          <w:rFonts w:ascii="微软雅黑" w:eastAsia="微软雅黑" w:hAnsi="微软雅黑" w:cs="微软雅黑" w:hint="eastAsia"/>
          <w:color w:val="auto"/>
          <w:spacing w:val="4"/>
          <w:lang w:eastAsia="zh-CN"/>
        </w:rPr>
        <w:t>伊朗宣布对美军驻卡塔尔乌代德空军基地实施导弹打击。美国官员称，没有美方人员伤亡报告。除卡塔尔外，“没有记录到伊朗对其他国家的美军基地发动袭击”。特朗普对伊朗提前通知打击美军基地表示感谢，并称是时候实现和平了。伊朗方面只对美国在中东的一处基地进行了打击，且未有封锁霍尔木兹海峡的迹象。国际油价受此影响大跌约9%，美股上涨。</w:t>
      </w:r>
      <w:r w:rsidRPr="002B3A18">
        <w:rPr>
          <w:rFonts w:ascii="微软雅黑" w:eastAsia="微软雅黑" w:hAnsi="微软雅黑" w:cs="微软雅黑" w:hint="eastAsia"/>
          <w:color w:val="auto"/>
          <w:spacing w:val="4"/>
          <w:lang w:eastAsia="zh-CN"/>
        </w:rPr>
        <w:t>】</w:t>
      </w:r>
    </w:p>
    <w:p w14:paraId="19E9688E" w14:textId="77777777" w:rsidR="002B3A18" w:rsidRPr="002B3A18" w:rsidRDefault="00EF097E" w:rsidP="001239E2">
      <w:pPr>
        <w:spacing w:before="102" w:line="257" w:lineRule="auto"/>
        <w:ind w:right="210"/>
        <w:jc w:val="both"/>
        <w:rPr>
          <w:rFonts w:ascii="微软雅黑" w:eastAsia="微软雅黑" w:hAnsi="微软雅黑" w:cs="微软雅黑"/>
          <w:color w:val="auto"/>
          <w:spacing w:val="4"/>
          <w:lang w:eastAsia="zh-CN"/>
        </w:rPr>
      </w:pPr>
      <w:r w:rsidRPr="002B3A18">
        <w:rPr>
          <w:rFonts w:ascii="微软雅黑" w:eastAsia="微软雅黑" w:hAnsi="微软雅黑" w:cs="微软雅黑" w:hint="eastAsia"/>
          <w:color w:val="auto"/>
          <w:spacing w:val="4"/>
          <w:lang w:eastAsia="zh-CN"/>
        </w:rPr>
        <w:t>【</w:t>
      </w:r>
      <w:r w:rsidR="002B3A18" w:rsidRPr="002B3A18">
        <w:rPr>
          <w:rFonts w:ascii="微软雅黑" w:eastAsia="微软雅黑" w:hAnsi="微软雅黑" w:cs="微软雅黑" w:hint="eastAsia"/>
          <w:color w:val="auto"/>
          <w:spacing w:val="4"/>
          <w:lang w:eastAsia="zh-CN"/>
        </w:rPr>
        <w:t>美联储独立性受特朗普干预，地缘政治风险加剧，促使德国和意大利面临国内撤回超2450亿美元黄金储备的压力。欧洲纳税人协会和部分议员呼吁将黄金运回，确保本国央行拥有绝对控制权。两国央行在纽约联储的黄金占比超三分之一。</w:t>
      </w:r>
      <w:r w:rsidRPr="002B3A18">
        <w:rPr>
          <w:rFonts w:ascii="微软雅黑" w:eastAsia="微软雅黑" w:hAnsi="微软雅黑" w:cs="微软雅黑" w:hint="eastAsia"/>
          <w:color w:val="auto"/>
          <w:spacing w:val="4"/>
          <w:lang w:eastAsia="zh-CN"/>
        </w:rPr>
        <w:t>】</w:t>
      </w:r>
    </w:p>
    <w:p w14:paraId="3D875D2C" w14:textId="174A569C" w:rsidR="005A4147" w:rsidRPr="002B3A18" w:rsidRDefault="00DC11C4" w:rsidP="001239E2">
      <w:pPr>
        <w:spacing w:before="102" w:line="257" w:lineRule="auto"/>
        <w:ind w:right="210"/>
        <w:jc w:val="both"/>
        <w:rPr>
          <w:rFonts w:ascii="微软雅黑" w:eastAsia="微软雅黑" w:hAnsi="微软雅黑" w:cs="微软雅黑"/>
          <w:color w:val="auto"/>
          <w:spacing w:val="4"/>
          <w:lang w:eastAsia="zh-CN"/>
        </w:rPr>
      </w:pPr>
      <w:r w:rsidRPr="002B3A18">
        <w:rPr>
          <w:rFonts w:ascii="微软雅黑" w:eastAsia="微软雅黑" w:hAnsi="微软雅黑" w:cs="微软雅黑" w:hint="eastAsia"/>
          <w:color w:val="auto"/>
          <w:spacing w:val="4"/>
          <w:lang w:eastAsia="zh-CN"/>
        </w:rPr>
        <w:lastRenderedPageBreak/>
        <w:t>【</w:t>
      </w:r>
      <w:r w:rsidR="002B3A18" w:rsidRPr="002B3A18">
        <w:rPr>
          <w:rFonts w:ascii="微软雅黑" w:eastAsia="微软雅黑" w:hAnsi="微软雅黑" w:cs="微软雅黑" w:hint="eastAsia"/>
          <w:color w:val="auto"/>
          <w:spacing w:val="4"/>
          <w:lang w:eastAsia="zh-CN"/>
        </w:rPr>
        <w:t>美联储副主席鲍曼表示，可能支持最早7月降息。如果通胀继续下降，或者就业市场走弱，FOMC就可以降息。关税造成的价格上行压力似乎被抵消，并没有看到贸易形势造成重大的影响。</w:t>
      </w:r>
      <w:r w:rsidRPr="002B3A18">
        <w:rPr>
          <w:rFonts w:ascii="微软雅黑" w:eastAsia="微软雅黑" w:hAnsi="微软雅黑" w:cs="微软雅黑" w:hint="eastAsia"/>
          <w:color w:val="auto"/>
          <w:spacing w:val="4"/>
          <w:lang w:eastAsia="zh-CN"/>
        </w:rPr>
        <w:t>】</w:t>
      </w:r>
    </w:p>
    <w:p w14:paraId="5B410CB0" w14:textId="6DAA8950" w:rsidR="001C290A" w:rsidRPr="002B3A18" w:rsidRDefault="001C290A" w:rsidP="007032EF">
      <w:pPr>
        <w:spacing w:before="102" w:line="257" w:lineRule="auto"/>
        <w:ind w:right="210"/>
        <w:jc w:val="both"/>
        <w:rPr>
          <w:rFonts w:ascii="微软雅黑" w:eastAsia="微软雅黑" w:hAnsi="微软雅黑" w:cs="微软雅黑"/>
          <w:color w:val="000000" w:themeColor="text1"/>
          <w:spacing w:val="4"/>
          <w:lang w:eastAsia="zh-CN"/>
        </w:rPr>
      </w:pPr>
      <w:r w:rsidRPr="002B3A18">
        <w:rPr>
          <w:rFonts w:ascii="微软雅黑" w:eastAsia="微软雅黑" w:hAnsi="微软雅黑" w:cs="微软雅黑" w:hint="eastAsia"/>
          <w:color w:val="auto"/>
          <w:spacing w:val="4"/>
          <w:lang w:eastAsia="zh-CN"/>
        </w:rPr>
        <w:t>【</w:t>
      </w:r>
      <w:r w:rsidR="002B3A18" w:rsidRPr="002B3A18">
        <w:rPr>
          <w:rFonts w:ascii="微软雅黑" w:eastAsia="微软雅黑" w:hAnsi="微软雅黑" w:cs="微软雅黑" w:hint="eastAsia"/>
          <w:color w:val="auto"/>
          <w:spacing w:val="4"/>
          <w:lang w:eastAsia="zh-CN"/>
        </w:rPr>
        <w:t>美国6月标普全球制造业PMI初值持稳于52，为2月以来最高，好于市场预期。原料支付价格指数上升5.4点至70，升幅为四年来最大。价格接受指标也实现近似涨幅，显示生产商将包括进口关税在内的成本上涨转嫁给客户。</w:t>
      </w:r>
      <w:r w:rsidRPr="002B3A18">
        <w:rPr>
          <w:rFonts w:ascii="微软雅黑" w:eastAsia="微软雅黑" w:hAnsi="微软雅黑" w:cs="微软雅黑" w:hint="eastAsia"/>
          <w:color w:val="auto"/>
          <w:spacing w:val="4"/>
          <w:lang w:eastAsia="zh-CN"/>
        </w:rPr>
        <w:t>】</w:t>
      </w:r>
    </w:p>
    <w:p w14:paraId="3E097569" w14:textId="34C36986" w:rsidR="00E37A4C" w:rsidRPr="002B3A18" w:rsidRDefault="001C290A" w:rsidP="002B3A18">
      <w:pPr>
        <w:spacing w:before="102" w:line="257" w:lineRule="auto"/>
        <w:ind w:right="210"/>
        <w:jc w:val="both"/>
        <w:rPr>
          <w:rFonts w:ascii="微软雅黑" w:eastAsia="微软雅黑" w:hAnsi="微软雅黑" w:cs="微软雅黑"/>
          <w:color w:val="auto"/>
          <w:spacing w:val="4"/>
          <w:lang w:eastAsia="zh-CN"/>
        </w:rPr>
      </w:pPr>
      <w:r w:rsidRPr="002B3A18">
        <w:rPr>
          <w:rFonts w:ascii="微软雅黑" w:eastAsia="微软雅黑" w:hAnsi="微软雅黑" w:cs="微软雅黑" w:hint="eastAsia"/>
          <w:color w:val="auto"/>
          <w:spacing w:val="4"/>
          <w:lang w:eastAsia="zh-CN"/>
        </w:rPr>
        <w:t>【</w:t>
      </w:r>
      <w:r w:rsidR="002B3A18" w:rsidRPr="002B3A18">
        <w:rPr>
          <w:rFonts w:ascii="微软雅黑" w:eastAsia="微软雅黑" w:hAnsi="微软雅黑" w:cs="微软雅黑" w:hint="eastAsia"/>
          <w:color w:val="auto"/>
          <w:spacing w:val="4"/>
          <w:lang w:eastAsia="zh-CN"/>
        </w:rPr>
        <w:t>欧元区6月综合PMI初值保持在50.2，低于预期的50.5。服务业PMI重回50关口，而制造业PMI则停留在49.4，连续36个月未见增长。德国6月综合PMI初值从上月的48.5攀升至50.4，</w:t>
      </w:r>
      <w:r w:rsidR="002B3A18" w:rsidRPr="002B3A18">
        <w:rPr>
          <w:rFonts w:ascii="微软雅黑" w:eastAsia="微软雅黑" w:hAnsi="微软雅黑" w:cs="微软雅黑"/>
          <w:color w:val="auto"/>
          <w:spacing w:val="4"/>
          <w:lang w:eastAsia="zh-CN"/>
        </w:rPr>
        <w:t>法国综合PMI</w:t>
      </w:r>
      <w:r w:rsidR="002B3A18" w:rsidRPr="002B3A18">
        <w:rPr>
          <w:rFonts w:ascii="微软雅黑" w:eastAsia="微软雅黑" w:hAnsi="微软雅黑" w:cs="微软雅黑" w:hint="eastAsia"/>
          <w:color w:val="auto"/>
          <w:spacing w:val="4"/>
          <w:lang w:eastAsia="zh-CN"/>
        </w:rPr>
        <w:t>从49.3降至48.5。</w:t>
      </w:r>
      <w:r w:rsidRPr="002B3A18">
        <w:rPr>
          <w:rFonts w:ascii="微软雅黑" w:eastAsia="微软雅黑" w:hAnsi="微软雅黑" w:cs="微软雅黑" w:hint="eastAsia"/>
          <w:color w:val="auto"/>
          <w:spacing w:val="4"/>
          <w:lang w:eastAsia="zh-CN"/>
        </w:rPr>
        <w:t>】</w:t>
      </w: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032EF" w:rsidRPr="00557736" w14:paraId="2CD642B5" w14:textId="77777777" w:rsidTr="00296B55">
        <w:trPr>
          <w:trHeight w:val="620"/>
        </w:trPr>
        <w:tc>
          <w:tcPr>
            <w:tcW w:w="1701" w:type="dxa"/>
            <w:shd w:val="clear" w:color="auto" w:fill="auto"/>
          </w:tcPr>
          <w:p w14:paraId="36661A75" w14:textId="203DA0CF" w:rsidR="002B3A18" w:rsidRPr="004B3C06" w:rsidRDefault="007032EF" w:rsidP="002B3A18">
            <w:pPr>
              <w:pStyle w:val="TableText"/>
              <w:spacing w:before="230" w:line="191" w:lineRule="auto"/>
              <w:ind w:left="210" w:right="210" w:firstLineChars="0" w:firstLine="0"/>
              <w:jc w:val="left"/>
              <w:rPr>
                <w:lang w:eastAsia="zh-CN"/>
              </w:rPr>
            </w:pPr>
            <w:r w:rsidRPr="00584A09">
              <w:rPr>
                <w:rFonts w:hint="eastAsia"/>
                <w:lang w:eastAsia="zh-CN"/>
              </w:rPr>
              <w:t>2</w:t>
            </w:r>
            <w:r w:rsidR="0031770C">
              <w:rPr>
                <w:lang w:eastAsia="zh-CN"/>
              </w:rPr>
              <w:t>025/6/</w:t>
            </w:r>
            <w:r w:rsidR="002B3A18">
              <w:rPr>
                <w:rFonts w:hint="eastAsia"/>
                <w:lang w:eastAsia="zh-CN"/>
              </w:rPr>
              <w:t>24</w:t>
            </w:r>
          </w:p>
        </w:tc>
        <w:tc>
          <w:tcPr>
            <w:tcW w:w="1314" w:type="dxa"/>
            <w:shd w:val="clear" w:color="auto" w:fill="auto"/>
          </w:tcPr>
          <w:p w14:paraId="0611BB2C" w14:textId="0CF872E9" w:rsidR="007032EF" w:rsidRDefault="002B3A18" w:rsidP="007032EF">
            <w:pPr>
              <w:pStyle w:val="TableText"/>
              <w:spacing w:before="245" w:line="172" w:lineRule="auto"/>
              <w:ind w:left="210" w:right="210" w:firstLineChars="100" w:firstLine="196"/>
              <w:rPr>
                <w:lang w:eastAsia="zh-CN"/>
              </w:rPr>
            </w:pPr>
            <w:r w:rsidRPr="002B3A18">
              <w:rPr>
                <w:lang w:eastAsia="zh-CN"/>
              </w:rPr>
              <w:t xml:space="preserve">20:30 </w:t>
            </w:r>
          </w:p>
        </w:tc>
        <w:tc>
          <w:tcPr>
            <w:tcW w:w="6344" w:type="dxa"/>
            <w:shd w:val="clear" w:color="auto" w:fill="auto"/>
          </w:tcPr>
          <w:p w14:paraId="71463117" w14:textId="17D4650D" w:rsidR="007032EF" w:rsidRPr="00557736" w:rsidRDefault="002B3A18" w:rsidP="007032EF">
            <w:pPr>
              <w:pStyle w:val="TableText"/>
              <w:spacing w:before="221" w:line="180" w:lineRule="auto"/>
              <w:ind w:left="210" w:right="210"/>
              <w:rPr>
                <w:lang w:eastAsia="zh-CN"/>
              </w:rPr>
            </w:pPr>
            <w:r w:rsidRPr="002B3A18">
              <w:rPr>
                <w:rFonts w:hint="eastAsia"/>
                <w:lang w:eastAsia="zh-CN"/>
              </w:rPr>
              <w:t>美国第一季度经常帐</w:t>
            </w:r>
          </w:p>
        </w:tc>
      </w:tr>
      <w:bookmarkEnd w:id="0"/>
      <w:tr w:rsidR="00A97AAE" w:rsidRPr="008E3E9D" w14:paraId="7015C67E" w14:textId="77777777" w:rsidTr="0075620D">
        <w:trPr>
          <w:trHeight w:val="620"/>
        </w:trPr>
        <w:tc>
          <w:tcPr>
            <w:tcW w:w="1701" w:type="dxa"/>
            <w:shd w:val="clear" w:color="auto" w:fill="DAE3F4" w:themeFill="accent1" w:themeFillTint="33"/>
          </w:tcPr>
          <w:p w14:paraId="0AB865D2" w14:textId="1FD3ABA4" w:rsidR="00A97AAE" w:rsidRPr="00D50E47" w:rsidRDefault="00A97AAE" w:rsidP="00A97AAE">
            <w:pPr>
              <w:pStyle w:val="TableText"/>
              <w:spacing w:before="230" w:line="191" w:lineRule="auto"/>
              <w:ind w:left="0" w:right="210" w:firstLineChars="0" w:firstLine="0"/>
              <w:jc w:val="left"/>
              <w:rPr>
                <w:lang w:eastAsia="zh-CN"/>
              </w:rPr>
            </w:pPr>
            <w:r w:rsidRPr="001D3C41">
              <w:rPr>
                <w:rFonts w:hint="eastAsia"/>
                <w:lang w:eastAsia="zh-CN"/>
              </w:rPr>
              <w:t>2</w:t>
            </w:r>
            <w:r w:rsidRPr="001D3C41">
              <w:rPr>
                <w:lang w:eastAsia="zh-CN"/>
              </w:rPr>
              <w:t>025/6/</w:t>
            </w:r>
            <w:r w:rsidRPr="001D3C41">
              <w:rPr>
                <w:rFonts w:hint="eastAsia"/>
                <w:lang w:eastAsia="zh-CN"/>
              </w:rPr>
              <w:t>24</w:t>
            </w:r>
          </w:p>
        </w:tc>
        <w:tc>
          <w:tcPr>
            <w:tcW w:w="1314" w:type="dxa"/>
            <w:shd w:val="clear" w:color="auto" w:fill="DAE3F4" w:themeFill="accent1" w:themeFillTint="33"/>
          </w:tcPr>
          <w:p w14:paraId="5F26D618" w14:textId="2CD83E6B" w:rsidR="00A97AAE" w:rsidRDefault="00A97AAE" w:rsidP="00A97AAE">
            <w:pPr>
              <w:pStyle w:val="TableText"/>
              <w:spacing w:before="245" w:line="172" w:lineRule="auto"/>
              <w:ind w:left="210" w:right="210" w:firstLineChars="100" w:firstLine="196"/>
              <w:rPr>
                <w:lang w:eastAsia="zh-CN"/>
              </w:rPr>
            </w:pPr>
            <w:r w:rsidRPr="002B3A18">
              <w:rPr>
                <w:lang w:eastAsia="zh-CN"/>
              </w:rPr>
              <w:t xml:space="preserve">21:00 </w:t>
            </w:r>
          </w:p>
        </w:tc>
        <w:tc>
          <w:tcPr>
            <w:tcW w:w="6344" w:type="dxa"/>
            <w:shd w:val="clear" w:color="auto" w:fill="DAE3F4" w:themeFill="accent1" w:themeFillTint="33"/>
          </w:tcPr>
          <w:p w14:paraId="6FF04862" w14:textId="3F1BE977" w:rsidR="00A97AAE" w:rsidRPr="00DC11C4" w:rsidRDefault="00A97AAE" w:rsidP="00A97AAE">
            <w:pPr>
              <w:pStyle w:val="TableText"/>
              <w:spacing w:before="221" w:line="180" w:lineRule="auto"/>
              <w:ind w:left="210" w:right="210"/>
              <w:rPr>
                <w:lang w:eastAsia="zh-CN"/>
              </w:rPr>
            </w:pPr>
            <w:r w:rsidRPr="002B3A18">
              <w:rPr>
                <w:rFonts w:hint="eastAsia"/>
                <w:lang w:eastAsia="zh-CN"/>
              </w:rPr>
              <w:t>欧洲央行行长拉加德发表讲话</w:t>
            </w:r>
          </w:p>
        </w:tc>
      </w:tr>
      <w:tr w:rsidR="00A97AAE" w:rsidRPr="008E3E9D" w14:paraId="58F639FB" w14:textId="77777777" w:rsidTr="002B3A18">
        <w:trPr>
          <w:trHeight w:val="620"/>
        </w:trPr>
        <w:tc>
          <w:tcPr>
            <w:tcW w:w="1701" w:type="dxa"/>
            <w:shd w:val="clear" w:color="auto" w:fill="auto"/>
          </w:tcPr>
          <w:p w14:paraId="12827EE6" w14:textId="166C63CF" w:rsidR="00A97AAE" w:rsidRPr="00D50E47" w:rsidRDefault="00A97AAE" w:rsidP="00A97AAE">
            <w:pPr>
              <w:pStyle w:val="TableText"/>
              <w:spacing w:before="230" w:line="191" w:lineRule="auto"/>
              <w:ind w:left="0" w:right="210" w:firstLineChars="0" w:firstLine="0"/>
              <w:jc w:val="left"/>
              <w:rPr>
                <w:lang w:eastAsia="zh-CN"/>
              </w:rPr>
            </w:pPr>
            <w:r w:rsidRPr="001D3C41">
              <w:rPr>
                <w:rFonts w:hint="eastAsia"/>
                <w:lang w:eastAsia="zh-CN"/>
              </w:rPr>
              <w:t>2</w:t>
            </w:r>
            <w:r w:rsidRPr="001D3C41">
              <w:rPr>
                <w:lang w:eastAsia="zh-CN"/>
              </w:rPr>
              <w:t>025/6/</w:t>
            </w:r>
            <w:r w:rsidRPr="001D3C41">
              <w:rPr>
                <w:rFonts w:hint="eastAsia"/>
                <w:lang w:eastAsia="zh-CN"/>
              </w:rPr>
              <w:t>24</w:t>
            </w:r>
          </w:p>
        </w:tc>
        <w:tc>
          <w:tcPr>
            <w:tcW w:w="1314" w:type="dxa"/>
            <w:shd w:val="clear" w:color="auto" w:fill="auto"/>
          </w:tcPr>
          <w:p w14:paraId="334AEE69" w14:textId="3F7B0C8A" w:rsidR="00A97AAE" w:rsidRDefault="00A97AAE" w:rsidP="00A97AAE">
            <w:pPr>
              <w:pStyle w:val="TableText"/>
              <w:spacing w:before="245" w:line="172" w:lineRule="auto"/>
              <w:ind w:left="210" w:right="210" w:firstLineChars="100" w:firstLine="196"/>
              <w:rPr>
                <w:lang w:eastAsia="zh-CN"/>
              </w:rPr>
            </w:pPr>
            <w:r w:rsidRPr="002B3A18">
              <w:rPr>
                <w:lang w:eastAsia="zh-CN"/>
              </w:rPr>
              <w:t xml:space="preserve">22:00 </w:t>
            </w:r>
          </w:p>
        </w:tc>
        <w:tc>
          <w:tcPr>
            <w:tcW w:w="6344" w:type="dxa"/>
            <w:shd w:val="clear" w:color="auto" w:fill="auto"/>
          </w:tcPr>
          <w:p w14:paraId="5CA8F61A" w14:textId="53C55157" w:rsidR="00A97AAE" w:rsidRDefault="00A97AAE" w:rsidP="00A97AAE">
            <w:pPr>
              <w:pStyle w:val="TableText"/>
              <w:spacing w:before="221" w:line="180" w:lineRule="auto"/>
              <w:ind w:left="210" w:right="210"/>
              <w:rPr>
                <w:lang w:eastAsia="zh-CN"/>
              </w:rPr>
            </w:pPr>
            <w:r w:rsidRPr="002B3A18">
              <w:rPr>
                <w:rFonts w:hint="eastAsia"/>
                <w:lang w:eastAsia="zh-CN"/>
              </w:rPr>
              <w:t>美国</w:t>
            </w:r>
            <w:r w:rsidRPr="002B3A18">
              <w:rPr>
                <w:lang w:eastAsia="zh-CN"/>
              </w:rPr>
              <w:t>6</w:t>
            </w:r>
            <w:r w:rsidRPr="002B3A18">
              <w:rPr>
                <w:rFonts w:hint="eastAsia"/>
                <w:lang w:eastAsia="zh-CN"/>
              </w:rPr>
              <w:t>月谘商会消费者信心指数</w:t>
            </w:r>
          </w:p>
        </w:tc>
      </w:tr>
      <w:tr w:rsidR="00A97AAE" w:rsidRPr="008E3E9D" w14:paraId="574CCC9F" w14:textId="77777777" w:rsidTr="0075620D">
        <w:trPr>
          <w:trHeight w:val="620"/>
        </w:trPr>
        <w:tc>
          <w:tcPr>
            <w:tcW w:w="1701" w:type="dxa"/>
            <w:shd w:val="clear" w:color="auto" w:fill="DAE3F4" w:themeFill="accent1" w:themeFillTint="33"/>
          </w:tcPr>
          <w:p w14:paraId="791B39A8" w14:textId="04F653F4" w:rsidR="00A97AAE" w:rsidRPr="00D50E47" w:rsidRDefault="00A97AAE" w:rsidP="00A97AAE">
            <w:pPr>
              <w:pStyle w:val="TableText"/>
              <w:spacing w:before="230" w:line="191" w:lineRule="auto"/>
              <w:ind w:left="0" w:right="210" w:firstLineChars="0" w:firstLine="0"/>
              <w:jc w:val="left"/>
              <w:rPr>
                <w:lang w:eastAsia="zh-CN"/>
              </w:rPr>
            </w:pPr>
          </w:p>
        </w:tc>
        <w:tc>
          <w:tcPr>
            <w:tcW w:w="1314" w:type="dxa"/>
            <w:shd w:val="clear" w:color="auto" w:fill="DAE3F4" w:themeFill="accent1" w:themeFillTint="33"/>
          </w:tcPr>
          <w:p w14:paraId="247FDC51" w14:textId="0AAEA608" w:rsidR="00A97AAE" w:rsidRPr="002B3A18" w:rsidRDefault="00A97AAE" w:rsidP="00A97AAE">
            <w:pPr>
              <w:pStyle w:val="TableText"/>
              <w:spacing w:before="245" w:line="172" w:lineRule="auto"/>
              <w:ind w:left="210" w:right="210" w:firstLineChars="100" w:firstLine="196"/>
              <w:rPr>
                <w:lang w:eastAsia="zh-CN"/>
              </w:rPr>
            </w:pPr>
            <w:r w:rsidRPr="002B3A18">
              <w:rPr>
                <w:lang w:eastAsia="zh-CN"/>
              </w:rPr>
              <w:t xml:space="preserve">22:00 </w:t>
            </w:r>
          </w:p>
        </w:tc>
        <w:tc>
          <w:tcPr>
            <w:tcW w:w="6344" w:type="dxa"/>
            <w:shd w:val="clear" w:color="auto" w:fill="DAE3F4" w:themeFill="accent1" w:themeFillTint="33"/>
          </w:tcPr>
          <w:p w14:paraId="5833D3AF" w14:textId="6C116842" w:rsidR="00A97AAE" w:rsidRDefault="00A97AAE" w:rsidP="00A97AAE">
            <w:pPr>
              <w:pStyle w:val="TableText"/>
              <w:spacing w:before="221" w:line="180" w:lineRule="auto"/>
              <w:ind w:left="210" w:right="210"/>
              <w:rPr>
                <w:lang w:eastAsia="zh-CN"/>
              </w:rPr>
            </w:pPr>
            <w:r w:rsidRPr="002B3A18">
              <w:rPr>
                <w:rFonts w:hint="eastAsia"/>
                <w:lang w:eastAsia="zh-CN"/>
              </w:rPr>
              <w:t>美联储主席鲍威尔发表半年度货币政策报告证词</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55256FFC" w14:textId="77777777" w:rsidR="002B3A18" w:rsidRPr="002B3A18" w:rsidRDefault="002B3A18" w:rsidP="002B3A18">
      <w:pPr>
        <w:ind w:firstLine="420"/>
        <w:rPr>
          <w:rFonts w:ascii="微软雅黑" w:eastAsia="微软雅黑" w:hAnsi="微软雅黑"/>
          <w:noProof/>
          <w:sz w:val="20"/>
          <w:szCs w:val="20"/>
          <w:lang w:eastAsia="zh"/>
        </w:rPr>
      </w:pPr>
      <w:r w:rsidRPr="002B3A18">
        <w:rPr>
          <w:rFonts w:ascii="微软雅黑" w:eastAsia="微软雅黑" w:hAnsi="微软雅黑" w:hint="eastAsia"/>
          <w:noProof/>
          <w:sz w:val="20"/>
          <w:szCs w:val="20"/>
          <w:lang w:eastAsia="zh"/>
        </w:rPr>
        <w:t>隔夜，美元指数跌0.39%报98.38，非美货币多数上涨，欧元兑美元涨0.49%报1.1579，英镑兑美元涨0.57%报1.3525，美元兑日元涨0.02%报146.1395。</w:t>
      </w:r>
    </w:p>
    <w:p w14:paraId="18460A3D" w14:textId="77777777" w:rsidR="002B3A18" w:rsidRPr="002B3A18" w:rsidRDefault="002B3A18" w:rsidP="002B3A18">
      <w:pPr>
        <w:ind w:firstLine="420"/>
        <w:rPr>
          <w:rFonts w:ascii="微软雅黑" w:eastAsia="微软雅黑" w:hAnsi="微软雅黑"/>
          <w:noProof/>
          <w:sz w:val="20"/>
          <w:szCs w:val="20"/>
          <w:lang w:eastAsia="zh"/>
        </w:rPr>
      </w:pPr>
      <w:r w:rsidRPr="002B3A18">
        <w:rPr>
          <w:rFonts w:ascii="微软雅黑" w:eastAsia="微软雅黑" w:hAnsi="微软雅黑" w:hint="eastAsia"/>
          <w:noProof/>
          <w:sz w:val="20"/>
          <w:szCs w:val="20"/>
          <w:lang w:eastAsia="zh"/>
        </w:rPr>
        <w:t>宏观数据方面，美国6月标普全球制造业PMI初值持稳于52，高于市场预期。原料支付价格指数上升5.4点至70，升幅为四年来最大。继上周FOMC会议美联储延续按兵不动政策后，近日有美联储票委陆续释放鸽派信号。美联储副主席鲍曼表示，可能支持最早7月降息，但前提是看到实质性的通胀数据回落以及就业市场走弱，目前来看关税造成的价格上行压力似乎被抵消，并没有看到贸易形势造成重大的影响。此外，美联储古尔斯比表示如果关税的影响未能体现于后续数月的经济数据中，美联储应该开启新一轮的降息窗口。此前联储主席鲍威尔维持年内两次降息预期，但明确警示关税对通胀的传导效应，政策立场较市场预期更为鹰派。多项美国经济数据呈现疲态，美国5月零售销售、房地产和工业产出均弱于预期，零售销售环比下降、房屋开工和制造业产出出现回落，凸显经济活动正面临明显放缓。经济数据走弱，叠加近期联储官员陆续转鸽的迹象，加大了市场对美联储下半年启动宽松周期的期待。短期而言，降息预期抬升压制美元，结构性压力未消美元中长期承压格局。</w:t>
      </w:r>
    </w:p>
    <w:p w14:paraId="76EA173B" w14:textId="77777777" w:rsidR="002B3A18" w:rsidRPr="002B3A18" w:rsidRDefault="002B3A18" w:rsidP="002B3A18">
      <w:pPr>
        <w:spacing w:before="235"/>
        <w:ind w:right="210" w:firstLineChars="250" w:firstLine="500"/>
        <w:jc w:val="both"/>
        <w:rPr>
          <w:rFonts w:ascii="微软雅黑" w:eastAsia="微软雅黑" w:hAnsi="微软雅黑"/>
          <w:noProof/>
          <w:sz w:val="20"/>
          <w:szCs w:val="20"/>
          <w:lang w:eastAsia="zh"/>
        </w:rPr>
      </w:pPr>
      <w:r w:rsidRPr="002B3A18">
        <w:rPr>
          <w:rFonts w:ascii="微软雅黑" w:eastAsia="微软雅黑" w:hAnsi="微软雅黑" w:hint="eastAsia"/>
          <w:noProof/>
          <w:sz w:val="20"/>
          <w:szCs w:val="20"/>
          <w:lang w:eastAsia="zh"/>
        </w:rPr>
        <w:t>欧元区6月综合PMI初值持稳于50.2，略低于市场预期。服务业PMI重回50关口，而制造业PMI则停留于荣枯线以下，连续36个月未见增长。欧央行鹰派降息与德国财政扩张计划形成双重支撑，但在美元走强的压制下欧元短期或呈震荡走势。日本5月核心CPI加速上行强化日央行加息预期，植田和男明确保留政策调整选项。然而美日关税谈判僵局持续压制出口，企业信心受挫或拖累二季度增长，日元在政策转向与贸易摩擦夹击下维持区间震荡。</w:t>
      </w:r>
    </w:p>
    <w:p w14:paraId="6659CB59" w14:textId="3DF4E460" w:rsidR="009372C5" w:rsidRPr="007A477E" w:rsidRDefault="00115A1A" w:rsidP="002B3A18">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CB6B193" w:rsidR="007A477E" w:rsidRDefault="002B3A18" w:rsidP="002B2EDC">
      <w:pPr>
        <w:spacing w:before="120" w:line="190" w:lineRule="auto"/>
        <w:ind w:right="210" w:firstLineChars="200" w:firstLine="400"/>
        <w:jc w:val="center"/>
        <w:rPr>
          <w:rFonts w:ascii="微软雅黑" w:eastAsia="微软雅黑" w:hAnsi="微软雅黑" w:cs="微软雅黑"/>
          <w:spacing w:val="7"/>
          <w:lang w:eastAsia="zh-CN"/>
        </w:rPr>
      </w:pPr>
      <w:r w:rsidRPr="00786E30">
        <w:rPr>
          <w:rFonts w:ascii="黑体" w:eastAsia="黑体" w:hAnsi="黑体"/>
          <w:noProof/>
          <w:sz w:val="20"/>
          <w:szCs w:val="20"/>
          <w:lang w:eastAsia="zh-CN"/>
        </w:rPr>
        <w:lastRenderedPageBreak/>
        <w:drawing>
          <wp:inline distT="0" distB="0" distL="0" distR="0" wp14:anchorId="67C742FF" wp14:editId="62620E5F">
            <wp:extent cx="4826635" cy="2199005"/>
            <wp:effectExtent l="0" t="0" r="0" b="0"/>
            <wp:docPr id="109327142"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7142"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635" cy="219900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1F1F8D47" w14:textId="77777777" w:rsidR="002B3A18" w:rsidRPr="002B3A18" w:rsidRDefault="002B3A18" w:rsidP="00A97AAE">
      <w:pPr>
        <w:ind w:firstLineChars="200" w:firstLine="400"/>
        <w:rPr>
          <w:rFonts w:ascii="微软雅黑" w:eastAsia="微软雅黑" w:hAnsi="微软雅黑" w:cs="Helvetica"/>
          <w:sz w:val="20"/>
          <w:szCs w:val="20"/>
          <w:shd w:val="clear" w:color="auto" w:fill="FFFFFF"/>
          <w:lang w:eastAsia="zh-CN"/>
        </w:rPr>
      </w:pPr>
      <w:bookmarkStart w:id="1" w:name="_GoBack"/>
      <w:bookmarkEnd w:id="1"/>
      <w:r w:rsidRPr="002B3A18">
        <w:rPr>
          <w:rFonts w:ascii="微软雅黑" w:eastAsia="微软雅黑" w:hAnsi="微软雅黑" w:hint="eastAsia"/>
          <w:sz w:val="20"/>
          <w:szCs w:val="20"/>
          <w:lang w:eastAsia="zh-CN"/>
        </w:rPr>
        <w:t>截至6月</w:t>
      </w:r>
      <w:r w:rsidRPr="002B3A18">
        <w:rPr>
          <w:rFonts w:ascii="微软雅黑" w:eastAsia="微软雅黑" w:hAnsi="微软雅黑"/>
          <w:sz w:val="20"/>
          <w:szCs w:val="20"/>
          <w:lang w:eastAsia="zh-CN"/>
        </w:rPr>
        <w:t>23</w:t>
      </w:r>
      <w:r w:rsidRPr="002B3A18">
        <w:rPr>
          <w:rFonts w:ascii="微软雅黑" w:eastAsia="微软雅黑" w:hAnsi="微软雅黑" w:hint="eastAsia"/>
          <w:sz w:val="20"/>
          <w:szCs w:val="20"/>
          <w:lang w:eastAsia="zh-CN"/>
        </w:rPr>
        <w:t>日，标普500指数上涨0.</w:t>
      </w:r>
      <w:r w:rsidRPr="002B3A18">
        <w:rPr>
          <w:rFonts w:ascii="微软雅黑" w:eastAsia="微软雅黑" w:hAnsi="微软雅黑"/>
          <w:sz w:val="20"/>
          <w:szCs w:val="20"/>
          <w:lang w:eastAsia="zh-CN"/>
        </w:rPr>
        <w:t>96</w:t>
      </w:r>
      <w:r w:rsidRPr="002B3A18">
        <w:rPr>
          <w:rFonts w:ascii="微软雅黑" w:eastAsia="微软雅黑" w:hAnsi="微软雅黑" w:hint="eastAsia"/>
          <w:sz w:val="20"/>
          <w:szCs w:val="20"/>
          <w:lang w:eastAsia="zh-CN"/>
        </w:rPr>
        <w:t>%至</w:t>
      </w:r>
      <w:r w:rsidRPr="002B3A18">
        <w:rPr>
          <w:rFonts w:ascii="微软雅黑" w:eastAsia="微软雅黑" w:hAnsi="微软雅黑"/>
          <w:sz w:val="20"/>
          <w:szCs w:val="20"/>
          <w:lang w:eastAsia="zh-CN"/>
        </w:rPr>
        <w:t>6025</w:t>
      </w:r>
      <w:r w:rsidRPr="002B3A18">
        <w:rPr>
          <w:rFonts w:ascii="微软雅黑" w:eastAsia="微软雅黑" w:hAnsi="微软雅黑" w:hint="eastAsia"/>
          <w:sz w:val="20"/>
          <w:szCs w:val="20"/>
          <w:lang w:eastAsia="zh-CN"/>
        </w:rPr>
        <w:t>.</w:t>
      </w:r>
      <w:r w:rsidRPr="002B3A18">
        <w:rPr>
          <w:rFonts w:ascii="微软雅黑" w:eastAsia="微软雅黑" w:hAnsi="微软雅黑"/>
          <w:sz w:val="20"/>
          <w:szCs w:val="20"/>
          <w:lang w:eastAsia="zh-CN"/>
        </w:rPr>
        <w:t>17</w:t>
      </w:r>
      <w:r w:rsidRPr="002B3A18">
        <w:rPr>
          <w:rFonts w:ascii="微软雅黑" w:eastAsia="微软雅黑" w:hAnsi="微软雅黑" w:hint="eastAsia"/>
          <w:sz w:val="20"/>
          <w:szCs w:val="20"/>
          <w:lang w:eastAsia="zh-CN"/>
        </w:rPr>
        <w:t>点；迷你标普500主力合约上涨0.</w:t>
      </w:r>
      <w:r w:rsidRPr="002B3A18">
        <w:rPr>
          <w:rFonts w:ascii="微软雅黑" w:eastAsia="微软雅黑" w:hAnsi="微软雅黑"/>
          <w:sz w:val="20"/>
          <w:szCs w:val="20"/>
          <w:lang w:eastAsia="zh-CN"/>
        </w:rPr>
        <w:t>87</w:t>
      </w:r>
      <w:r w:rsidRPr="002B3A18">
        <w:rPr>
          <w:rFonts w:ascii="微软雅黑" w:eastAsia="微软雅黑" w:hAnsi="微软雅黑" w:hint="eastAsia"/>
          <w:sz w:val="20"/>
          <w:szCs w:val="20"/>
          <w:lang w:eastAsia="zh-CN"/>
        </w:rPr>
        <w:t>%至60</w:t>
      </w:r>
      <w:r w:rsidRPr="002B3A18">
        <w:rPr>
          <w:rFonts w:ascii="微软雅黑" w:eastAsia="微软雅黑" w:hAnsi="微软雅黑"/>
          <w:sz w:val="20"/>
          <w:szCs w:val="20"/>
          <w:lang w:eastAsia="zh-CN"/>
        </w:rPr>
        <w:t>77</w:t>
      </w:r>
      <w:r w:rsidRPr="002B3A18">
        <w:rPr>
          <w:rFonts w:ascii="微软雅黑" w:eastAsia="微软雅黑" w:hAnsi="微软雅黑" w:hint="eastAsia"/>
          <w:sz w:val="20"/>
          <w:szCs w:val="20"/>
          <w:lang w:eastAsia="zh-CN"/>
        </w:rPr>
        <w:t>.</w:t>
      </w:r>
      <w:r w:rsidRPr="002B3A18">
        <w:rPr>
          <w:rFonts w:ascii="微软雅黑" w:eastAsia="微软雅黑" w:hAnsi="微软雅黑"/>
          <w:sz w:val="20"/>
          <w:szCs w:val="20"/>
          <w:lang w:eastAsia="zh-CN"/>
        </w:rPr>
        <w:t>5</w:t>
      </w:r>
      <w:r w:rsidRPr="002B3A18">
        <w:rPr>
          <w:rFonts w:ascii="微软雅黑" w:eastAsia="微软雅黑" w:hAnsi="微软雅黑" w:hint="eastAsia"/>
          <w:sz w:val="20"/>
          <w:szCs w:val="20"/>
          <w:lang w:eastAsia="zh-CN"/>
        </w:rPr>
        <w:t>。货币政策方面，美联储理事鲍曼表示可能支持最早7月降息。如果通胀继续下降，或者就业市场走弱，FOMC就可以降息。关税造成的价格上行压力似乎被抵消，并没有看到贸易形势造成重大的影响。芝加哥联储主席古尔斯比亦表示，如果贸易政策影响消失了，应该继续降息不认为70年代式的滞胀会冲击美国。近期美联储官员的表态均释放了货币政策宽松信号。地缘政局上，6月23日，伊朗在发出大量警告后袭击了美国在伊拉克及卡塔尔的军事基地，美国方面表示并未有人员伤亡，伊朗提前预告军事行动的行为，降低了市场对冲突进一步扩大的担忧。6月24日早间，美国总统特朗普宣布以色列和伊朗将分阶段全面停火，一名伊朗高级官员也证实，伊朗已接受卡塔尔参与调解、美国提出的与以色列停火方案。中东地缘冲突快速趋向缓和。</w:t>
      </w:r>
      <w:r w:rsidRPr="002B3A18">
        <w:rPr>
          <w:rFonts w:ascii="微软雅黑" w:eastAsia="微软雅黑" w:hAnsi="微软雅黑" w:cs="微软雅黑" w:hint="eastAsia"/>
          <w:sz w:val="20"/>
          <w:szCs w:val="20"/>
          <w:shd w:val="clear" w:color="auto" w:fill="FFFFFF"/>
          <w:lang w:eastAsia="zh-CN"/>
        </w:rPr>
        <w:t>整体来看，美联储有提前开启降息的可能对市场起到了利多作用，同时，</w:t>
      </w:r>
      <w:r w:rsidRPr="002B3A18">
        <w:rPr>
          <w:rFonts w:ascii="微软雅黑" w:eastAsia="微软雅黑" w:hAnsi="微软雅黑" w:cs="微软雅黑" w:hint="eastAsia"/>
          <w:color w:val="2C3E50"/>
          <w:sz w:val="20"/>
          <w:szCs w:val="20"/>
          <w:shd w:val="clear" w:color="auto" w:fill="FFFFFF"/>
          <w:lang w:eastAsia="zh-CN"/>
        </w:rPr>
        <w:t>中东</w:t>
      </w:r>
      <w:r w:rsidRPr="002B3A18">
        <w:rPr>
          <w:rFonts w:ascii="微软雅黑" w:eastAsia="微软雅黑" w:hAnsi="微软雅黑" w:cs="微软雅黑" w:hint="eastAsia"/>
          <w:sz w:val="20"/>
          <w:szCs w:val="20"/>
          <w:shd w:val="clear" w:color="auto" w:fill="FFFFFF"/>
          <w:lang w:eastAsia="zh-CN"/>
        </w:rPr>
        <w:t>地区紧张局势缓和也推升市场风险偏好。策略上，建议轻仓逢低买入。</w:t>
      </w:r>
    </w:p>
    <w:p w14:paraId="3E7D9146" w14:textId="3584A52A"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61136078" w:rsidR="007A477E" w:rsidRPr="00EE7376" w:rsidRDefault="002B3A18" w:rsidP="006B6996">
      <w:pPr>
        <w:spacing w:before="103" w:line="256" w:lineRule="auto"/>
        <w:ind w:right="210" w:firstLine="420"/>
        <w:jc w:val="center"/>
        <w:rPr>
          <w:rFonts w:ascii="微软雅黑" w:eastAsia="微软雅黑" w:hAnsi="微软雅黑" w:cs="微软雅黑"/>
          <w:spacing w:val="7"/>
          <w:lang w:eastAsia="zh-CN"/>
        </w:rPr>
      </w:pPr>
      <w:r w:rsidRPr="00087281">
        <w:rPr>
          <w:rFonts w:ascii="Helvetica" w:hAnsi="Helvetica" w:cs="Helvetica"/>
          <w:noProof/>
          <w:shd w:val="clear" w:color="auto" w:fill="FFFFFF"/>
          <w:lang w:eastAsia="zh-CN"/>
        </w:rPr>
        <w:drawing>
          <wp:inline distT="0" distB="0" distL="0" distR="0" wp14:anchorId="3F68BD73" wp14:editId="5BBB1890">
            <wp:extent cx="5274310" cy="1555040"/>
            <wp:effectExtent l="0" t="0" r="2540" b="7620"/>
            <wp:docPr id="240826653" name="图片 240826653" descr="C:\Users\Administrator\Documents\WeChat Files\wxid_vkxlzo0vqu7s22\FileStorage\Temp\1750725398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072539865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5040"/>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11AC0A6A" w14:textId="36CC2709" w:rsidR="009372C5" w:rsidRPr="002B3A18" w:rsidRDefault="002B3A18" w:rsidP="000511AA">
      <w:pPr>
        <w:spacing w:before="103" w:line="256" w:lineRule="auto"/>
        <w:ind w:right="210" w:firstLine="420"/>
        <w:jc w:val="both"/>
        <w:rPr>
          <w:rFonts w:ascii="微软雅黑" w:eastAsia="微软雅黑" w:hAnsi="微软雅黑" w:cs="微软雅黑"/>
          <w:spacing w:val="12"/>
          <w:sz w:val="20"/>
          <w:szCs w:val="20"/>
          <w:lang w:eastAsia="zh-CN"/>
        </w:rPr>
      </w:pPr>
      <w:r w:rsidRPr="002B3A18">
        <w:rPr>
          <w:rFonts w:ascii="微软雅黑" w:eastAsia="微软雅黑" w:hAnsi="微软雅黑" w:hint="eastAsia"/>
          <w:sz w:val="20"/>
          <w:szCs w:val="20"/>
          <w:lang w:eastAsia="zh-CN"/>
        </w:rPr>
        <w:t>截至6月</w:t>
      </w:r>
      <w:r w:rsidRPr="002B3A18">
        <w:rPr>
          <w:rFonts w:ascii="微软雅黑" w:eastAsia="微软雅黑" w:hAnsi="微软雅黑"/>
          <w:sz w:val="20"/>
          <w:szCs w:val="20"/>
          <w:lang w:eastAsia="zh-CN"/>
        </w:rPr>
        <w:t>23</w:t>
      </w:r>
      <w:r w:rsidRPr="002B3A18">
        <w:rPr>
          <w:rFonts w:ascii="微软雅黑" w:eastAsia="微软雅黑" w:hAnsi="微软雅黑" w:hint="eastAsia"/>
          <w:sz w:val="20"/>
          <w:szCs w:val="20"/>
          <w:lang w:eastAsia="zh-CN"/>
        </w:rPr>
        <w:t>日，富时中国A50指数上涨0.</w:t>
      </w:r>
      <w:r w:rsidRPr="002B3A18">
        <w:rPr>
          <w:rFonts w:ascii="微软雅黑" w:eastAsia="微软雅黑" w:hAnsi="微软雅黑"/>
          <w:sz w:val="20"/>
          <w:szCs w:val="20"/>
          <w:lang w:eastAsia="zh-CN"/>
        </w:rPr>
        <w:t>32%</w:t>
      </w:r>
      <w:r w:rsidRPr="002B3A18">
        <w:rPr>
          <w:rFonts w:ascii="微软雅黑" w:eastAsia="微软雅黑" w:hAnsi="微软雅黑" w:hint="eastAsia"/>
          <w:sz w:val="20"/>
          <w:szCs w:val="20"/>
          <w:lang w:eastAsia="zh-CN"/>
        </w:rPr>
        <w:t>至1</w:t>
      </w:r>
      <w:r w:rsidRPr="002B3A18">
        <w:rPr>
          <w:rFonts w:ascii="微软雅黑" w:eastAsia="微软雅黑" w:hAnsi="微软雅黑"/>
          <w:sz w:val="20"/>
          <w:szCs w:val="20"/>
          <w:lang w:eastAsia="zh-CN"/>
        </w:rPr>
        <w:t>3431</w:t>
      </w:r>
      <w:r w:rsidRPr="002B3A18">
        <w:rPr>
          <w:rFonts w:ascii="微软雅黑" w:eastAsia="微软雅黑" w:hAnsi="微软雅黑" w:hint="eastAsia"/>
          <w:sz w:val="20"/>
          <w:szCs w:val="20"/>
          <w:lang w:eastAsia="zh-CN"/>
        </w:rPr>
        <w:t>.</w:t>
      </w:r>
      <w:r w:rsidRPr="002B3A18">
        <w:rPr>
          <w:rFonts w:ascii="微软雅黑" w:eastAsia="微软雅黑" w:hAnsi="微软雅黑"/>
          <w:sz w:val="20"/>
          <w:szCs w:val="20"/>
          <w:lang w:eastAsia="zh-CN"/>
        </w:rPr>
        <w:t>24</w:t>
      </w:r>
      <w:r w:rsidRPr="002B3A18">
        <w:rPr>
          <w:rFonts w:ascii="微软雅黑" w:eastAsia="微软雅黑" w:hAnsi="微软雅黑" w:cs="微软雅黑" w:hint="eastAsia"/>
          <w:sz w:val="20"/>
          <w:szCs w:val="20"/>
          <w:lang w:eastAsia="zh-CN"/>
        </w:rPr>
        <w:t>；新交所富时</w:t>
      </w:r>
      <w:r w:rsidRPr="002B3A18">
        <w:rPr>
          <w:rFonts w:ascii="微软雅黑" w:eastAsia="微软雅黑" w:hAnsi="微软雅黑" w:hint="eastAsia"/>
          <w:sz w:val="20"/>
          <w:szCs w:val="20"/>
          <w:lang w:eastAsia="zh-CN"/>
        </w:rPr>
        <w:t>A50</w:t>
      </w:r>
      <w:r w:rsidRPr="002B3A18">
        <w:rPr>
          <w:rFonts w:ascii="微软雅黑" w:eastAsia="微软雅黑" w:hAnsi="微软雅黑" w:cs="微软雅黑" w:hint="eastAsia"/>
          <w:sz w:val="20"/>
          <w:szCs w:val="20"/>
          <w:lang w:eastAsia="zh-CN"/>
        </w:rPr>
        <w:t>期指主力合约上涨</w:t>
      </w:r>
      <w:r w:rsidRPr="002B3A18">
        <w:rPr>
          <w:rFonts w:ascii="微软雅黑" w:eastAsia="微软雅黑" w:hAnsi="微软雅黑" w:hint="eastAsia"/>
          <w:sz w:val="20"/>
          <w:szCs w:val="20"/>
          <w:lang w:eastAsia="zh-CN"/>
        </w:rPr>
        <w:t>0.</w:t>
      </w:r>
      <w:r w:rsidRPr="002B3A18">
        <w:rPr>
          <w:rFonts w:ascii="微软雅黑" w:eastAsia="微软雅黑" w:hAnsi="微软雅黑"/>
          <w:sz w:val="20"/>
          <w:szCs w:val="20"/>
          <w:lang w:eastAsia="zh-CN"/>
        </w:rPr>
        <w:t>06</w:t>
      </w:r>
      <w:r w:rsidRPr="002B3A18">
        <w:rPr>
          <w:rFonts w:ascii="微软雅黑" w:eastAsia="微软雅黑" w:hAnsi="微软雅黑" w:cs="Times New Roman"/>
          <w:sz w:val="20"/>
          <w:szCs w:val="20"/>
          <w:lang w:eastAsia="zh-CN"/>
        </w:rPr>
        <w:t>%</w:t>
      </w:r>
      <w:r w:rsidRPr="002B3A18">
        <w:rPr>
          <w:rFonts w:ascii="微软雅黑" w:eastAsia="微软雅黑" w:hAnsi="微软雅黑" w:cs="微软雅黑" w:hint="eastAsia"/>
          <w:sz w:val="20"/>
          <w:szCs w:val="20"/>
          <w:lang w:eastAsia="zh-CN"/>
        </w:rPr>
        <w:t>至</w:t>
      </w:r>
      <w:r w:rsidRPr="002B3A18">
        <w:rPr>
          <w:rFonts w:ascii="微软雅黑" w:eastAsia="微软雅黑" w:hAnsi="微软雅黑" w:cs="Times New Roman"/>
          <w:sz w:val="20"/>
          <w:szCs w:val="20"/>
          <w:lang w:eastAsia="zh-CN"/>
        </w:rPr>
        <w:t>13375</w:t>
      </w:r>
      <w:r w:rsidRPr="002B3A18">
        <w:rPr>
          <w:rFonts w:ascii="微软雅黑" w:eastAsia="微软雅黑" w:hAnsi="微软雅黑" w:cs="微软雅黑" w:hint="eastAsia"/>
          <w:sz w:val="20"/>
          <w:szCs w:val="20"/>
          <w:lang w:eastAsia="zh-CN"/>
        </w:rPr>
        <w:t>点。海外方面，伊朗接受停火协议使得中东地缘冲突得到缓和。此外，近期美联储官员的表态均释放了货币政策宽松信号，美元兑人民币汇率受此影响走弱。国内方面，经济基本面，</w:t>
      </w:r>
      <w:r w:rsidRPr="002B3A18">
        <w:rPr>
          <w:rFonts w:ascii="微软雅黑" w:eastAsia="微软雅黑" w:hAnsi="微软雅黑" w:cs="Times New Roman" w:hint="eastAsia"/>
          <w:sz w:val="20"/>
          <w:szCs w:val="20"/>
          <w:lang w:eastAsia="zh-CN"/>
        </w:rPr>
        <w:t>5</w:t>
      </w:r>
      <w:r w:rsidRPr="002B3A18">
        <w:rPr>
          <w:rFonts w:ascii="微软雅黑" w:eastAsia="微软雅黑" w:hAnsi="微软雅黑" w:cs="微软雅黑" w:hint="eastAsia"/>
          <w:sz w:val="20"/>
          <w:szCs w:val="20"/>
          <w:lang w:eastAsia="zh-CN"/>
        </w:rPr>
        <w:t>月份，国内进出口、固投、工业增加值同比均较前值回落，房地产市场亦呈现加速下行态势，仅社零在两新政策的持续发力下走高。此前公布的</w:t>
      </w:r>
      <w:r w:rsidRPr="002B3A18">
        <w:rPr>
          <w:rFonts w:ascii="微软雅黑" w:eastAsia="微软雅黑" w:hAnsi="微软雅黑" w:cs="Times New Roman" w:hint="eastAsia"/>
          <w:sz w:val="20"/>
          <w:szCs w:val="20"/>
          <w:lang w:eastAsia="zh-CN"/>
        </w:rPr>
        <w:t>CPI</w:t>
      </w:r>
      <w:r w:rsidRPr="002B3A18">
        <w:rPr>
          <w:rFonts w:ascii="微软雅黑" w:eastAsia="微软雅黑" w:hAnsi="微软雅黑" w:cs="微软雅黑" w:hint="eastAsia"/>
          <w:sz w:val="20"/>
          <w:szCs w:val="20"/>
          <w:lang w:eastAsia="zh-CN"/>
        </w:rPr>
        <w:t>、</w:t>
      </w:r>
      <w:r w:rsidRPr="002B3A18">
        <w:rPr>
          <w:rFonts w:ascii="微软雅黑" w:eastAsia="微软雅黑" w:hAnsi="微软雅黑" w:cs="Times New Roman" w:hint="eastAsia"/>
          <w:sz w:val="20"/>
          <w:szCs w:val="20"/>
          <w:lang w:eastAsia="zh-CN"/>
        </w:rPr>
        <w:t>PPI</w:t>
      </w:r>
      <w:r w:rsidRPr="002B3A18">
        <w:rPr>
          <w:rFonts w:ascii="微软雅黑" w:eastAsia="微软雅黑" w:hAnsi="微软雅黑" w:cs="微软雅黑" w:hint="eastAsia"/>
          <w:sz w:val="20"/>
          <w:szCs w:val="20"/>
          <w:lang w:eastAsia="zh-CN"/>
        </w:rPr>
        <w:t>数据亦显示未来物价仍面临一定压力。金融数据层面，</w:t>
      </w:r>
      <w:r w:rsidRPr="002B3A18">
        <w:rPr>
          <w:rFonts w:ascii="微软雅黑" w:eastAsia="微软雅黑" w:hAnsi="微软雅黑" w:cs="Times New Roman" w:hint="eastAsia"/>
          <w:sz w:val="20"/>
          <w:szCs w:val="20"/>
          <w:lang w:eastAsia="zh-CN"/>
        </w:rPr>
        <w:t>5</w:t>
      </w:r>
      <w:r w:rsidRPr="002B3A18">
        <w:rPr>
          <w:rFonts w:ascii="微软雅黑" w:eastAsia="微软雅黑" w:hAnsi="微软雅黑" w:cs="微软雅黑" w:hint="eastAsia"/>
          <w:sz w:val="20"/>
          <w:szCs w:val="20"/>
          <w:lang w:eastAsia="zh-CN"/>
        </w:rPr>
        <w:t>月份</w:t>
      </w:r>
      <w:r w:rsidRPr="002B3A18">
        <w:rPr>
          <w:rFonts w:ascii="微软雅黑" w:eastAsia="微软雅黑" w:hAnsi="微软雅黑" w:cs="Times New Roman" w:hint="eastAsia"/>
          <w:sz w:val="20"/>
          <w:szCs w:val="20"/>
          <w:lang w:eastAsia="zh-CN"/>
        </w:rPr>
        <w:t>M1-M2</w:t>
      </w:r>
      <w:r w:rsidRPr="002B3A18">
        <w:rPr>
          <w:rFonts w:ascii="微软雅黑" w:eastAsia="微软雅黑" w:hAnsi="微软雅黑" w:cs="微软雅黑" w:hint="eastAsia"/>
          <w:sz w:val="20"/>
          <w:szCs w:val="20"/>
          <w:lang w:eastAsia="zh-CN"/>
        </w:rPr>
        <w:t>剪刀差有所收窄，社融存量增速较上月持平，但新增人民币贷款同比少增，背后或反映出实体经济融资需求仍然不足。整体来看，目前，在海外关税因素的扰动下，国内经济基本</w:t>
      </w:r>
      <w:r w:rsidRPr="002B3A18">
        <w:rPr>
          <w:rFonts w:ascii="微软雅黑" w:eastAsia="微软雅黑" w:hAnsi="微软雅黑" w:cs="微软雅黑" w:hint="eastAsia"/>
          <w:sz w:val="20"/>
          <w:szCs w:val="20"/>
          <w:lang w:eastAsia="zh-CN"/>
        </w:rPr>
        <w:lastRenderedPageBreak/>
        <w:t>面仍然承压，内需修复或在后续成为支撑经济增长的主要动能，同时，美联储有提前于</w:t>
      </w:r>
      <w:r w:rsidRPr="002B3A18">
        <w:rPr>
          <w:rFonts w:ascii="微软雅黑" w:eastAsia="微软雅黑" w:hAnsi="微软雅黑" w:cs="Times New Roman" w:hint="eastAsia"/>
          <w:sz w:val="20"/>
          <w:szCs w:val="20"/>
          <w:lang w:eastAsia="zh-CN"/>
        </w:rPr>
        <w:t>7</w:t>
      </w:r>
      <w:r w:rsidRPr="002B3A18">
        <w:rPr>
          <w:rFonts w:ascii="微软雅黑" w:eastAsia="微软雅黑" w:hAnsi="微软雅黑" w:cs="微软雅黑" w:hint="eastAsia"/>
          <w:sz w:val="20"/>
          <w:szCs w:val="20"/>
          <w:lang w:eastAsia="zh-CN"/>
        </w:rPr>
        <w:t>月份开启降息的可能，人民币汇率压力得到缓解，中东地区紧张局势缓和也推升市场风险偏好。策略上，建议轻仓逢低买入。</w:t>
      </w:r>
      <w:r w:rsidR="00115A1A" w:rsidRPr="002B3A18">
        <w:rPr>
          <w:rFonts w:ascii="微软雅黑" w:eastAsia="微软雅黑" w:hAnsi="微软雅黑" w:cs="微软雅黑" w:hint="eastAsia"/>
          <w:spacing w:val="7"/>
          <w:sz w:val="20"/>
          <w:szCs w:val="20"/>
          <w:lang w:eastAsia="zh-CN"/>
        </w:rPr>
        <w:t>图</w:t>
      </w:r>
      <w:r w:rsidR="004E3F95" w:rsidRPr="002B3A18">
        <w:rPr>
          <w:rFonts w:ascii="微软雅黑" w:eastAsia="微软雅黑" w:hAnsi="微软雅黑" w:cs="微软雅黑" w:hint="eastAsia"/>
          <w:spacing w:val="7"/>
          <w:sz w:val="20"/>
          <w:szCs w:val="20"/>
          <w:lang w:eastAsia="zh-CN"/>
        </w:rPr>
        <w:t>表</w:t>
      </w:r>
      <w:r w:rsidR="008E3AE8" w:rsidRPr="002B3A18">
        <w:rPr>
          <w:rFonts w:ascii="微软雅黑" w:eastAsia="微软雅黑" w:hAnsi="微软雅黑" w:cs="微软雅黑" w:hint="eastAsia"/>
          <w:spacing w:val="7"/>
          <w:sz w:val="20"/>
          <w:szCs w:val="20"/>
          <w:lang w:eastAsia="zh-CN"/>
        </w:rPr>
        <w:t>3</w:t>
      </w:r>
      <w:r w:rsidR="00115A1A" w:rsidRPr="002B3A18">
        <w:rPr>
          <w:rFonts w:ascii="微软雅黑" w:eastAsia="微软雅黑" w:hAnsi="微软雅黑" w:cs="微软雅黑" w:hint="eastAsia"/>
          <w:spacing w:val="7"/>
          <w:sz w:val="20"/>
          <w:szCs w:val="20"/>
          <w:lang w:eastAsia="zh-CN"/>
        </w:rPr>
        <w:t>：富时中国A50走势图</w:t>
      </w:r>
    </w:p>
    <w:p w14:paraId="10183F54" w14:textId="0FAFBC0C" w:rsidR="009372C5" w:rsidRPr="00D44799" w:rsidRDefault="002B3A18" w:rsidP="00904B93">
      <w:pPr>
        <w:spacing w:before="103" w:line="256" w:lineRule="auto"/>
        <w:ind w:right="210" w:firstLine="420"/>
        <w:jc w:val="center"/>
        <w:rPr>
          <w:rFonts w:ascii="新宋体" w:eastAsia="新宋体" w:hAnsi="新宋体"/>
          <w:lang w:eastAsia="zh-CN"/>
        </w:rPr>
      </w:pPr>
      <w:r w:rsidRPr="00087281">
        <w:rPr>
          <w:rFonts w:asciiTheme="minorEastAsia" w:hAnsiTheme="minorEastAsia" w:cs="Times New Roman"/>
          <w:noProof/>
          <w:lang w:eastAsia="zh-CN"/>
        </w:rPr>
        <w:drawing>
          <wp:inline distT="0" distB="0" distL="0" distR="0" wp14:anchorId="63CDC278" wp14:editId="592AD85C">
            <wp:extent cx="5274310" cy="1557299"/>
            <wp:effectExtent l="0" t="0" r="2540" b="5080"/>
            <wp:docPr id="3" name="图片 3" descr="C:\Users\Administrator\Documents\WeChat Files\wxid_vkxlzo0vqu7s22\FileStorage\Temp\1750725560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072556024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7299"/>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0A7C41A8" w14:textId="6697F563" w:rsidR="00C03578" w:rsidRPr="002B3A18" w:rsidRDefault="002B3A18" w:rsidP="00A02266">
      <w:pPr>
        <w:spacing w:before="103" w:line="256" w:lineRule="auto"/>
        <w:ind w:right="210" w:firstLine="448"/>
        <w:jc w:val="both"/>
        <w:rPr>
          <w:rFonts w:ascii="微软雅黑" w:eastAsia="微软雅黑" w:hAnsi="微软雅黑" w:cs="微软雅黑"/>
          <w:spacing w:val="12"/>
          <w:sz w:val="20"/>
          <w:szCs w:val="20"/>
          <w:lang w:eastAsia="zh-CN"/>
        </w:rPr>
      </w:pPr>
      <w:r w:rsidRPr="002B3A18">
        <w:rPr>
          <w:rFonts w:ascii="微软雅黑" w:eastAsia="微软雅黑" w:hAnsi="微软雅黑" w:hint="eastAsia"/>
          <w:color w:val="000000" w:themeColor="text1"/>
          <w:sz w:val="20"/>
          <w:szCs w:val="20"/>
          <w:lang w:eastAsia="zh-CN"/>
        </w:rPr>
        <w:t>隔夜</w:t>
      </w:r>
      <w:r w:rsidRPr="002B3A18">
        <w:rPr>
          <w:rFonts w:ascii="微软雅黑" w:eastAsia="微软雅黑" w:hAnsi="微软雅黑"/>
          <w:color w:val="000000" w:themeColor="text1"/>
          <w:sz w:val="20"/>
          <w:szCs w:val="20"/>
          <w:lang w:eastAsia="zh-CN"/>
        </w:rPr>
        <w:t>COMEX</w:t>
      </w:r>
      <w:r w:rsidRPr="002B3A18">
        <w:rPr>
          <w:rFonts w:ascii="微软雅黑" w:eastAsia="微软雅黑" w:hAnsi="微软雅黑" w:hint="eastAsia"/>
          <w:color w:val="000000" w:themeColor="text1"/>
          <w:sz w:val="20"/>
          <w:szCs w:val="20"/>
          <w:lang w:eastAsia="zh-CN"/>
        </w:rPr>
        <w:t>铜震荡偏强，报收</w:t>
      </w:r>
      <w:r w:rsidRPr="002B3A18">
        <w:rPr>
          <w:rFonts w:ascii="微软雅黑" w:eastAsia="微软雅黑" w:hAnsi="微软雅黑"/>
          <w:color w:val="000000" w:themeColor="text1"/>
          <w:sz w:val="20"/>
          <w:szCs w:val="20"/>
          <w:lang w:eastAsia="zh-CN"/>
        </w:rPr>
        <w:t>4.937</w:t>
      </w:r>
      <w:r w:rsidRPr="002B3A18">
        <w:rPr>
          <w:rFonts w:ascii="微软雅黑" w:eastAsia="微软雅黑" w:hAnsi="微软雅黑" w:hint="eastAsia"/>
          <w:color w:val="000000" w:themeColor="text1"/>
          <w:sz w:val="20"/>
          <w:szCs w:val="20"/>
          <w:lang w:eastAsia="zh-CN"/>
        </w:rPr>
        <w:t>美元/磅，涨跌幅</w:t>
      </w:r>
      <w:r w:rsidRPr="002B3A18">
        <w:rPr>
          <w:rFonts w:ascii="微软雅黑" w:eastAsia="微软雅黑" w:hAnsi="微软雅黑"/>
          <w:color w:val="000000" w:themeColor="text1"/>
          <w:sz w:val="20"/>
          <w:szCs w:val="20"/>
          <w:lang w:eastAsia="zh-CN"/>
        </w:rPr>
        <w:t>+1.07%</w:t>
      </w:r>
      <w:r w:rsidRPr="002B3A18">
        <w:rPr>
          <w:rFonts w:ascii="微软雅黑" w:eastAsia="微软雅黑" w:hAnsi="微软雅黑" w:hint="eastAsia"/>
          <w:color w:val="000000" w:themeColor="text1"/>
          <w:sz w:val="20"/>
          <w:szCs w:val="20"/>
          <w:lang w:eastAsia="zh-CN"/>
        </w:rPr>
        <w:t>。国际方面，美国</w:t>
      </w:r>
      <w:r w:rsidRPr="002B3A18">
        <w:rPr>
          <w:rFonts w:ascii="微软雅黑" w:eastAsia="微软雅黑" w:hAnsi="微软雅黑"/>
          <w:color w:val="000000" w:themeColor="text1"/>
          <w:sz w:val="20"/>
          <w:szCs w:val="20"/>
          <w:lang w:eastAsia="zh-CN"/>
        </w:rPr>
        <w:t>6月标普全球制造业PMI初值持稳于52，为2月以来最高，好于市场预期。</w:t>
      </w:r>
      <w:r w:rsidRPr="002B3A18">
        <w:rPr>
          <w:rFonts w:ascii="微软雅黑" w:eastAsia="微软雅黑" w:hAnsi="微软雅黑" w:hint="eastAsia"/>
          <w:color w:val="000000" w:themeColor="text1"/>
          <w:sz w:val="20"/>
          <w:szCs w:val="20"/>
          <w:lang w:eastAsia="zh-CN"/>
        </w:rPr>
        <w:t>美联储副主席鲍曼表示，可能支持最早</w:t>
      </w:r>
      <w:r w:rsidRPr="002B3A18">
        <w:rPr>
          <w:rFonts w:ascii="微软雅黑" w:eastAsia="微软雅黑" w:hAnsi="微软雅黑"/>
          <w:color w:val="000000" w:themeColor="text1"/>
          <w:sz w:val="20"/>
          <w:szCs w:val="20"/>
          <w:lang w:eastAsia="zh-CN"/>
        </w:rPr>
        <w:t>7月降息。如果通胀继续下降，或者就业市场走弱，FOMC就可以降息。</w:t>
      </w:r>
      <w:r w:rsidRPr="002B3A18">
        <w:rPr>
          <w:rFonts w:ascii="微软雅黑" w:eastAsia="微软雅黑" w:hAnsi="微软雅黑" w:hint="eastAsia"/>
          <w:color w:val="000000" w:themeColor="text1"/>
          <w:sz w:val="20"/>
          <w:szCs w:val="20"/>
          <w:lang w:eastAsia="zh-CN"/>
        </w:rPr>
        <w:t>美联储古尔斯比表示，如果贸易政策影响消失了，应该继续降息。国内方面，财政部副部长廖岷会见中国美国商会代表团，就中美经贸关系、中方开放举措、美企在华经营等进行深入沟通。廖岷强调，美方应与中方一道，共同履行好磋商共识成果，推动中美经贸关系行稳致远。库存方面，截至</w:t>
      </w:r>
      <w:r w:rsidRPr="002B3A18">
        <w:rPr>
          <w:rFonts w:ascii="微软雅黑" w:eastAsia="微软雅黑" w:hAnsi="微软雅黑"/>
          <w:color w:val="000000" w:themeColor="text1"/>
          <w:sz w:val="20"/>
          <w:szCs w:val="20"/>
          <w:lang w:eastAsia="zh-CN"/>
        </w:rPr>
        <w:t>6月23日，COMEX铜库存为203335</w:t>
      </w:r>
      <w:r w:rsidRPr="002B3A18">
        <w:rPr>
          <w:rFonts w:ascii="微软雅黑" w:eastAsia="微软雅黑" w:hAnsi="微软雅黑" w:hint="eastAsia"/>
          <w:color w:val="000000" w:themeColor="text1"/>
          <w:sz w:val="20"/>
          <w:szCs w:val="20"/>
          <w:lang w:eastAsia="zh-CN"/>
        </w:rPr>
        <w:t>短</w:t>
      </w:r>
      <w:r w:rsidRPr="002B3A18">
        <w:rPr>
          <w:rFonts w:ascii="微软雅黑" w:eastAsia="微软雅黑" w:hAnsi="微软雅黑"/>
          <w:color w:val="000000" w:themeColor="text1"/>
          <w:sz w:val="20"/>
          <w:szCs w:val="20"/>
          <w:lang w:eastAsia="zh-CN"/>
        </w:rPr>
        <w:t>吨，环比+2138</w:t>
      </w:r>
      <w:r w:rsidRPr="002B3A18">
        <w:rPr>
          <w:rFonts w:ascii="微软雅黑" w:eastAsia="微软雅黑" w:hAnsi="微软雅黑" w:hint="eastAsia"/>
          <w:color w:val="000000" w:themeColor="text1"/>
          <w:sz w:val="20"/>
          <w:szCs w:val="20"/>
          <w:lang w:eastAsia="zh-CN"/>
        </w:rPr>
        <w:t>短吨；</w:t>
      </w:r>
      <w:r w:rsidRPr="002B3A18">
        <w:rPr>
          <w:rFonts w:ascii="微软雅黑" w:eastAsia="微软雅黑" w:hAnsi="微软雅黑"/>
          <w:color w:val="000000" w:themeColor="text1"/>
          <w:sz w:val="20"/>
          <w:szCs w:val="20"/>
          <w:lang w:eastAsia="zh-CN"/>
        </w:rPr>
        <w:t>LME</w:t>
      </w:r>
      <w:r w:rsidRPr="002B3A18">
        <w:rPr>
          <w:rFonts w:ascii="微软雅黑" w:eastAsia="微软雅黑" w:hAnsi="微软雅黑" w:hint="eastAsia"/>
          <w:color w:val="000000" w:themeColor="text1"/>
          <w:sz w:val="20"/>
          <w:szCs w:val="20"/>
          <w:lang w:eastAsia="zh-CN"/>
        </w:rPr>
        <w:t>铜库存为</w:t>
      </w:r>
      <w:r w:rsidRPr="002B3A18">
        <w:rPr>
          <w:rFonts w:ascii="微软雅黑" w:eastAsia="微软雅黑" w:hAnsi="微软雅黑"/>
          <w:color w:val="000000" w:themeColor="text1"/>
          <w:sz w:val="20"/>
          <w:szCs w:val="20"/>
          <w:lang w:eastAsia="zh-CN"/>
        </w:rPr>
        <w:t>95875</w:t>
      </w:r>
      <w:r w:rsidRPr="002B3A18">
        <w:rPr>
          <w:rFonts w:ascii="微软雅黑" w:eastAsia="微软雅黑" w:hAnsi="微软雅黑" w:hint="eastAsia"/>
          <w:color w:val="000000" w:themeColor="text1"/>
          <w:sz w:val="20"/>
          <w:szCs w:val="20"/>
          <w:lang w:eastAsia="zh-CN"/>
        </w:rPr>
        <w:t>吨，环比</w:t>
      </w:r>
      <w:r w:rsidRPr="002B3A18">
        <w:rPr>
          <w:rFonts w:ascii="微软雅黑" w:eastAsia="微软雅黑" w:hAnsi="微软雅黑"/>
          <w:color w:val="000000" w:themeColor="text1"/>
          <w:sz w:val="20"/>
          <w:szCs w:val="20"/>
          <w:lang w:eastAsia="zh-CN"/>
        </w:rPr>
        <w:t>-3325</w:t>
      </w:r>
      <w:r w:rsidRPr="002B3A18">
        <w:rPr>
          <w:rFonts w:ascii="微软雅黑" w:eastAsia="微软雅黑" w:hAnsi="微软雅黑" w:hint="eastAsia"/>
          <w:color w:val="000000" w:themeColor="text1"/>
          <w:sz w:val="20"/>
          <w:szCs w:val="20"/>
          <w:lang w:eastAsia="zh-CN"/>
        </w:rPr>
        <w:t>吨；S</w:t>
      </w:r>
      <w:r w:rsidRPr="002B3A18">
        <w:rPr>
          <w:rFonts w:ascii="微软雅黑" w:eastAsia="微软雅黑" w:hAnsi="微软雅黑"/>
          <w:color w:val="000000" w:themeColor="text1"/>
          <w:sz w:val="20"/>
          <w:szCs w:val="20"/>
          <w:lang w:eastAsia="zh-CN"/>
        </w:rPr>
        <w:t>HFE</w:t>
      </w:r>
      <w:r w:rsidRPr="002B3A18">
        <w:rPr>
          <w:rFonts w:ascii="微软雅黑" w:eastAsia="微软雅黑" w:hAnsi="微软雅黑" w:hint="eastAsia"/>
          <w:color w:val="000000" w:themeColor="text1"/>
          <w:sz w:val="20"/>
          <w:szCs w:val="20"/>
          <w:lang w:eastAsia="zh-CN"/>
        </w:rPr>
        <w:t>每日仓单</w:t>
      </w:r>
      <w:r w:rsidRPr="002B3A18">
        <w:rPr>
          <w:rFonts w:ascii="微软雅黑" w:eastAsia="微软雅黑" w:hAnsi="微软雅黑"/>
          <w:color w:val="000000" w:themeColor="text1"/>
          <w:sz w:val="20"/>
          <w:szCs w:val="20"/>
          <w:lang w:eastAsia="zh-CN"/>
        </w:rPr>
        <w:t>25528</w:t>
      </w:r>
      <w:r w:rsidRPr="002B3A18">
        <w:rPr>
          <w:rFonts w:ascii="微软雅黑" w:eastAsia="微软雅黑" w:hAnsi="微软雅黑" w:hint="eastAsia"/>
          <w:color w:val="000000" w:themeColor="text1"/>
          <w:sz w:val="20"/>
          <w:szCs w:val="20"/>
          <w:lang w:eastAsia="zh-CN"/>
        </w:rPr>
        <w:t>吨，环比-</w:t>
      </w:r>
      <w:r w:rsidRPr="002B3A18">
        <w:rPr>
          <w:rFonts w:ascii="微软雅黑" w:eastAsia="微软雅黑" w:hAnsi="微软雅黑"/>
          <w:color w:val="000000" w:themeColor="text1"/>
          <w:sz w:val="20"/>
          <w:szCs w:val="20"/>
          <w:lang w:eastAsia="zh-CN"/>
        </w:rPr>
        <w:t>8354</w:t>
      </w:r>
      <w:r w:rsidRPr="002B3A18">
        <w:rPr>
          <w:rFonts w:ascii="微软雅黑" w:eastAsia="微软雅黑" w:hAnsi="微软雅黑" w:hint="eastAsia"/>
          <w:color w:val="000000" w:themeColor="text1"/>
          <w:sz w:val="20"/>
          <w:szCs w:val="20"/>
          <w:lang w:eastAsia="zh-CN"/>
        </w:rPr>
        <w:t>吨。美元美债方面，美元指数亚盘震荡、欧盘触及</w:t>
      </w:r>
      <w:r w:rsidRPr="002B3A18">
        <w:rPr>
          <w:rFonts w:ascii="微软雅黑" w:eastAsia="微软雅黑" w:hAnsi="微软雅黑"/>
          <w:color w:val="000000" w:themeColor="text1"/>
          <w:sz w:val="20"/>
          <w:szCs w:val="20"/>
          <w:lang w:eastAsia="zh-CN"/>
        </w:rPr>
        <w:t>99.40，后因美盘期间美联储官员的鸽派言论下跌失守99美元关口，最终收跌0.43%，报98.35。基准的10年期美债收益率收报4.3490%，2年期美债收益率收报3.8700%。</w:t>
      </w:r>
      <w:r w:rsidRPr="002B3A18">
        <w:rPr>
          <w:rFonts w:ascii="微软雅黑" w:eastAsia="微软雅黑" w:hAnsi="微软雅黑" w:hint="eastAsia"/>
          <w:bCs/>
          <w:color w:val="000000" w:themeColor="text1"/>
          <w:sz w:val="20"/>
          <w:szCs w:val="20"/>
          <w:lang w:eastAsia="zh-CN"/>
        </w:rPr>
        <w:t>操作建议，纽铜主力合约轻仓逢低短多交易，仅供参考</w:t>
      </w:r>
      <w:r w:rsidR="00C03578" w:rsidRPr="002B3A18">
        <w:rPr>
          <w:rFonts w:ascii="微软雅黑" w:eastAsia="微软雅黑" w:hAnsi="微软雅黑" w:cs="微软雅黑" w:hint="eastAsia"/>
          <w:bCs/>
          <w:spacing w:val="12"/>
          <w:sz w:val="20"/>
          <w:szCs w:val="20"/>
          <w:lang w:eastAsia="zh-CN"/>
        </w:rPr>
        <w:t>。</w:t>
      </w:r>
    </w:p>
    <w:p w14:paraId="6F8ACEFD" w14:textId="665FF664"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668BA466" w:rsidR="00A02266" w:rsidRDefault="002B3A18" w:rsidP="006B6996">
      <w:pPr>
        <w:spacing w:before="103" w:line="256" w:lineRule="auto"/>
        <w:ind w:right="210"/>
        <w:jc w:val="center"/>
      </w:pPr>
      <w:r>
        <w:rPr>
          <w:noProof/>
          <w:lang w:eastAsia="zh-CN"/>
        </w:rPr>
        <w:drawing>
          <wp:inline distT="0" distB="0" distL="0" distR="0" wp14:anchorId="162EC043" wp14:editId="6D17B9D9">
            <wp:extent cx="5274310" cy="2879090"/>
            <wp:effectExtent l="0" t="0" r="2540" b="0"/>
            <wp:docPr id="450051798" name="图片 450051798"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51798" name="图片 450051798" descr="图表, 直方图&#10;&#10;描述已自动生成"/>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lastRenderedPageBreak/>
        <w:t>黄金</w:t>
      </w:r>
    </w:p>
    <w:p w14:paraId="40CF980F" w14:textId="77777777" w:rsidR="002B3A18" w:rsidRPr="002B3A18" w:rsidRDefault="002B3A18" w:rsidP="00B00DB4">
      <w:pPr>
        <w:spacing w:before="103" w:line="256" w:lineRule="auto"/>
        <w:ind w:right="210" w:firstLine="468"/>
        <w:jc w:val="both"/>
        <w:rPr>
          <w:rFonts w:ascii="微软雅黑" w:eastAsia="微软雅黑" w:hAnsi="微软雅黑"/>
          <w:noProof/>
          <w:sz w:val="20"/>
          <w:szCs w:val="20"/>
          <w:lang w:eastAsia="zh"/>
        </w:rPr>
      </w:pPr>
      <w:r w:rsidRPr="002B3A18">
        <w:rPr>
          <w:rFonts w:ascii="微软雅黑" w:eastAsia="微软雅黑" w:hAnsi="微软雅黑" w:hint="eastAsia"/>
          <w:noProof/>
          <w:sz w:val="20"/>
          <w:szCs w:val="20"/>
          <w:lang w:eastAsia="zh"/>
        </w:rPr>
        <w:t>隔夜，国际贵金属期货收盘涨跌不一，COMEX黄金期货跌0.04%报3384.40美元/盎司，COMEX白银期货涨0.09%报36.05美元/盎司。地缘方面，伊朗宣布对美军驻卡塔尔乌代德空军基地实施导弹打击，但袭击力度小于预期，伊方尚未对其他中东美军基地进行打击，特朗普释放"和平"信号，市场避险情绪小幅降温，亚洲早盘现货黄金跳水。宏观数据方面，美国6月标普全球制造业PMI初值持稳于52，高于市场预期。近日有美联储票委陆续释放鸽派信号，美联储副主席鲍支持最早7月降息，但前提是看到实质性的通胀数据回落以及就业市场走弱，目前来看关税造成的价格上行压力似乎被抵消。此外，美联储古尔斯比表示如果关税的影响未能体现于后续数月的经济数据中，美联储应该开启新一轮的降息窗口。经济数据逐步转弱，叠加近期联储官员陆续转鸽的迹象，加大了市场对美联储下半年启动宽松周期的期待，对于贵金属来讲属于利多因素。黄金中长期看多逻辑尚未松动，全球去美元化趋势下央行购金需求持续，美国双赤字问题及经济下行压力或最终促使美联储转向宽松，而若关税政策持久化加剧通胀韧性，黄金的抗通胀吸引力也将进一步增。当前关税对于通胀影响或仍存在波动，若降息预期逐步明朗化，白银的工业属性以及相对估值优势或持续提振银价，金银比有望继续回落。COMEX黄金关注上方阻力位3400美元/盎司，下方支撑位3300美元/盎司；COMEX白银关注下方支撑位35.5美元/盎司，上方阻力位36.5美元/盎司。</w:t>
      </w:r>
    </w:p>
    <w:p w14:paraId="6AF3D94C" w14:textId="0ACBA041"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322CAD2" w:rsidR="007A477E" w:rsidRDefault="002B3A18"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786E30">
        <w:rPr>
          <w:rFonts w:ascii="黑体" w:eastAsia="黑体" w:hAnsi="黑体"/>
          <w:noProof/>
          <w:sz w:val="20"/>
          <w:szCs w:val="20"/>
          <w:lang w:eastAsia="zh-CN"/>
        </w:rPr>
        <w:drawing>
          <wp:inline distT="0" distB="0" distL="0" distR="0" wp14:anchorId="18CBDB05" wp14:editId="5F9E048A">
            <wp:extent cx="4921885" cy="2066925"/>
            <wp:effectExtent l="0" t="0" r="0" b="9525"/>
            <wp:docPr id="1518248120"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48120"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1885" cy="20669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p w14:paraId="69823D18" w14:textId="77777777" w:rsidR="002B3A18" w:rsidRDefault="002B3A18" w:rsidP="002B3A18">
      <w:pPr>
        <w:rPr>
          <w:lang w:eastAsia="zh-CN"/>
        </w:rPr>
      </w:pPr>
      <w:bookmarkStart w:id="4" w:name="OLE_LINK6"/>
      <w:bookmarkEnd w:id="2"/>
      <w:bookmarkEnd w:id="3"/>
      <w:r>
        <w:rPr>
          <w:rFonts w:ascii="微软雅黑" w:eastAsia="微软雅黑" w:hAnsi="微软雅黑" w:cs="微软雅黑" w:hint="eastAsia"/>
          <w:lang w:eastAsia="zh-CN"/>
        </w:rPr>
        <w:t>洲际交易所</w:t>
      </w:r>
      <w:r>
        <w:rPr>
          <w:rFonts w:hint="eastAsia"/>
          <w:lang w:eastAsia="zh-CN"/>
        </w:rPr>
        <w:t>(ICE)</w:t>
      </w:r>
      <w:r>
        <w:rPr>
          <w:rFonts w:ascii="微软雅黑" w:eastAsia="微软雅黑" w:hAnsi="微软雅黑" w:cs="微软雅黑" w:hint="eastAsia"/>
          <w:lang w:eastAsia="zh-CN"/>
        </w:rPr>
        <w:t>原糖期货周一近月收跌，但远月合约小幅上涨。</w:t>
      </w:r>
      <w:r>
        <w:rPr>
          <w:rFonts w:hint="eastAsia"/>
          <w:lang w:eastAsia="zh-CN"/>
        </w:rPr>
        <w:t>ICE</w:t>
      </w:r>
      <w:r>
        <w:rPr>
          <w:rFonts w:ascii="微软雅黑" w:eastAsia="微软雅黑" w:hAnsi="微软雅黑" w:cs="微软雅黑" w:hint="eastAsia"/>
          <w:lang w:eastAsia="zh-CN"/>
        </w:rPr>
        <w:t>交投最活跃</w:t>
      </w:r>
      <w:r>
        <w:rPr>
          <w:rFonts w:hint="eastAsia"/>
          <w:lang w:eastAsia="zh-CN"/>
        </w:rPr>
        <w:t>10</w:t>
      </w:r>
      <w:r>
        <w:rPr>
          <w:rFonts w:ascii="微软雅黑" w:eastAsia="微软雅黑" w:hAnsi="微软雅黑" w:cs="微软雅黑" w:hint="eastAsia"/>
          <w:lang w:eastAsia="zh-CN"/>
        </w:rPr>
        <w:t>月原糖期货合约持平，结算价报每磅</w:t>
      </w:r>
      <w:r>
        <w:rPr>
          <w:rFonts w:hint="eastAsia"/>
          <w:lang w:eastAsia="zh-CN"/>
        </w:rPr>
        <w:t>16.04</w:t>
      </w:r>
      <w:r>
        <w:rPr>
          <w:rFonts w:ascii="微软雅黑" w:eastAsia="微软雅黑" w:hAnsi="微软雅黑" w:cs="微软雅黑" w:hint="eastAsia"/>
          <w:lang w:eastAsia="zh-CN"/>
        </w:rPr>
        <w:t>美分。现货月</w:t>
      </w:r>
      <w:r>
        <w:rPr>
          <w:rFonts w:hint="eastAsia"/>
          <w:lang w:eastAsia="zh-CN"/>
        </w:rPr>
        <w:t xml:space="preserve"> 7</w:t>
      </w:r>
      <w:r>
        <w:rPr>
          <w:rFonts w:ascii="微软雅黑" w:eastAsia="微软雅黑" w:hAnsi="微软雅黑" w:cs="微软雅黑" w:hint="eastAsia"/>
          <w:lang w:eastAsia="zh-CN"/>
        </w:rPr>
        <w:t>月原糖期下跌</w:t>
      </w:r>
      <w:r>
        <w:rPr>
          <w:rFonts w:hint="eastAsia"/>
          <w:lang w:eastAsia="zh-CN"/>
        </w:rPr>
        <w:t>0.06</w:t>
      </w:r>
      <w:r>
        <w:rPr>
          <w:rFonts w:ascii="微软雅黑" w:eastAsia="微软雅黑" w:hAnsi="微软雅黑" w:cs="微软雅黑" w:hint="eastAsia"/>
          <w:lang w:eastAsia="zh-CN"/>
        </w:rPr>
        <w:t>美分，或</w:t>
      </w:r>
      <w:r>
        <w:rPr>
          <w:rFonts w:hint="eastAsia"/>
          <w:lang w:eastAsia="zh-CN"/>
        </w:rPr>
        <w:t>0.4%</w:t>
      </w:r>
      <w:r>
        <w:rPr>
          <w:rFonts w:ascii="微软雅黑" w:eastAsia="微软雅黑" w:hAnsi="微软雅黑" w:cs="微软雅黑" w:hint="eastAsia"/>
          <w:lang w:eastAsia="zh-CN"/>
        </w:rPr>
        <w:t>，至每磅</w:t>
      </w:r>
      <w:r>
        <w:rPr>
          <w:rFonts w:hint="eastAsia"/>
          <w:lang w:eastAsia="zh-CN"/>
        </w:rPr>
        <w:t>16.04</w:t>
      </w:r>
      <w:r>
        <w:rPr>
          <w:rFonts w:ascii="微软雅黑" w:eastAsia="微软雅黑" w:hAnsi="微软雅黑" w:cs="微软雅黑" w:hint="eastAsia"/>
          <w:lang w:eastAsia="zh-CN"/>
        </w:rPr>
        <w:t>美分。</w:t>
      </w:r>
    </w:p>
    <w:bookmarkEnd w:id="4"/>
    <w:p w14:paraId="446EBBA1" w14:textId="77777777" w:rsidR="002B3A18" w:rsidRDefault="002B3A18" w:rsidP="002B3A18">
      <w:pPr>
        <w:rPr>
          <w:rFonts w:eastAsia="宋体"/>
          <w:lang w:eastAsia="zh-CN"/>
        </w:rPr>
      </w:pPr>
      <w:r>
        <w:rPr>
          <w:rFonts w:ascii="微软雅黑" w:eastAsia="微软雅黑" w:hAnsi="微软雅黑" w:cs="微软雅黑" w:hint="eastAsia"/>
          <w:lang w:eastAsia="zh-CN"/>
        </w:rPr>
        <w:t>巴西甘蔗行业协会数据显示，</w:t>
      </w:r>
      <w:r>
        <w:rPr>
          <w:rFonts w:hint="eastAsia"/>
          <w:lang w:eastAsia="zh-CN"/>
        </w:rPr>
        <w:t>5</w:t>
      </w:r>
      <w:r>
        <w:rPr>
          <w:rFonts w:ascii="微软雅黑" w:eastAsia="微软雅黑" w:hAnsi="微软雅黑" w:cs="微软雅黑" w:hint="eastAsia"/>
          <w:lang w:eastAsia="zh-CN"/>
        </w:rPr>
        <w:t>月下半月巴西中南地区压榨甘蔗</w:t>
      </w:r>
      <w:r>
        <w:rPr>
          <w:rFonts w:hint="eastAsia"/>
          <w:lang w:eastAsia="zh-CN"/>
        </w:rPr>
        <w:t>4784.3</w:t>
      </w:r>
      <w:r>
        <w:rPr>
          <w:rFonts w:ascii="微软雅黑" w:eastAsia="微软雅黑" w:hAnsi="微软雅黑" w:cs="微软雅黑" w:hint="eastAsia"/>
          <w:lang w:eastAsia="zh-CN"/>
        </w:rPr>
        <w:t>万吨，同比增加</w:t>
      </w:r>
      <w:r>
        <w:rPr>
          <w:rFonts w:hint="eastAsia"/>
          <w:lang w:eastAsia="zh-CN"/>
        </w:rPr>
        <w:t>5.47%</w:t>
      </w:r>
      <w:r>
        <w:rPr>
          <w:rFonts w:ascii="微软雅黑" w:eastAsia="微软雅黑" w:hAnsi="微软雅黑" w:cs="微软雅黑" w:hint="eastAsia"/>
          <w:lang w:eastAsia="zh-CN"/>
        </w:rPr>
        <w:t>；产糖</w:t>
      </w:r>
      <w:r>
        <w:rPr>
          <w:rFonts w:hint="eastAsia"/>
          <w:lang w:eastAsia="zh-CN"/>
        </w:rPr>
        <w:t>295.1</w:t>
      </w:r>
      <w:r>
        <w:rPr>
          <w:rFonts w:ascii="微软雅黑" w:eastAsia="微软雅黑" w:hAnsi="微软雅黑" w:cs="微软雅黑" w:hint="eastAsia"/>
          <w:lang w:eastAsia="zh-CN"/>
        </w:rPr>
        <w:t>万吨，同比增加</w:t>
      </w:r>
      <w:r>
        <w:rPr>
          <w:rFonts w:hint="eastAsia"/>
          <w:lang w:eastAsia="zh-CN"/>
        </w:rPr>
        <w:t>8.86%</w:t>
      </w:r>
      <w:r>
        <w:rPr>
          <w:rFonts w:ascii="微软雅黑" w:eastAsia="微软雅黑" w:hAnsi="微软雅黑" w:cs="微软雅黑" w:hint="eastAsia"/>
          <w:lang w:eastAsia="zh-CN"/>
        </w:rPr>
        <w:t>；乙醇产量同比减少</w:t>
      </w:r>
      <w:r>
        <w:rPr>
          <w:rFonts w:hint="eastAsia"/>
          <w:lang w:eastAsia="zh-CN"/>
        </w:rPr>
        <w:t>3.12%</w:t>
      </w:r>
      <w:r>
        <w:rPr>
          <w:rFonts w:ascii="微软雅黑" w:eastAsia="微软雅黑" w:hAnsi="微软雅黑" w:cs="微软雅黑" w:hint="eastAsia"/>
          <w:lang w:eastAsia="zh-CN"/>
        </w:rPr>
        <w:t>，至</w:t>
      </w:r>
      <w:r>
        <w:rPr>
          <w:rFonts w:hint="eastAsia"/>
          <w:lang w:eastAsia="zh-CN"/>
        </w:rPr>
        <w:t>20.57</w:t>
      </w:r>
      <w:r>
        <w:rPr>
          <w:rFonts w:ascii="微软雅黑" w:eastAsia="微软雅黑" w:hAnsi="微软雅黑" w:cs="微软雅黑" w:hint="eastAsia"/>
          <w:lang w:eastAsia="zh-CN"/>
        </w:rPr>
        <w:t>亿升。糖厂使用</w:t>
      </w:r>
      <w:r>
        <w:rPr>
          <w:rFonts w:hint="eastAsia"/>
          <w:lang w:eastAsia="zh-CN"/>
        </w:rPr>
        <w:t>51.85%</w:t>
      </w:r>
      <w:r>
        <w:rPr>
          <w:rFonts w:ascii="微软雅黑" w:eastAsia="微软雅黑" w:hAnsi="微软雅黑" w:cs="微软雅黑" w:hint="eastAsia"/>
          <w:lang w:eastAsia="zh-CN"/>
        </w:rPr>
        <w:t>的甘蔗比例产糖，上榨季同期为</w:t>
      </w:r>
      <w:r>
        <w:rPr>
          <w:rFonts w:hint="eastAsia"/>
          <w:lang w:eastAsia="zh-CN"/>
        </w:rPr>
        <w:t>48.2%</w:t>
      </w:r>
      <w:r>
        <w:rPr>
          <w:rFonts w:ascii="微软雅黑" w:eastAsia="微软雅黑" w:hAnsi="微软雅黑" w:cs="微软雅黑" w:hint="eastAsia"/>
          <w:lang w:eastAsia="zh-CN"/>
        </w:rPr>
        <w:t>；每吨甘蔗出糖量同比下降</w:t>
      </w:r>
      <w:r>
        <w:rPr>
          <w:rFonts w:hint="eastAsia"/>
          <w:lang w:eastAsia="zh-CN"/>
        </w:rPr>
        <w:t>4.06%</w:t>
      </w:r>
      <w:r>
        <w:rPr>
          <w:rFonts w:ascii="微软雅黑" w:eastAsia="微软雅黑" w:hAnsi="微软雅黑" w:cs="微软雅黑" w:hint="eastAsia"/>
          <w:lang w:eastAsia="zh-CN"/>
        </w:rPr>
        <w:t>，为</w:t>
      </w:r>
      <w:r>
        <w:rPr>
          <w:rFonts w:hint="eastAsia"/>
          <w:lang w:eastAsia="zh-CN"/>
        </w:rPr>
        <w:t>124.87</w:t>
      </w:r>
      <w:r>
        <w:rPr>
          <w:rFonts w:ascii="微软雅黑" w:eastAsia="微软雅黑" w:hAnsi="微软雅黑" w:cs="微软雅黑" w:hint="eastAsia"/>
          <w:lang w:eastAsia="zh-CN"/>
        </w:rPr>
        <w:t>千克</w:t>
      </w:r>
      <w:r>
        <w:rPr>
          <w:rFonts w:hint="eastAsia"/>
          <w:lang w:eastAsia="zh-CN"/>
        </w:rPr>
        <w:t>/</w:t>
      </w:r>
      <w:r>
        <w:rPr>
          <w:rFonts w:ascii="微软雅黑" w:eastAsia="微软雅黑" w:hAnsi="微软雅黑" w:cs="微软雅黑" w:hint="eastAsia"/>
          <w:lang w:eastAsia="zh-CN"/>
        </w:rPr>
        <w:t>吨。巴西对外贸易秘书处公布出口数据显示，巴西</w:t>
      </w:r>
      <w:r>
        <w:rPr>
          <w:rFonts w:hint="eastAsia"/>
          <w:lang w:eastAsia="zh-CN"/>
        </w:rPr>
        <w:t>6</w:t>
      </w:r>
      <w:r>
        <w:rPr>
          <w:rFonts w:ascii="微软雅黑" w:eastAsia="微软雅黑" w:hAnsi="微软雅黑" w:cs="微软雅黑" w:hint="eastAsia"/>
          <w:lang w:eastAsia="zh-CN"/>
        </w:rPr>
        <w:t>月前上周出口糖</w:t>
      </w:r>
      <w:r>
        <w:rPr>
          <w:rFonts w:hint="eastAsia"/>
          <w:lang w:eastAsia="zh-CN"/>
        </w:rPr>
        <w:t>2103033.83</w:t>
      </w:r>
      <w:r>
        <w:rPr>
          <w:rFonts w:ascii="微软雅黑" w:eastAsia="微软雅黑" w:hAnsi="微软雅黑" w:cs="微软雅黑" w:hint="eastAsia"/>
          <w:lang w:eastAsia="zh-CN"/>
        </w:rPr>
        <w:t>吨，日均出口量为</w:t>
      </w:r>
      <w:r>
        <w:rPr>
          <w:rFonts w:hint="eastAsia"/>
          <w:lang w:eastAsia="zh-CN"/>
        </w:rPr>
        <w:t>150216.7</w:t>
      </w:r>
      <w:r>
        <w:rPr>
          <w:rFonts w:ascii="微软雅黑" w:eastAsia="微软雅黑" w:hAnsi="微软雅黑" w:cs="微软雅黑" w:hint="eastAsia"/>
          <w:lang w:eastAsia="zh-CN"/>
        </w:rPr>
        <w:t>吨，较上年</w:t>
      </w:r>
      <w:r>
        <w:rPr>
          <w:rFonts w:hint="eastAsia"/>
          <w:lang w:eastAsia="zh-CN"/>
        </w:rPr>
        <w:t>6</w:t>
      </w:r>
      <w:r>
        <w:rPr>
          <w:rFonts w:ascii="微软雅黑" w:eastAsia="微软雅黑" w:hAnsi="微软雅黑" w:cs="微软雅黑" w:hint="eastAsia"/>
          <w:lang w:eastAsia="zh-CN"/>
        </w:rPr>
        <w:t>月全月的日均出口量</w:t>
      </w:r>
      <w:r>
        <w:rPr>
          <w:rFonts w:hint="eastAsia"/>
          <w:lang w:eastAsia="zh-CN"/>
        </w:rPr>
        <w:t>159717.02</w:t>
      </w:r>
      <w:r>
        <w:rPr>
          <w:rFonts w:ascii="微软雅黑" w:eastAsia="微软雅黑" w:hAnsi="微软雅黑" w:cs="微软雅黑" w:hint="eastAsia"/>
          <w:lang w:eastAsia="zh-CN"/>
        </w:rPr>
        <w:t>吨减少</w:t>
      </w:r>
      <w:r>
        <w:rPr>
          <w:rFonts w:hint="eastAsia"/>
          <w:lang w:eastAsia="zh-CN"/>
        </w:rPr>
        <w:t>6%</w:t>
      </w:r>
      <w:r>
        <w:rPr>
          <w:rFonts w:ascii="微软雅黑" w:eastAsia="微软雅黑" w:hAnsi="微软雅黑" w:cs="微软雅黑" w:hint="eastAsia"/>
          <w:lang w:eastAsia="zh-CN"/>
        </w:rPr>
        <w:t>。</w:t>
      </w:r>
    </w:p>
    <w:p w14:paraId="6720D744" w14:textId="77777777" w:rsidR="002B3A18" w:rsidRDefault="002B3A18" w:rsidP="002B3A18">
      <w:pPr>
        <w:rPr>
          <w:lang w:eastAsia="zh-CN"/>
        </w:rPr>
      </w:pPr>
      <w:r>
        <w:rPr>
          <w:rFonts w:ascii="微软雅黑" w:eastAsia="微软雅黑" w:hAnsi="微软雅黑" w:cs="微软雅黑" w:hint="eastAsia"/>
          <w:lang w:eastAsia="zh-CN"/>
        </w:rPr>
        <w:t>美糖主力价格关注上方压力</w:t>
      </w:r>
      <w:r>
        <w:rPr>
          <w:lang w:eastAsia="zh-CN"/>
        </w:rPr>
        <w:t>18</w:t>
      </w:r>
      <w:r>
        <w:rPr>
          <w:rFonts w:hint="eastAsia"/>
          <w:lang w:eastAsia="zh-CN"/>
        </w:rPr>
        <w:t>.0</w:t>
      </w:r>
      <w:r>
        <w:rPr>
          <w:rFonts w:ascii="微软雅黑" w:eastAsia="微软雅黑" w:hAnsi="微软雅黑" w:cs="微软雅黑" w:hint="eastAsia"/>
          <w:lang w:eastAsia="zh-CN"/>
        </w:rPr>
        <w:t>美分</w:t>
      </w:r>
      <w:r>
        <w:rPr>
          <w:rFonts w:hint="eastAsia"/>
          <w:lang w:eastAsia="zh-CN"/>
        </w:rPr>
        <w:t>/</w:t>
      </w:r>
      <w:r>
        <w:rPr>
          <w:rFonts w:ascii="微软雅黑" w:eastAsia="微软雅黑" w:hAnsi="微软雅黑" w:cs="微软雅黑" w:hint="eastAsia"/>
          <w:lang w:eastAsia="zh-CN"/>
        </w:rPr>
        <w:t>磅，下方支撑</w:t>
      </w:r>
      <w:r>
        <w:rPr>
          <w:rFonts w:hint="eastAsia"/>
          <w:lang w:eastAsia="zh-CN"/>
        </w:rPr>
        <w:t>1</w:t>
      </w:r>
      <w:r>
        <w:rPr>
          <w:lang w:eastAsia="zh-CN"/>
        </w:rPr>
        <w:t>5</w:t>
      </w:r>
      <w:r>
        <w:rPr>
          <w:rFonts w:ascii="微软雅黑" w:eastAsia="微软雅黑" w:hAnsi="微软雅黑" w:cs="微软雅黑" w:hint="eastAsia"/>
          <w:lang w:eastAsia="zh-CN"/>
        </w:rPr>
        <w:t>美分</w:t>
      </w:r>
      <w:r>
        <w:rPr>
          <w:rFonts w:hint="eastAsia"/>
          <w:lang w:eastAsia="zh-CN"/>
        </w:rPr>
        <w:t>/</w:t>
      </w:r>
      <w:r>
        <w:rPr>
          <w:rFonts w:ascii="微软雅黑" w:eastAsia="微软雅黑" w:hAnsi="微软雅黑" w:cs="微软雅黑" w:hint="eastAsia"/>
          <w:lang w:eastAsia="zh-CN"/>
        </w:rPr>
        <w:t>磅。建议</w:t>
      </w:r>
      <w:r>
        <w:rPr>
          <w:rFonts w:hint="eastAsia"/>
          <w:lang w:eastAsia="zh-CN"/>
        </w:rPr>
        <w:t>10</w:t>
      </w:r>
      <w:r>
        <w:rPr>
          <w:rFonts w:ascii="微软雅黑" w:eastAsia="微软雅黑" w:hAnsi="微软雅黑" w:cs="微软雅黑" w:hint="eastAsia"/>
          <w:lang w:eastAsia="zh-CN"/>
        </w:rPr>
        <w:t>月</w:t>
      </w:r>
      <w:r>
        <w:rPr>
          <w:rFonts w:hint="eastAsia"/>
          <w:lang w:eastAsia="zh-CN"/>
        </w:rPr>
        <w:t xml:space="preserve"> ICE </w:t>
      </w:r>
      <w:r>
        <w:rPr>
          <w:rFonts w:ascii="微软雅黑" w:eastAsia="微软雅黑" w:hAnsi="微软雅黑" w:cs="微软雅黑" w:hint="eastAsia"/>
          <w:lang w:eastAsia="zh-CN"/>
        </w:rPr>
        <w:t>期糖偏空交易。</w:t>
      </w:r>
    </w:p>
    <w:p w14:paraId="71EF4C5A" w14:textId="567459D8" w:rsidR="002B3A18" w:rsidRDefault="002B3A18" w:rsidP="002B3A18">
      <w:pPr>
        <w:rPr>
          <w:lang w:eastAsia="zh-CN"/>
        </w:rPr>
      </w:pPr>
      <w:r>
        <w:rPr>
          <w:rFonts w:hint="eastAsia"/>
          <w:lang w:eastAsia="zh-CN"/>
        </w:rPr>
        <w:t>ICE</w:t>
      </w:r>
      <w:r>
        <w:rPr>
          <w:rFonts w:ascii="微软雅黑" w:eastAsia="微软雅黑" w:hAnsi="微软雅黑" w:cs="微软雅黑" w:hint="eastAsia"/>
          <w:lang w:eastAsia="zh-CN"/>
        </w:rPr>
        <w:t>美糖主力合约价格走势图及支撑位和阻力位。</w:t>
      </w:r>
    </w:p>
    <w:p w14:paraId="2031B9D4" w14:textId="19003B50" w:rsidR="00C24CC6" w:rsidRPr="00CF1235" w:rsidRDefault="00C1433E" w:rsidP="00A544AB">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352DD02D" w:rsidR="007A477E" w:rsidRDefault="002B3A18" w:rsidP="007A477E">
      <w:pPr>
        <w:spacing w:before="103" w:line="256" w:lineRule="auto"/>
        <w:ind w:right="210"/>
        <w:jc w:val="center"/>
        <w:rPr>
          <w:rFonts w:ascii="微软雅黑" w:eastAsia="微软雅黑" w:hAnsi="微软雅黑" w:cs="微软雅黑"/>
          <w:spacing w:val="7"/>
          <w:lang w:eastAsia="zh-CN"/>
        </w:rPr>
      </w:pPr>
      <w:r>
        <w:rPr>
          <w:noProof/>
          <w:lang w:eastAsia="zh-CN"/>
        </w:rPr>
        <w:lastRenderedPageBreak/>
        <w:drawing>
          <wp:inline distT="0" distB="0" distL="0" distR="0" wp14:anchorId="39982F4E" wp14:editId="30481A6F">
            <wp:extent cx="5259705" cy="1707515"/>
            <wp:effectExtent l="0" t="0" r="0" b="0"/>
            <wp:docPr id="78834514" name="图片 24" descr="图表,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34514" name="图片 24" descr="图表, 直方图&#10;&#10;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9705" cy="170751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7CD20B96" w14:textId="77777777" w:rsidR="002B3A18" w:rsidRDefault="002B3A18" w:rsidP="002B3A18">
      <w:pPr>
        <w:rPr>
          <w:rFonts w:eastAsia="宋体"/>
          <w:lang w:eastAsia="zh-CN"/>
        </w:rPr>
      </w:pPr>
      <w:bookmarkStart w:id="5" w:name="OLE_LINK2"/>
      <w:r>
        <w:rPr>
          <w:rFonts w:ascii="微软雅黑" w:eastAsia="微软雅黑" w:hAnsi="微软雅黑" w:cs="微软雅黑" w:hint="eastAsia"/>
          <w:lang w:eastAsia="zh-CN"/>
        </w:rPr>
        <w:t>洲际交易所</w:t>
      </w:r>
      <w:r>
        <w:rPr>
          <w:rFonts w:hint="eastAsia"/>
          <w:lang w:eastAsia="zh-CN"/>
        </w:rPr>
        <w:t>(ICE)</w:t>
      </w:r>
      <w:r>
        <w:rPr>
          <w:rFonts w:ascii="微软雅黑" w:eastAsia="微软雅黑" w:hAnsi="微软雅黑" w:cs="微软雅黑" w:hint="eastAsia"/>
          <w:lang w:eastAsia="zh-CN"/>
        </w:rPr>
        <w:t>棉花期货周一上涨，因美国关键产区天气炎热。</w:t>
      </w:r>
      <w:r>
        <w:rPr>
          <w:rFonts w:hint="eastAsia"/>
          <w:lang w:eastAsia="zh-CN"/>
        </w:rPr>
        <w:t>ICE</w:t>
      </w:r>
      <w:r>
        <w:rPr>
          <w:rFonts w:ascii="微软雅黑" w:eastAsia="微软雅黑" w:hAnsi="微软雅黑" w:cs="微软雅黑" w:hint="eastAsia"/>
          <w:lang w:eastAsia="zh-CN"/>
        </w:rPr>
        <w:t>交投最活跃</w:t>
      </w:r>
      <w:r>
        <w:rPr>
          <w:rFonts w:hint="eastAsia"/>
          <w:lang w:eastAsia="zh-CN"/>
        </w:rPr>
        <w:t>12</w:t>
      </w:r>
      <w:r>
        <w:rPr>
          <w:rFonts w:ascii="微软雅黑" w:eastAsia="微软雅黑" w:hAnsi="微软雅黑" w:cs="微软雅黑" w:hint="eastAsia"/>
          <w:lang w:eastAsia="zh-CN"/>
        </w:rPr>
        <w:t>月棉花期货合约上涨</w:t>
      </w:r>
      <w:r>
        <w:rPr>
          <w:rFonts w:hint="eastAsia"/>
          <w:lang w:eastAsia="zh-CN"/>
        </w:rPr>
        <w:t>0.71</w:t>
      </w:r>
      <w:r>
        <w:rPr>
          <w:rFonts w:ascii="微软雅黑" w:eastAsia="微软雅黑" w:hAnsi="微软雅黑" w:cs="微软雅黑" w:hint="eastAsia"/>
          <w:lang w:eastAsia="zh-CN"/>
        </w:rPr>
        <w:t>美分或</w:t>
      </w:r>
      <w:r>
        <w:rPr>
          <w:rFonts w:hint="eastAsia"/>
          <w:lang w:eastAsia="zh-CN"/>
        </w:rPr>
        <w:t>1.06%</w:t>
      </w:r>
      <w:r>
        <w:rPr>
          <w:rFonts w:ascii="微软雅黑" w:eastAsia="微软雅黑" w:hAnsi="微软雅黑" w:cs="微软雅黑" w:hint="eastAsia"/>
          <w:lang w:eastAsia="zh-CN"/>
        </w:rPr>
        <w:t>，结算价报每磅</w:t>
      </w:r>
      <w:r>
        <w:rPr>
          <w:rFonts w:hint="eastAsia"/>
          <w:lang w:eastAsia="zh-CN"/>
        </w:rPr>
        <w:t>67.41</w:t>
      </w:r>
      <w:r>
        <w:rPr>
          <w:rFonts w:ascii="微软雅黑" w:eastAsia="微软雅黑" w:hAnsi="微软雅黑" w:cs="微软雅黑" w:hint="eastAsia"/>
          <w:lang w:eastAsia="zh-CN"/>
        </w:rPr>
        <w:t>美分。</w:t>
      </w:r>
    </w:p>
    <w:bookmarkEnd w:id="5"/>
    <w:p w14:paraId="211366D1" w14:textId="77777777" w:rsidR="002B3A18" w:rsidRDefault="002B3A18" w:rsidP="002B3A18">
      <w:pPr>
        <w:rPr>
          <w:lang w:eastAsia="zh-CN"/>
        </w:rPr>
      </w:pPr>
      <w:r>
        <w:rPr>
          <w:rFonts w:ascii="微软雅黑" w:eastAsia="微软雅黑" w:hAnsi="微软雅黑" w:cs="微软雅黑" w:hint="eastAsia"/>
          <w:lang w:eastAsia="zh-CN"/>
        </w:rPr>
        <w:t>美国农业部生长报告显示，截至</w:t>
      </w:r>
      <w:r>
        <w:rPr>
          <w:rFonts w:hint="eastAsia"/>
          <w:lang w:eastAsia="zh-CN"/>
        </w:rPr>
        <w:t>2025</w:t>
      </w:r>
      <w:r>
        <w:rPr>
          <w:rFonts w:ascii="微软雅黑" w:eastAsia="微软雅黑" w:hAnsi="微软雅黑" w:cs="微软雅黑" w:hint="eastAsia"/>
          <w:lang w:eastAsia="zh-CN"/>
        </w:rPr>
        <w:t>年</w:t>
      </w:r>
      <w:r>
        <w:rPr>
          <w:rFonts w:hint="eastAsia"/>
          <w:lang w:eastAsia="zh-CN"/>
        </w:rPr>
        <w:t>6</w:t>
      </w:r>
      <w:r>
        <w:rPr>
          <w:rFonts w:ascii="微软雅黑" w:eastAsia="微软雅黑" w:hAnsi="微软雅黑" w:cs="微软雅黑" w:hint="eastAsia"/>
          <w:lang w:eastAsia="zh-CN"/>
        </w:rPr>
        <w:t>月</w:t>
      </w:r>
      <w:r>
        <w:rPr>
          <w:rFonts w:hint="eastAsia"/>
          <w:lang w:eastAsia="zh-CN"/>
        </w:rPr>
        <w:t>22</w:t>
      </w:r>
      <w:r>
        <w:rPr>
          <w:rFonts w:ascii="微软雅黑" w:eastAsia="微软雅黑" w:hAnsi="微软雅黑" w:cs="微软雅黑" w:hint="eastAsia"/>
          <w:lang w:eastAsia="zh-CN"/>
        </w:rPr>
        <w:t>日当周，美国优良率为</w:t>
      </w:r>
      <w:r>
        <w:rPr>
          <w:rFonts w:hint="eastAsia"/>
          <w:lang w:eastAsia="zh-CN"/>
        </w:rPr>
        <w:t>47%</w:t>
      </w:r>
      <w:r>
        <w:rPr>
          <w:rFonts w:ascii="微软雅黑" w:eastAsia="微软雅黑" w:hAnsi="微软雅黑" w:cs="微软雅黑" w:hint="eastAsia"/>
          <w:lang w:eastAsia="zh-CN"/>
        </w:rPr>
        <w:t>，前一周为</w:t>
      </w:r>
      <w:r>
        <w:rPr>
          <w:rFonts w:hint="eastAsia"/>
          <w:lang w:eastAsia="zh-CN"/>
        </w:rPr>
        <w:t>48%</w:t>
      </w:r>
      <w:r>
        <w:rPr>
          <w:rFonts w:ascii="微软雅黑" w:eastAsia="微软雅黑" w:hAnsi="微软雅黑" w:cs="微软雅黑" w:hint="eastAsia"/>
          <w:lang w:eastAsia="zh-CN"/>
        </w:rPr>
        <w:t>，三年同期为</w:t>
      </w:r>
      <w:r>
        <w:rPr>
          <w:rFonts w:hint="eastAsia"/>
          <w:lang w:eastAsia="zh-CN"/>
        </w:rPr>
        <w:t>56%</w:t>
      </w:r>
      <w:r>
        <w:rPr>
          <w:rFonts w:ascii="微软雅黑" w:eastAsia="微软雅黑" w:hAnsi="微软雅黑" w:cs="微软雅黑" w:hint="eastAsia"/>
          <w:lang w:eastAsia="zh-CN"/>
        </w:rPr>
        <w:t>。棉花优良率下降，且未来几天产区迎来高温天气，不利于作物生长。建议</w:t>
      </w:r>
      <w:r>
        <w:rPr>
          <w:rFonts w:hint="eastAsia"/>
          <w:lang w:eastAsia="zh-CN"/>
        </w:rPr>
        <w:t xml:space="preserve"> ICE12</w:t>
      </w:r>
      <w:r>
        <w:rPr>
          <w:rFonts w:ascii="微软雅黑" w:eastAsia="微软雅黑" w:hAnsi="微软雅黑" w:cs="微软雅黑" w:hint="eastAsia"/>
          <w:lang w:eastAsia="zh-CN"/>
        </w:rPr>
        <w:t>月</w:t>
      </w:r>
      <w:r>
        <w:rPr>
          <w:rFonts w:hint="eastAsia"/>
          <w:lang w:eastAsia="zh-CN"/>
        </w:rPr>
        <w:t xml:space="preserve"> </w:t>
      </w:r>
      <w:r>
        <w:rPr>
          <w:rFonts w:ascii="微软雅黑" w:eastAsia="微软雅黑" w:hAnsi="微软雅黑" w:cs="微软雅黑" w:hint="eastAsia"/>
          <w:lang w:eastAsia="zh-CN"/>
        </w:rPr>
        <w:t>期棉短期暂时观望。</w:t>
      </w:r>
    </w:p>
    <w:p w14:paraId="005C1401" w14:textId="757B7071" w:rsidR="002B3A18" w:rsidRDefault="002B3A18" w:rsidP="002B3A18">
      <w:pPr>
        <w:rPr>
          <w:lang w:eastAsia="zh-CN"/>
        </w:rPr>
      </w:pPr>
      <w:r>
        <w:rPr>
          <w:rFonts w:hint="eastAsia"/>
          <w:lang w:eastAsia="zh-CN"/>
        </w:rPr>
        <w:t>ICE</w:t>
      </w:r>
      <w:r>
        <w:rPr>
          <w:rFonts w:ascii="微软雅黑" w:eastAsia="微软雅黑" w:hAnsi="微软雅黑" w:cs="微软雅黑" w:hint="eastAsia"/>
          <w:lang w:eastAsia="zh-CN"/>
        </w:rPr>
        <w:t>美棉主力合约价格走势图及支撑位和阻力位。</w:t>
      </w:r>
    </w:p>
    <w:p w14:paraId="156469DB" w14:textId="7FD3D652" w:rsidR="00CB4C57" w:rsidRDefault="00CB4C57" w:rsidP="002B3A18">
      <w:pPr>
        <w:spacing w:before="103"/>
        <w:ind w:right="210" w:firstLine="468"/>
        <w:jc w:val="both"/>
        <w:rPr>
          <w:rFonts w:ascii="微软雅黑" w:eastAsia="微软雅黑" w:hAnsi="微软雅黑" w:cs="微软雅黑"/>
          <w:noProof/>
          <w:spacing w:val="7"/>
          <w:lang w:eastAsia="zh-CN"/>
        </w:rPr>
      </w:pPr>
    </w:p>
    <w:p w14:paraId="7D3DBD43" w14:textId="6454699C" w:rsidR="00C24CC6" w:rsidRPr="00C24CC6" w:rsidRDefault="00C1433E" w:rsidP="00CB4C57">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5D633C9C" w:rsidR="00C24CC6" w:rsidRDefault="002B3A18"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431920A9" wp14:editId="063EBF93">
            <wp:extent cx="5267960" cy="1699260"/>
            <wp:effectExtent l="0" t="0" r="0" b="0"/>
            <wp:docPr id="427751504" name="图片 25" descr="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751504" name="图片 25" descr="直方图&#10;&#10;描述已自动生成"/>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960" cy="169926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8C790" w14:textId="77777777" w:rsidR="00F25371" w:rsidRDefault="00F25371">
      <w:pPr>
        <w:ind w:right="210" w:firstLine="420"/>
      </w:pPr>
      <w:r>
        <w:separator/>
      </w:r>
    </w:p>
  </w:endnote>
  <w:endnote w:type="continuationSeparator" w:id="0">
    <w:p w14:paraId="3CDEB432" w14:textId="77777777" w:rsidR="00F25371" w:rsidRDefault="00F25371">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新宋体">
    <w:altName w:val="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4549EE1C"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97AAE">
                            <w:rPr>
                              <w:noProof/>
                              <w:sz w:val="28"/>
                              <w:szCs w:val="28"/>
                            </w:rPr>
                            <w:t>6</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4549EE1C"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97AAE">
                      <w:rPr>
                        <w:noProof/>
                        <w:sz w:val="28"/>
                        <w:szCs w:val="28"/>
                      </w:rPr>
                      <w:t>6</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F7B79" w14:textId="77777777" w:rsidR="00F25371" w:rsidRDefault="00F25371">
      <w:pPr>
        <w:ind w:right="210" w:firstLine="420"/>
      </w:pPr>
      <w:r>
        <w:separator/>
      </w:r>
    </w:p>
  </w:footnote>
  <w:footnote w:type="continuationSeparator" w:id="0">
    <w:p w14:paraId="43D7EEF2" w14:textId="77777777" w:rsidR="00F25371" w:rsidRDefault="00F25371">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759172140"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3A18"/>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3A44"/>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30C2"/>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97AAE"/>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0CB8"/>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5371"/>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915337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3981697">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487A28-9939-41C7-B129-625881232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773</Words>
  <Characters>4411</Characters>
  <Application>Microsoft Office Word</Application>
  <DocSecurity>0</DocSecurity>
  <Lines>36</Lines>
  <Paragraphs>10</Paragraphs>
  <ScaleCrop>false</ScaleCrop>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cp:revision>
  <cp:lastPrinted>2024-07-26T02:41:00Z</cp:lastPrinted>
  <dcterms:created xsi:type="dcterms:W3CDTF">2025-06-24T00:48:00Z</dcterms:created>
  <dcterms:modified xsi:type="dcterms:W3CDTF">2025-06-24T01:28:00Z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