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994228">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49221A2B"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A70404">
        <w:t>8</w:t>
      </w:r>
      <w:r>
        <w:rPr>
          <w:rFonts w:hint="eastAsia"/>
        </w:rPr>
        <w:t>月</w:t>
      </w:r>
      <w:r w:rsidR="00941B7A">
        <w:t>15</w:t>
      </w:r>
      <w:r>
        <w:rPr>
          <w:rFonts w:hint="eastAsia"/>
        </w:rPr>
        <w:t>日）</w:t>
      </w:r>
      <w:r>
        <w:t>美元兑人民币中间价</w:t>
      </w:r>
      <w:r>
        <w:rPr>
          <w:rFonts w:ascii="宋体" w:hAnsi="宋体" w:cs="宋体"/>
        </w:rPr>
        <w:t>报</w:t>
      </w:r>
      <w:r w:rsidRPr="00076C89">
        <w:rPr>
          <w:rFonts w:ascii="宋体" w:hAnsi="宋体" w:cs="宋体"/>
        </w:rPr>
        <w:t>7.</w:t>
      </w:r>
      <w:r w:rsidR="00994228">
        <w:rPr>
          <w:rFonts w:ascii="宋体" w:hAnsi="宋体" w:cs="宋体"/>
        </w:rPr>
        <w:t>1371</w:t>
      </w:r>
      <w:r>
        <w:rPr>
          <w:rFonts w:ascii="宋体" w:hAnsi="宋体" w:cs="宋体"/>
        </w:rPr>
        <w:t>，</w:t>
      </w:r>
      <w:r w:rsidR="00A70BD1">
        <w:rPr>
          <w:rFonts w:ascii="宋体" w:hAnsi="宋体" w:cs="宋体" w:hint="eastAsia"/>
        </w:rPr>
        <w:t>调</w:t>
      </w:r>
      <w:r w:rsidR="00994228">
        <w:rPr>
          <w:rFonts w:ascii="宋体" w:hAnsi="宋体" w:cs="宋体" w:hint="eastAsia"/>
        </w:rPr>
        <w:t>升3</w:t>
      </w:r>
      <w:r w:rsidR="00994228">
        <w:rPr>
          <w:rFonts w:ascii="宋体" w:hAnsi="宋体" w:cs="宋体"/>
        </w:rPr>
        <w:t>4</w:t>
      </w:r>
      <w:r>
        <w:rPr>
          <w:rFonts w:ascii="宋体" w:hAnsi="宋体" w:cs="宋体" w:hint="eastAsia"/>
        </w:rPr>
        <w:t>基点，上周累计调</w:t>
      </w:r>
      <w:r w:rsidR="00F36CBD">
        <w:rPr>
          <w:rFonts w:ascii="宋体" w:hAnsi="宋体" w:cs="宋体" w:hint="eastAsia"/>
        </w:rPr>
        <w:t>降</w:t>
      </w:r>
      <w:r w:rsidR="00994228">
        <w:rPr>
          <w:rFonts w:ascii="宋体" w:hAnsi="宋体" w:cs="宋体" w:hint="eastAsia"/>
        </w:rPr>
        <w:t>1</w:t>
      </w:r>
      <w:r w:rsidR="00994228">
        <w:rPr>
          <w:rFonts w:ascii="宋体" w:hAnsi="宋体" w:cs="宋体"/>
        </w:rPr>
        <w:t>1</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A10A17">
        <w:rPr>
          <w:rFonts w:ascii="宋体" w:hAnsi="宋体" w:cs="宋体"/>
        </w:rPr>
        <w:t>9</w:t>
      </w:r>
      <w:r>
        <w:rPr>
          <w:rFonts w:ascii="宋体" w:hAnsi="宋体" w:cs="宋体" w:hint="eastAsia"/>
        </w:rPr>
        <w:t>收</w:t>
      </w:r>
      <w:r w:rsidR="00994228">
        <w:rPr>
          <w:rFonts w:ascii="宋体" w:hAnsi="宋体" w:cs="宋体" w:hint="eastAsia"/>
        </w:rPr>
        <w:t>涨0</w:t>
      </w:r>
      <w:r w:rsidR="00994228">
        <w:rPr>
          <w:rFonts w:ascii="宋体" w:hAnsi="宋体" w:cs="宋体"/>
        </w:rPr>
        <w:t>.01</w:t>
      </w:r>
      <w:r>
        <w:rPr>
          <w:rFonts w:ascii="宋体" w:hAnsi="宋体" w:cs="宋体" w:hint="eastAsia"/>
        </w:rPr>
        <w:t>%。新交所美元兑离岸人民币期货主力合约</w:t>
      </w:r>
      <w:r>
        <w:rPr>
          <w:rFonts w:ascii="宋体" w:hAnsi="宋体" w:cs="宋体"/>
        </w:rPr>
        <w:t>UC</w:t>
      </w:r>
      <w:r w:rsidR="00A37796">
        <w:rPr>
          <w:rFonts w:ascii="宋体" w:hAnsi="宋体" w:cs="宋体"/>
        </w:rPr>
        <w:t>U</w:t>
      </w:r>
      <w:r>
        <w:rPr>
          <w:rFonts w:ascii="宋体" w:hAnsi="宋体" w:cs="宋体"/>
        </w:rPr>
        <w:t>2</w:t>
      </w:r>
      <w:r>
        <w:rPr>
          <w:rFonts w:ascii="宋体" w:hAnsi="宋体" w:cs="宋体" w:hint="eastAsia"/>
        </w:rPr>
        <w:t>5收</w:t>
      </w:r>
      <w:r w:rsidR="00994228">
        <w:rPr>
          <w:rFonts w:ascii="宋体" w:hAnsi="宋体" w:cs="宋体" w:hint="eastAsia"/>
        </w:rPr>
        <w:t>涨0</w:t>
      </w:r>
      <w:r w:rsidR="00994228">
        <w:rPr>
          <w:rFonts w:ascii="宋体" w:hAnsi="宋体" w:cs="宋体"/>
        </w:rPr>
        <w:t>.02</w:t>
      </w:r>
      <w:r w:rsidR="007844B4">
        <w:rPr>
          <w:rFonts w:ascii="宋体" w:hAnsi="宋体" w:cs="宋体"/>
        </w:rPr>
        <w:t>%</w:t>
      </w:r>
      <w:r>
        <w:rPr>
          <w:rFonts w:ascii="宋体" w:hAnsi="宋体" w:cs="宋体" w:hint="eastAsia"/>
        </w:rPr>
        <w:t>。</w:t>
      </w:r>
    </w:p>
    <w:p w14:paraId="2A8620FC" w14:textId="3F6988F4"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787BFA">
        <w:t>182</w:t>
      </w:r>
      <w:r w:rsidR="00994228">
        <w:t>3</w:t>
      </w:r>
      <w:r>
        <w:t>，</w:t>
      </w:r>
      <w:r>
        <w:rPr>
          <w:rFonts w:hint="eastAsia"/>
        </w:rPr>
        <w:t>美元兑离岸人民币收报</w:t>
      </w:r>
      <w:r>
        <w:rPr>
          <w:rFonts w:hint="eastAsia"/>
        </w:rPr>
        <w:t>7</w:t>
      </w:r>
      <w:r>
        <w:t>.</w:t>
      </w:r>
      <w:r w:rsidR="001938CF">
        <w:t>1</w:t>
      </w:r>
      <w:r w:rsidR="00787BFA">
        <w:t>89</w:t>
      </w:r>
      <w:r w:rsidR="00994228">
        <w:t>1</w:t>
      </w:r>
      <w:r>
        <w:rPr>
          <w:rFonts w:hint="eastAsia"/>
        </w:rPr>
        <w:t>，在当周</w:t>
      </w:r>
      <w:r>
        <w:t>分别</w:t>
      </w:r>
      <w:r w:rsidR="00787BFA">
        <w:rPr>
          <w:rFonts w:hint="eastAsia"/>
        </w:rPr>
        <w:t>下</w:t>
      </w:r>
      <w:r w:rsidR="00F76960">
        <w:rPr>
          <w:rFonts w:hint="eastAsia"/>
        </w:rPr>
        <w:t>调</w:t>
      </w:r>
      <w:r w:rsidR="00994228">
        <w:t>3</w:t>
      </w:r>
      <w:r>
        <w:t>和</w:t>
      </w:r>
      <w:r w:rsidR="00994228">
        <w:rPr>
          <w:rFonts w:hint="eastAsia"/>
        </w:rPr>
        <w:t>上</w:t>
      </w:r>
      <w:r w:rsidR="003576ED">
        <w:rPr>
          <w:rFonts w:hint="eastAsia"/>
        </w:rPr>
        <w:t>调</w:t>
      </w:r>
      <w:r w:rsidR="00994228">
        <w:rPr>
          <w:rFonts w:hint="eastAsia"/>
        </w:rPr>
        <w:t>1</w:t>
      </w:r>
      <w:r>
        <w:rPr>
          <w:rFonts w:hint="eastAsia"/>
        </w:rPr>
        <w:t>个基点</w:t>
      </w:r>
      <w:r>
        <w:t>。欧元兑人民币报</w:t>
      </w:r>
      <w:r w:rsidR="00F64EF4">
        <w:t>8</w:t>
      </w:r>
      <w:r w:rsidR="003576ED">
        <w:t>.</w:t>
      </w:r>
      <w:r w:rsidR="00787BFA">
        <w:t>3</w:t>
      </w:r>
      <w:r w:rsidR="00994228">
        <w:t>876</w:t>
      </w:r>
      <w:r>
        <w:t>、英镑兑人民币报</w:t>
      </w:r>
      <w:r w:rsidR="00C66DB1">
        <w:t>9</w:t>
      </w:r>
      <w:r w:rsidR="001F0839">
        <w:t>.</w:t>
      </w:r>
      <w:r w:rsidR="00994228">
        <w:t>7371</w:t>
      </w:r>
      <w:r w:rsidR="00787BFA">
        <w:rPr>
          <w:rFonts w:hint="eastAsia"/>
        </w:rPr>
        <w:t>、</w:t>
      </w:r>
      <w:r w:rsidR="000959E1">
        <w:rPr>
          <w:rFonts w:hint="eastAsia"/>
        </w:rPr>
        <w:t>日元</w:t>
      </w:r>
      <w:r>
        <w:t>兑</w:t>
      </w:r>
      <w:r w:rsidR="000959E1">
        <w:rPr>
          <w:rFonts w:hint="eastAsia"/>
        </w:rPr>
        <w:t>人民币</w:t>
      </w:r>
      <w:r>
        <w:t>报</w:t>
      </w:r>
      <w:r w:rsidR="001938CF">
        <w:t>4</w:t>
      </w:r>
      <w:r w:rsidR="00787BFA">
        <w:t>.8</w:t>
      </w:r>
      <w:r w:rsidR="00994228">
        <w:t>835</w:t>
      </w:r>
      <w:r w:rsidR="000959E1">
        <w:rPr>
          <w:rFonts w:hint="eastAsia"/>
        </w:rPr>
        <w:t>、</w:t>
      </w:r>
      <w:r>
        <w:t>澳元兑人民币报</w:t>
      </w:r>
      <w:r>
        <w:t>4</w:t>
      </w:r>
      <w:r w:rsidR="006B50D4">
        <w:t>.</w:t>
      </w:r>
      <w:r w:rsidR="00CD65B1">
        <w:t>6</w:t>
      </w:r>
      <w:r w:rsidR="00994228">
        <w:t>722</w:t>
      </w:r>
      <w:r>
        <w:rPr>
          <w:rFonts w:hint="eastAsia"/>
        </w:rPr>
        <w:t>，在当</w:t>
      </w:r>
      <w:r>
        <w:t>周分别</w:t>
      </w:r>
      <w:r w:rsidR="00787BFA">
        <w:rPr>
          <w:rFonts w:hint="eastAsia"/>
        </w:rPr>
        <w:t>升</w:t>
      </w:r>
      <w:r w:rsidR="00994228">
        <w:t>263</w:t>
      </w:r>
      <w:r>
        <w:t>、</w:t>
      </w:r>
      <w:r w:rsidR="00787BFA">
        <w:rPr>
          <w:rFonts w:hint="eastAsia"/>
        </w:rPr>
        <w:t>升</w:t>
      </w:r>
      <w:r w:rsidR="00994228">
        <w:t>781</w:t>
      </w:r>
      <w:r>
        <w:rPr>
          <w:rFonts w:hint="eastAsia"/>
        </w:rPr>
        <w:t>、</w:t>
      </w:r>
      <w:r w:rsidR="00787BFA">
        <w:rPr>
          <w:rFonts w:hint="eastAsia"/>
        </w:rPr>
        <w:t>升</w:t>
      </w:r>
      <w:r w:rsidR="00994228">
        <w:t>176</w:t>
      </w:r>
      <w:r>
        <w:t>和</w:t>
      </w:r>
      <w:r w:rsidR="00994228">
        <w:rPr>
          <w:rFonts w:hint="eastAsia"/>
        </w:rPr>
        <w:t>降</w:t>
      </w:r>
      <w:r w:rsidR="00994228">
        <w:rPr>
          <w:rFonts w:hint="eastAsia"/>
        </w:rPr>
        <w:t>1</w:t>
      </w:r>
      <w:r w:rsidR="00994228">
        <w:t>86</w:t>
      </w:r>
      <w:r>
        <w:rPr>
          <w:rFonts w:hint="eastAsia"/>
        </w:rPr>
        <w:t>个基点</w:t>
      </w:r>
      <w:r>
        <w:t>。</w:t>
      </w:r>
    </w:p>
    <w:p w14:paraId="76AC2601" w14:textId="3204BA38" w:rsidR="00CA7296" w:rsidRDefault="00046EC5" w:rsidP="00CA7296">
      <w:pPr>
        <w:spacing w:line="312" w:lineRule="auto"/>
        <w:ind w:firstLine="420"/>
      </w:pPr>
      <w:r>
        <w:rPr>
          <w:rFonts w:hint="eastAsia"/>
        </w:rPr>
        <w:t>上周</w:t>
      </w:r>
      <w:r w:rsidR="00763B4A" w:rsidRPr="00763B4A">
        <w:rPr>
          <w:rFonts w:hint="eastAsia"/>
        </w:rPr>
        <w:t>央行公开市场累计进行了</w:t>
      </w:r>
      <w:r w:rsidR="00537CF9" w:rsidRPr="00537CF9">
        <w:rPr>
          <w:rFonts w:hint="eastAsia"/>
        </w:rPr>
        <w:t>7118</w:t>
      </w:r>
      <w:r w:rsidR="00537CF9" w:rsidRPr="00537CF9">
        <w:rPr>
          <w:rFonts w:hint="eastAsia"/>
        </w:rPr>
        <w:t>亿元逆回购操作，</w:t>
      </w:r>
      <w:r w:rsidR="00537CF9">
        <w:rPr>
          <w:rFonts w:hint="eastAsia"/>
        </w:rPr>
        <w:t>当</w:t>
      </w:r>
      <w:r w:rsidR="00537CF9" w:rsidRPr="00537CF9">
        <w:rPr>
          <w:rFonts w:hint="eastAsia"/>
        </w:rPr>
        <w:t>周央行公开市场有</w:t>
      </w:r>
      <w:r w:rsidR="00537CF9" w:rsidRPr="00537CF9">
        <w:rPr>
          <w:rFonts w:hint="eastAsia"/>
        </w:rPr>
        <w:t>11267</w:t>
      </w:r>
      <w:r w:rsidR="00537CF9" w:rsidRPr="00537CF9">
        <w:rPr>
          <w:rFonts w:hint="eastAsia"/>
        </w:rPr>
        <w:t>亿元逆回购到期，因此净回笼</w:t>
      </w:r>
      <w:r w:rsidR="00537CF9" w:rsidRPr="00537CF9">
        <w:rPr>
          <w:rFonts w:hint="eastAsia"/>
        </w:rPr>
        <w:t>4149</w:t>
      </w:r>
      <w:r w:rsidR="00537CF9" w:rsidRPr="00537CF9">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20C14DAE"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994228" w:rsidRPr="00994228">
        <w:rPr>
          <w:rFonts w:ascii="宋体" w:hAnsi="宋体" w:hint="eastAsia"/>
        </w:rPr>
        <w:t>央行发布第二季度货币政策执行报告提出，下一阶段要落实落细适度宽松的货币政策，把握好政策实施的力度和节奏，保持流动性充裕。把促进物价合理回升作为把握货币政策的重要考量，推动物价保持在合理水平。发挥好货币政策工具总量和结构双重功能，用好结构性货币政策工具，加力支持科技创新、提振消费、小微企业、稳定外贸等。</w:t>
      </w:r>
    </w:p>
    <w:p w14:paraId="3316BE34" w14:textId="108FA6E3" w:rsidR="00785749" w:rsidRPr="0011314B" w:rsidRDefault="00CA7296" w:rsidP="0011314B">
      <w:pPr>
        <w:spacing w:line="312" w:lineRule="auto"/>
        <w:ind w:firstLine="420"/>
        <w:rPr>
          <w:rFonts w:ascii="宋体" w:hAnsi="宋体"/>
        </w:rPr>
      </w:pPr>
      <w:r w:rsidRPr="0086476E">
        <w:rPr>
          <w:rFonts w:ascii="宋体" w:hAnsi="宋体" w:hint="eastAsia"/>
        </w:rPr>
        <w:t>2、</w:t>
      </w:r>
      <w:r w:rsidR="00994228" w:rsidRPr="00994228">
        <w:rPr>
          <w:rFonts w:ascii="宋体" w:hAnsi="宋体" w:hint="eastAsia"/>
        </w:rPr>
        <w:t>国务院总理李强强调，要进一步提升宏观政策实施效能，及时回应市场关切，稳定市场预期。持续激发消费潜力，系统清理消费领域限制性措施，加快培育壮大服务消费、新型消费等新增长点。加力扩大有效投资，发挥重大工程引领带动作用，适应需求变化更多“投资于人”、服务于民生，积极促进民间投资。采取有力措施巩固房地产市场止跌回稳态势。</w:t>
      </w:r>
    </w:p>
    <w:p w14:paraId="63094CBE" w14:textId="710AF8D7" w:rsidR="00BC01B8" w:rsidRPr="00AC09FC" w:rsidRDefault="00BC01B8" w:rsidP="0086476E">
      <w:pPr>
        <w:spacing w:line="312" w:lineRule="auto"/>
        <w:ind w:firstLine="420"/>
        <w:rPr>
          <w:rFonts w:ascii="宋体" w:hAnsi="宋体"/>
        </w:rPr>
      </w:pPr>
      <w:r w:rsidRPr="00CA1C69">
        <w:rPr>
          <w:rFonts w:ascii="宋体" w:hAnsi="宋体"/>
        </w:rPr>
        <w:t>3</w:t>
      </w:r>
      <w:r w:rsidRPr="00CA1C69">
        <w:rPr>
          <w:rFonts w:ascii="宋体" w:hAnsi="宋体" w:hint="eastAsia"/>
        </w:rPr>
        <w:t>、</w:t>
      </w:r>
      <w:r w:rsidR="00994228" w:rsidRPr="00994228">
        <w:rPr>
          <w:rFonts w:ascii="宋体" w:hAnsi="宋体" w:hint="eastAsia"/>
        </w:rPr>
        <w:t>美国特朗普政府宣布扩大对钢铁和铝进口征收50%关税的范围，将数百种衍生产品纳入加征关税清单。美国工业与安全局已将407个产品编码加入《美国协调关税表》，这些产品将因所含钢铁和铝成分而被加征额外关税。扩大的关税清单将于8月18日正式生效。</w:t>
      </w:r>
    </w:p>
    <w:p w14:paraId="630B9579" w14:textId="50D664DC" w:rsidR="00BC01B8" w:rsidRPr="00A867D6" w:rsidRDefault="00BC01B8" w:rsidP="001F0839">
      <w:pPr>
        <w:spacing w:line="312" w:lineRule="auto"/>
        <w:ind w:firstLine="420"/>
        <w:rPr>
          <w:rFonts w:ascii="宋体" w:hAnsi="宋体"/>
        </w:rPr>
      </w:pPr>
      <w:r w:rsidRPr="0086476E">
        <w:rPr>
          <w:rFonts w:ascii="宋体" w:hAnsi="宋体" w:hint="eastAsia"/>
        </w:rPr>
        <w:t>4、</w:t>
      </w:r>
      <w:bookmarkStart w:id="0" w:name="_GoBack"/>
      <w:r w:rsidR="00194A13" w:rsidRPr="00194A13">
        <w:rPr>
          <w:rFonts w:ascii="宋体" w:hAnsi="宋体" w:hint="eastAsia"/>
        </w:rPr>
        <w:t>美国财长贝森特发出了美国政府迄今为止最明确的降息呼吁，要求美联储立即启动新一轮降息周期，并表示美国利率应当比当前水平低150到175个基点。他认为，美联储可</w:t>
      </w:r>
      <w:r w:rsidR="00194A13" w:rsidRPr="00194A13">
        <w:rPr>
          <w:rFonts w:ascii="宋体" w:hAnsi="宋体" w:hint="eastAsia"/>
        </w:rPr>
        <w:lastRenderedPageBreak/>
        <w:t>能会更早开始降息，9月降息50个基点的可能性很大。对于美联储主席人选，贝森特表示目前有10或11位候选人供特朗普考虑。</w:t>
      </w:r>
      <w:bookmarkEnd w:id="0"/>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70283387" w:rsidR="00CA7296" w:rsidRDefault="00994228"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514DC4A4" wp14:editId="5E2D573C">
            <wp:extent cx="3362325" cy="1920324"/>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83911" cy="1932653"/>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7F9410D9" w:rsidR="00CA7296" w:rsidRDefault="00994228" w:rsidP="00CA7296">
      <w:pPr>
        <w:spacing w:line="360" w:lineRule="auto"/>
        <w:jc w:val="center"/>
        <w:rPr>
          <w:rFonts w:ascii="宋体" w:hAnsi="宋体"/>
          <w:sz w:val="18"/>
          <w:szCs w:val="18"/>
        </w:rPr>
      </w:pPr>
      <w:r>
        <w:rPr>
          <w:noProof/>
        </w:rPr>
        <w:drawing>
          <wp:inline distT="0" distB="0" distL="0" distR="0" wp14:anchorId="6E574107" wp14:editId="5AFD246A">
            <wp:extent cx="5274310" cy="2990215"/>
            <wp:effectExtent l="0" t="0" r="254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990215"/>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2F168A21" w:rsidR="00CA7296" w:rsidRDefault="00994228" w:rsidP="00CA7296">
      <w:pPr>
        <w:spacing w:line="360" w:lineRule="auto"/>
        <w:jc w:val="center"/>
        <w:rPr>
          <w:rFonts w:ascii="宋体" w:hAnsi="宋体"/>
          <w:sz w:val="18"/>
          <w:szCs w:val="18"/>
        </w:rPr>
      </w:pPr>
      <w:r>
        <w:rPr>
          <w:noProof/>
        </w:rPr>
        <w:drawing>
          <wp:inline distT="0" distB="0" distL="0" distR="0" wp14:anchorId="0EBDDAE0" wp14:editId="40FDED7D">
            <wp:extent cx="3760906" cy="21240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71978" cy="2130328"/>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3176F1CB" w:rsidR="00CA7296" w:rsidRDefault="00994228" w:rsidP="00CA7296">
      <w:pPr>
        <w:jc w:val="center"/>
      </w:pPr>
      <w:r>
        <w:rPr>
          <w:noProof/>
        </w:rPr>
        <w:drawing>
          <wp:inline distT="0" distB="0" distL="0" distR="0" wp14:anchorId="3B26B969" wp14:editId="0465E92E">
            <wp:extent cx="5274310" cy="2981960"/>
            <wp:effectExtent l="0" t="0" r="25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981960"/>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1965549D" w:rsidR="00CA7296" w:rsidRDefault="00994228" w:rsidP="00CA7296">
      <w:pPr>
        <w:jc w:val="center"/>
      </w:pPr>
      <w:r>
        <w:rPr>
          <w:noProof/>
        </w:rPr>
        <w:drawing>
          <wp:inline distT="0" distB="0" distL="0" distR="0" wp14:anchorId="5F6BCF12" wp14:editId="409754B2">
            <wp:extent cx="3571875" cy="2105126"/>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8678" cy="2109135"/>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lastRenderedPageBreak/>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08991166">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8B3AA48" w14:textId="15FEFFF7" w:rsidR="00351614" w:rsidRPr="00194A13" w:rsidRDefault="00F2284B" w:rsidP="00351614">
      <w:pPr>
        <w:spacing w:line="312" w:lineRule="auto"/>
        <w:ind w:firstLine="420"/>
        <w:rPr>
          <w:rFonts w:ascii="宋体" w:hAnsi="宋体"/>
        </w:rPr>
      </w:pPr>
      <w:r>
        <w:rPr>
          <w:rFonts w:ascii="宋体" w:hAnsi="宋体" w:cs="宋体" w:hint="eastAsia"/>
          <w:kern w:val="0"/>
        </w:rPr>
        <w:t>最新数据显示，</w:t>
      </w:r>
      <w:r w:rsidR="00194A13" w:rsidRPr="00477042">
        <w:rPr>
          <w:rFonts w:ascii="宋体" w:hAnsi="宋体" w:cs="宋体" w:hint="eastAsia"/>
        </w:rPr>
        <w:t>美国</w:t>
      </w:r>
      <w:r w:rsidR="00194A13" w:rsidRPr="00477042">
        <w:rPr>
          <w:rFonts w:ascii="宋体" w:hAnsi="宋体" w:cs="宋体"/>
        </w:rPr>
        <w:t>7月CPI同比持平于2.7%，低于预期的2.8%</w:t>
      </w:r>
      <w:r w:rsidR="00194A13">
        <w:rPr>
          <w:rFonts w:ascii="宋体" w:hAnsi="宋体" w:cs="宋体" w:hint="eastAsia"/>
        </w:rPr>
        <w:t>；</w:t>
      </w:r>
      <w:r w:rsidR="00194A13" w:rsidRPr="00477042">
        <w:rPr>
          <w:rFonts w:ascii="宋体" w:hAnsi="宋体" w:cs="宋体"/>
        </w:rPr>
        <w:t>核心CPI同比上涨3.1%，高于预期的3%，创2月份以来新高。通胀依然低迷，这给了政策制定者应对劳动力市场初现疲软迹象的回旋余地</w:t>
      </w:r>
      <w:r w:rsidR="00194A13" w:rsidRPr="00477042">
        <w:rPr>
          <w:rFonts w:ascii="宋体" w:hAnsi="宋体" w:cs="宋体" w:hint="eastAsia"/>
        </w:rPr>
        <w:t>。</w:t>
      </w:r>
      <w:r w:rsidR="00194A13" w:rsidRPr="00477042">
        <w:rPr>
          <w:rFonts w:ascii="宋体" w:hAnsi="宋体" w:cs="宋体"/>
        </w:rPr>
        <w:t>数据公布后，市场预计美联储在9月会议上降息的概率</w:t>
      </w:r>
      <w:r w:rsidR="00194A13">
        <w:rPr>
          <w:rFonts w:ascii="宋体" w:hAnsi="宋体" w:cs="宋体" w:hint="eastAsia"/>
        </w:rPr>
        <w:t>进一步上涨</w:t>
      </w:r>
      <w:r w:rsidR="00194A13" w:rsidRPr="00477042">
        <w:rPr>
          <w:rFonts w:ascii="宋体" w:hAnsi="宋体" w:cs="宋体"/>
        </w:rPr>
        <w:t>。</w:t>
      </w:r>
      <w:r w:rsidR="00194A13">
        <w:rPr>
          <w:rFonts w:ascii="宋体" w:hAnsi="宋体" w:cs="宋体" w:hint="eastAsia"/>
        </w:rPr>
        <w:t>据C</w:t>
      </w:r>
      <w:r w:rsidR="00194A13">
        <w:rPr>
          <w:rFonts w:ascii="宋体" w:hAnsi="宋体" w:cs="宋体"/>
        </w:rPr>
        <w:t>ME F</w:t>
      </w:r>
      <w:r w:rsidR="00194A13">
        <w:rPr>
          <w:rFonts w:ascii="宋体" w:hAnsi="宋体" w:cs="宋体" w:hint="eastAsia"/>
        </w:rPr>
        <w:t>edwatch工具显示，</w:t>
      </w:r>
      <w:r w:rsidR="00194A13" w:rsidRPr="00A073D0">
        <w:rPr>
          <w:rFonts w:ascii="宋体" w:hAnsi="宋体" w:cs="宋体" w:hint="eastAsia"/>
        </w:rPr>
        <w:t>市场对美联储</w:t>
      </w:r>
      <w:r w:rsidR="00194A13" w:rsidRPr="00A073D0">
        <w:rPr>
          <w:rFonts w:ascii="宋体" w:hAnsi="宋体" w:cs="宋体"/>
        </w:rPr>
        <w:t>9月份降息至少25个基点的预期为9</w:t>
      </w:r>
      <w:r w:rsidR="00194A13">
        <w:rPr>
          <w:rFonts w:ascii="宋体" w:hAnsi="宋体" w:cs="宋体"/>
        </w:rPr>
        <w:t>3.4</w:t>
      </w:r>
      <w:r w:rsidR="00194A13" w:rsidRPr="00A073D0">
        <w:rPr>
          <w:rFonts w:ascii="宋体" w:hAnsi="宋体" w:cs="宋体"/>
        </w:rPr>
        <w:t>%</w:t>
      </w:r>
      <w:r w:rsidR="00194A13">
        <w:rPr>
          <w:rFonts w:ascii="宋体" w:hAnsi="宋体" w:cs="宋体" w:hint="eastAsia"/>
        </w:rPr>
        <w:t>。此外，</w:t>
      </w:r>
      <w:r w:rsidR="00194A13" w:rsidRPr="00994228">
        <w:rPr>
          <w:rFonts w:ascii="宋体" w:hAnsi="宋体" w:hint="eastAsia"/>
        </w:rPr>
        <w:t>美国特朗普政府宣布扩大对钢铁和铝进口征收50%</w:t>
      </w:r>
      <w:r w:rsidR="00194A13">
        <w:rPr>
          <w:rFonts w:ascii="宋体" w:hAnsi="宋体" w:hint="eastAsia"/>
        </w:rPr>
        <w:t>关税的范围，将数百种衍生产品纳入加征关税清单，再度引发市场对贸易战的担忧</w:t>
      </w:r>
      <w:r w:rsidR="00194A13" w:rsidRPr="00194A13">
        <w:rPr>
          <w:rFonts w:ascii="宋体" w:hAnsi="宋体"/>
        </w:rPr>
        <w:t>。</w:t>
      </w:r>
    </w:p>
    <w:p w14:paraId="455C826C" w14:textId="74CA29DE" w:rsidR="00BF7D0E" w:rsidRDefault="00A867D6" w:rsidP="00194A13">
      <w:pPr>
        <w:spacing w:line="312" w:lineRule="auto"/>
        <w:ind w:firstLine="420"/>
        <w:rPr>
          <w:rFonts w:ascii="宋体" w:hAnsi="宋体" w:cs="宋体"/>
        </w:rPr>
      </w:pPr>
      <w:r w:rsidRPr="00194A13">
        <w:rPr>
          <w:rFonts w:ascii="宋体" w:hAnsi="宋体"/>
        </w:rPr>
        <w:t>国内端，我国</w:t>
      </w:r>
      <w:r w:rsidR="00194A13" w:rsidRPr="00194A13">
        <w:rPr>
          <w:rFonts w:ascii="宋体" w:hAnsi="宋体" w:hint="eastAsia"/>
        </w:rPr>
        <w:t>《二季度货币政策执行报告》再度强调，</w:t>
      </w:r>
      <w:r w:rsidR="00194A13">
        <w:rPr>
          <w:rFonts w:ascii="宋体" w:hAnsi="宋体" w:hint="eastAsia"/>
        </w:rPr>
        <w:t>要</w:t>
      </w:r>
      <w:r w:rsidR="00194A13" w:rsidRPr="00194A13">
        <w:rPr>
          <w:rFonts w:ascii="宋体" w:hAnsi="宋体" w:hint="eastAsia"/>
        </w:rPr>
        <w:t>保持汇率基本稳定。坚持市场在汇率形成中起决定性作用，发挥好汇率对宏观经济、国际收支的调节功能，综合施策，促进预期平稳，在复杂形势下保持人民币汇率基本稳定。</w:t>
      </w:r>
      <w:r>
        <w:rPr>
          <w:rFonts w:ascii="宋体" w:hAnsi="宋体" w:cs="宋体" w:hint="eastAsia"/>
        </w:rPr>
        <w:t>此外，</w:t>
      </w:r>
      <w:r w:rsidRPr="00F07D01">
        <w:rPr>
          <w:rFonts w:ascii="宋体" w:hAnsi="宋体" w:cs="宋体" w:hint="eastAsia"/>
        </w:rPr>
        <w:t>国家外汇局部署下半年外汇管理重点工作，其中提到，加强外汇形势监测分析，强化跨境资金流动宏观审慎管理和预期引导，适时开展逆周期调节，维护外汇市场稳定和国家经济金融安全。</w:t>
      </w:r>
      <w:r w:rsidR="00655606">
        <w:rPr>
          <w:rFonts w:ascii="宋体" w:hAnsi="宋体" w:cs="宋体" w:hint="eastAsia"/>
        </w:rPr>
        <w:t>7月我国出口同比在中美双方延长关税休战期的带动下改善显著，</w:t>
      </w:r>
      <w:r w:rsidR="00194A13" w:rsidRPr="004679FE">
        <w:rPr>
          <w:rFonts w:ascii="宋体" w:hAnsi="宋体" w:hint="eastAsia"/>
        </w:rPr>
        <w:t>出口交货值同比增长</w:t>
      </w:r>
      <w:r w:rsidR="00194A13" w:rsidRPr="004679FE">
        <w:rPr>
          <w:rFonts w:ascii="宋体" w:hAnsi="宋体"/>
        </w:rPr>
        <w:t>6.7%,增速比6月加快1.5个百分点</w:t>
      </w:r>
      <w:r w:rsidR="00194A13">
        <w:rPr>
          <w:rFonts w:ascii="宋体" w:hAnsi="宋体" w:hint="eastAsia"/>
        </w:rPr>
        <w:t>，</w:t>
      </w:r>
      <w:r w:rsidR="00194A13">
        <w:rPr>
          <w:rFonts w:ascii="宋体" w:hAnsi="宋体"/>
        </w:rPr>
        <w:t>创年内新高</w:t>
      </w:r>
      <w:r w:rsidR="00B45667">
        <w:rPr>
          <w:rFonts w:ascii="宋体" w:hAnsi="宋体" w:cs="宋体" w:hint="eastAsia"/>
        </w:rPr>
        <w:t>。</w:t>
      </w:r>
      <w:r>
        <w:rPr>
          <w:rFonts w:ascii="宋体" w:hAnsi="宋体" w:cs="宋体"/>
        </w:rPr>
        <w:t>在此背景下，</w:t>
      </w:r>
      <w:r w:rsidR="00B45667">
        <w:rPr>
          <w:rFonts w:ascii="宋体" w:hAnsi="宋体" w:cs="宋体" w:hint="eastAsia"/>
        </w:rPr>
        <w:t>我国</w:t>
      </w:r>
      <w:r>
        <w:rPr>
          <w:rFonts w:ascii="宋体" w:hAnsi="宋体" w:cs="宋体"/>
        </w:rPr>
        <w:t>经济复苏向好趋势不改，</w:t>
      </w:r>
      <w:r w:rsidRPr="001F0839">
        <w:rPr>
          <w:rFonts w:ascii="宋体" w:hAnsi="宋体" w:cs="宋体" w:hint="eastAsia"/>
        </w:rPr>
        <w:t>人民币汇率</w:t>
      </w:r>
      <w:r>
        <w:rPr>
          <w:rFonts w:ascii="宋体" w:hAnsi="宋体" w:cs="宋体" w:hint="eastAsia"/>
        </w:rPr>
        <w:t>总体平稳。但同时需要看到，</w:t>
      </w:r>
      <w:r w:rsidR="00194A13" w:rsidRPr="00194A13">
        <w:rPr>
          <w:rFonts w:ascii="宋体" w:hAnsi="宋体" w:cs="宋体" w:hint="eastAsia"/>
        </w:rPr>
        <w:t>虽关税战有所缓解</w:t>
      </w:r>
      <w:r w:rsidR="00194A13">
        <w:rPr>
          <w:rFonts w:ascii="宋体" w:hAnsi="宋体" w:cs="宋体" w:hint="eastAsia"/>
        </w:rPr>
        <w:t>，但</w:t>
      </w:r>
      <w:r>
        <w:rPr>
          <w:rFonts w:ascii="宋体" w:hAnsi="宋体" w:cs="宋体" w:hint="eastAsia"/>
        </w:rPr>
        <w:t>7月我国新出口订单指数跌幅走阔，海外需求端仍</w:t>
      </w:r>
      <w:r w:rsidR="00194A13">
        <w:rPr>
          <w:rFonts w:ascii="宋体" w:hAnsi="宋体" w:cs="宋体" w:hint="eastAsia"/>
        </w:rPr>
        <w:t>处于疲软态势，并且随着特朗普态度反复不断，不确定性大，需持续观望</w:t>
      </w:r>
      <w:r w:rsidR="001F0839" w:rsidRPr="001F0839">
        <w:rPr>
          <w:rFonts w:ascii="宋体" w:hAnsi="宋体" w:cs="宋体" w:hint="eastAsia"/>
        </w:rPr>
        <w:t>。</w:t>
      </w:r>
      <w:r w:rsidR="00BF7D0E">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B05AC" w14:textId="77777777" w:rsidR="00BC2F10" w:rsidRDefault="00BC2F10" w:rsidP="00127060">
      <w:r>
        <w:separator/>
      </w:r>
    </w:p>
  </w:endnote>
  <w:endnote w:type="continuationSeparator" w:id="0">
    <w:p w14:paraId="200CCA5C" w14:textId="77777777" w:rsidR="00BC2F10" w:rsidRDefault="00BC2F10"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2F08B" w14:textId="77777777" w:rsidR="00BC2F10" w:rsidRDefault="00BC2F10" w:rsidP="00127060">
      <w:r>
        <w:separator/>
      </w:r>
    </w:p>
  </w:footnote>
  <w:footnote w:type="continuationSeparator" w:id="0">
    <w:p w14:paraId="2014ADCC" w14:textId="77777777" w:rsidR="00BC2F10" w:rsidRDefault="00BC2F10"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27E"/>
    <w:rsid w:val="00011E90"/>
    <w:rsid w:val="00015ABA"/>
    <w:rsid w:val="00015CEB"/>
    <w:rsid w:val="00016329"/>
    <w:rsid w:val="00017E90"/>
    <w:rsid w:val="000218EC"/>
    <w:rsid w:val="0002357D"/>
    <w:rsid w:val="00027E72"/>
    <w:rsid w:val="000301E2"/>
    <w:rsid w:val="000328C5"/>
    <w:rsid w:val="00032F98"/>
    <w:rsid w:val="000447DD"/>
    <w:rsid w:val="00046EC5"/>
    <w:rsid w:val="0005052B"/>
    <w:rsid w:val="00052952"/>
    <w:rsid w:val="000540B3"/>
    <w:rsid w:val="00054D2E"/>
    <w:rsid w:val="00055C18"/>
    <w:rsid w:val="0005615C"/>
    <w:rsid w:val="00056C00"/>
    <w:rsid w:val="00061E07"/>
    <w:rsid w:val="000649D8"/>
    <w:rsid w:val="000658CB"/>
    <w:rsid w:val="00066060"/>
    <w:rsid w:val="00072AF7"/>
    <w:rsid w:val="0007552B"/>
    <w:rsid w:val="000902C1"/>
    <w:rsid w:val="00094A69"/>
    <w:rsid w:val="000959E1"/>
    <w:rsid w:val="00096C6B"/>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100296"/>
    <w:rsid w:val="0011314B"/>
    <w:rsid w:val="00113D9E"/>
    <w:rsid w:val="00115730"/>
    <w:rsid w:val="0012070F"/>
    <w:rsid w:val="00125BEA"/>
    <w:rsid w:val="00127060"/>
    <w:rsid w:val="001470E8"/>
    <w:rsid w:val="00150521"/>
    <w:rsid w:val="00153427"/>
    <w:rsid w:val="001564E1"/>
    <w:rsid w:val="0015671A"/>
    <w:rsid w:val="001573DE"/>
    <w:rsid w:val="00182FB2"/>
    <w:rsid w:val="001869F4"/>
    <w:rsid w:val="001938CF"/>
    <w:rsid w:val="00194A13"/>
    <w:rsid w:val="00195C4D"/>
    <w:rsid w:val="00197E1F"/>
    <w:rsid w:val="00197E3E"/>
    <w:rsid w:val="001A59DE"/>
    <w:rsid w:val="001B6505"/>
    <w:rsid w:val="001C598E"/>
    <w:rsid w:val="001C7A4C"/>
    <w:rsid w:val="001D5BF6"/>
    <w:rsid w:val="001F0839"/>
    <w:rsid w:val="001F0B8B"/>
    <w:rsid w:val="001F4E90"/>
    <w:rsid w:val="001F6D4B"/>
    <w:rsid w:val="0020319F"/>
    <w:rsid w:val="002041D1"/>
    <w:rsid w:val="0020501F"/>
    <w:rsid w:val="0020541A"/>
    <w:rsid w:val="00215D99"/>
    <w:rsid w:val="0021694A"/>
    <w:rsid w:val="00216CC4"/>
    <w:rsid w:val="00220075"/>
    <w:rsid w:val="00220B10"/>
    <w:rsid w:val="00220C9B"/>
    <w:rsid w:val="00223E72"/>
    <w:rsid w:val="00227DE4"/>
    <w:rsid w:val="002348D9"/>
    <w:rsid w:val="002348FA"/>
    <w:rsid w:val="00242AD4"/>
    <w:rsid w:val="00244509"/>
    <w:rsid w:val="00247EFC"/>
    <w:rsid w:val="00257436"/>
    <w:rsid w:val="0026035D"/>
    <w:rsid w:val="002617AF"/>
    <w:rsid w:val="00263BE6"/>
    <w:rsid w:val="00266134"/>
    <w:rsid w:val="0027103D"/>
    <w:rsid w:val="00273827"/>
    <w:rsid w:val="00276F3C"/>
    <w:rsid w:val="002779DB"/>
    <w:rsid w:val="0028510B"/>
    <w:rsid w:val="0028572C"/>
    <w:rsid w:val="00290F42"/>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1AA"/>
    <w:rsid w:val="00304D86"/>
    <w:rsid w:val="00304DF8"/>
    <w:rsid w:val="003066A3"/>
    <w:rsid w:val="003070DC"/>
    <w:rsid w:val="00310347"/>
    <w:rsid w:val="00312B57"/>
    <w:rsid w:val="00326BE8"/>
    <w:rsid w:val="00341353"/>
    <w:rsid w:val="00350819"/>
    <w:rsid w:val="00351614"/>
    <w:rsid w:val="0035301A"/>
    <w:rsid w:val="003576ED"/>
    <w:rsid w:val="00357828"/>
    <w:rsid w:val="00363129"/>
    <w:rsid w:val="0036506F"/>
    <w:rsid w:val="003665FF"/>
    <w:rsid w:val="0036685A"/>
    <w:rsid w:val="00371BC0"/>
    <w:rsid w:val="00377B85"/>
    <w:rsid w:val="00392306"/>
    <w:rsid w:val="003A2616"/>
    <w:rsid w:val="003A7F2C"/>
    <w:rsid w:val="003B49D5"/>
    <w:rsid w:val="003C55CB"/>
    <w:rsid w:val="003D2210"/>
    <w:rsid w:val="003D3AF3"/>
    <w:rsid w:val="003D3DB8"/>
    <w:rsid w:val="003D7A03"/>
    <w:rsid w:val="003E0E92"/>
    <w:rsid w:val="003E1D2F"/>
    <w:rsid w:val="003E2D6E"/>
    <w:rsid w:val="003E5930"/>
    <w:rsid w:val="003F2BF1"/>
    <w:rsid w:val="003F3205"/>
    <w:rsid w:val="004012E4"/>
    <w:rsid w:val="004023AC"/>
    <w:rsid w:val="0040735B"/>
    <w:rsid w:val="00407F4C"/>
    <w:rsid w:val="00413A6A"/>
    <w:rsid w:val="00414D5B"/>
    <w:rsid w:val="00416F99"/>
    <w:rsid w:val="00431962"/>
    <w:rsid w:val="00431FCF"/>
    <w:rsid w:val="00433DAC"/>
    <w:rsid w:val="00434A8A"/>
    <w:rsid w:val="004445D6"/>
    <w:rsid w:val="00447802"/>
    <w:rsid w:val="0045019A"/>
    <w:rsid w:val="004521D8"/>
    <w:rsid w:val="00456C36"/>
    <w:rsid w:val="00456F4B"/>
    <w:rsid w:val="00462568"/>
    <w:rsid w:val="00464902"/>
    <w:rsid w:val="00472C1A"/>
    <w:rsid w:val="00482C6C"/>
    <w:rsid w:val="004855D9"/>
    <w:rsid w:val="004A483B"/>
    <w:rsid w:val="004A5DEA"/>
    <w:rsid w:val="004A618A"/>
    <w:rsid w:val="004B1822"/>
    <w:rsid w:val="004B3117"/>
    <w:rsid w:val="004B4636"/>
    <w:rsid w:val="004B569D"/>
    <w:rsid w:val="004B6B0F"/>
    <w:rsid w:val="004C131F"/>
    <w:rsid w:val="004C243D"/>
    <w:rsid w:val="004D283C"/>
    <w:rsid w:val="004D75A9"/>
    <w:rsid w:val="004E10AA"/>
    <w:rsid w:val="004E22E6"/>
    <w:rsid w:val="004F0C55"/>
    <w:rsid w:val="004F16E7"/>
    <w:rsid w:val="00505DD6"/>
    <w:rsid w:val="00511152"/>
    <w:rsid w:val="0051618C"/>
    <w:rsid w:val="00537CF9"/>
    <w:rsid w:val="0055205C"/>
    <w:rsid w:val="00571EBF"/>
    <w:rsid w:val="00574E1F"/>
    <w:rsid w:val="00583AD9"/>
    <w:rsid w:val="00585144"/>
    <w:rsid w:val="005B0999"/>
    <w:rsid w:val="005D4042"/>
    <w:rsid w:val="005D591B"/>
    <w:rsid w:val="005D6040"/>
    <w:rsid w:val="005E791A"/>
    <w:rsid w:val="005F55A3"/>
    <w:rsid w:val="00600382"/>
    <w:rsid w:val="006206E8"/>
    <w:rsid w:val="00621D14"/>
    <w:rsid w:val="00624E74"/>
    <w:rsid w:val="00626AF8"/>
    <w:rsid w:val="00626F9A"/>
    <w:rsid w:val="00637EE4"/>
    <w:rsid w:val="00646D9C"/>
    <w:rsid w:val="00647B32"/>
    <w:rsid w:val="0065442E"/>
    <w:rsid w:val="00655606"/>
    <w:rsid w:val="00655FE4"/>
    <w:rsid w:val="006603DF"/>
    <w:rsid w:val="0066318A"/>
    <w:rsid w:val="00671429"/>
    <w:rsid w:val="006938C5"/>
    <w:rsid w:val="006A2C2A"/>
    <w:rsid w:val="006A35D1"/>
    <w:rsid w:val="006A3F5D"/>
    <w:rsid w:val="006A584F"/>
    <w:rsid w:val="006B50D4"/>
    <w:rsid w:val="006B685C"/>
    <w:rsid w:val="006C158F"/>
    <w:rsid w:val="006C1898"/>
    <w:rsid w:val="006E2C2D"/>
    <w:rsid w:val="006E5C84"/>
    <w:rsid w:val="006E7ABA"/>
    <w:rsid w:val="00710E4C"/>
    <w:rsid w:val="0071470E"/>
    <w:rsid w:val="00715E21"/>
    <w:rsid w:val="00716E5A"/>
    <w:rsid w:val="0072465D"/>
    <w:rsid w:val="00724724"/>
    <w:rsid w:val="00730110"/>
    <w:rsid w:val="007348A2"/>
    <w:rsid w:val="00746E5A"/>
    <w:rsid w:val="00762458"/>
    <w:rsid w:val="00762BC0"/>
    <w:rsid w:val="00763B4A"/>
    <w:rsid w:val="00772ADA"/>
    <w:rsid w:val="00776BB4"/>
    <w:rsid w:val="00777880"/>
    <w:rsid w:val="00781600"/>
    <w:rsid w:val="007844B4"/>
    <w:rsid w:val="00785749"/>
    <w:rsid w:val="0078583C"/>
    <w:rsid w:val="00786FC0"/>
    <w:rsid w:val="00787BFA"/>
    <w:rsid w:val="00792957"/>
    <w:rsid w:val="00792E03"/>
    <w:rsid w:val="0079373C"/>
    <w:rsid w:val="007A5815"/>
    <w:rsid w:val="007B10D1"/>
    <w:rsid w:val="007B3FE4"/>
    <w:rsid w:val="007B677E"/>
    <w:rsid w:val="007B746D"/>
    <w:rsid w:val="007C0CD5"/>
    <w:rsid w:val="007C4700"/>
    <w:rsid w:val="007C648F"/>
    <w:rsid w:val="007C7C58"/>
    <w:rsid w:val="007D3E5A"/>
    <w:rsid w:val="007D60FF"/>
    <w:rsid w:val="007E4414"/>
    <w:rsid w:val="007F0835"/>
    <w:rsid w:val="007F6420"/>
    <w:rsid w:val="00804540"/>
    <w:rsid w:val="00813A5E"/>
    <w:rsid w:val="0083623C"/>
    <w:rsid w:val="00844DA7"/>
    <w:rsid w:val="00847CAE"/>
    <w:rsid w:val="00852D32"/>
    <w:rsid w:val="00853402"/>
    <w:rsid w:val="00854449"/>
    <w:rsid w:val="008575F1"/>
    <w:rsid w:val="0086476E"/>
    <w:rsid w:val="0087172E"/>
    <w:rsid w:val="00881976"/>
    <w:rsid w:val="00882F85"/>
    <w:rsid w:val="00886C14"/>
    <w:rsid w:val="00887911"/>
    <w:rsid w:val="008A1FB2"/>
    <w:rsid w:val="008A2B9D"/>
    <w:rsid w:val="008A4C3C"/>
    <w:rsid w:val="008B0DD1"/>
    <w:rsid w:val="008B325C"/>
    <w:rsid w:val="008B5B8F"/>
    <w:rsid w:val="008B5D1D"/>
    <w:rsid w:val="008B7950"/>
    <w:rsid w:val="008C13E8"/>
    <w:rsid w:val="008C1403"/>
    <w:rsid w:val="008C1856"/>
    <w:rsid w:val="008C2303"/>
    <w:rsid w:val="008C495E"/>
    <w:rsid w:val="008C55B1"/>
    <w:rsid w:val="008E52D9"/>
    <w:rsid w:val="0090054A"/>
    <w:rsid w:val="009078F0"/>
    <w:rsid w:val="00912158"/>
    <w:rsid w:val="00915D99"/>
    <w:rsid w:val="00916155"/>
    <w:rsid w:val="00916F88"/>
    <w:rsid w:val="00921AD3"/>
    <w:rsid w:val="00922740"/>
    <w:rsid w:val="0093171E"/>
    <w:rsid w:val="00941B7A"/>
    <w:rsid w:val="009425B7"/>
    <w:rsid w:val="00950AA4"/>
    <w:rsid w:val="0095193C"/>
    <w:rsid w:val="009528D9"/>
    <w:rsid w:val="009615A9"/>
    <w:rsid w:val="009624AE"/>
    <w:rsid w:val="00965238"/>
    <w:rsid w:val="0097610B"/>
    <w:rsid w:val="0097639B"/>
    <w:rsid w:val="009821C1"/>
    <w:rsid w:val="00982EB3"/>
    <w:rsid w:val="00984FF0"/>
    <w:rsid w:val="009866FF"/>
    <w:rsid w:val="009927F3"/>
    <w:rsid w:val="0099372E"/>
    <w:rsid w:val="00994228"/>
    <w:rsid w:val="009A27BC"/>
    <w:rsid w:val="009A75FC"/>
    <w:rsid w:val="009B25EF"/>
    <w:rsid w:val="009C0381"/>
    <w:rsid w:val="009C0504"/>
    <w:rsid w:val="009C3D02"/>
    <w:rsid w:val="009C7D4B"/>
    <w:rsid w:val="009D18C0"/>
    <w:rsid w:val="009D1C60"/>
    <w:rsid w:val="009D2952"/>
    <w:rsid w:val="009D30D7"/>
    <w:rsid w:val="009D3BE6"/>
    <w:rsid w:val="009D594C"/>
    <w:rsid w:val="009E58E4"/>
    <w:rsid w:val="009F2447"/>
    <w:rsid w:val="009F3358"/>
    <w:rsid w:val="00A00F94"/>
    <w:rsid w:val="00A10A17"/>
    <w:rsid w:val="00A11272"/>
    <w:rsid w:val="00A12E97"/>
    <w:rsid w:val="00A234E0"/>
    <w:rsid w:val="00A26326"/>
    <w:rsid w:val="00A31FA7"/>
    <w:rsid w:val="00A32364"/>
    <w:rsid w:val="00A33EC9"/>
    <w:rsid w:val="00A3670A"/>
    <w:rsid w:val="00A3724E"/>
    <w:rsid w:val="00A37796"/>
    <w:rsid w:val="00A37AF9"/>
    <w:rsid w:val="00A46DE2"/>
    <w:rsid w:val="00A53530"/>
    <w:rsid w:val="00A568F0"/>
    <w:rsid w:val="00A618F2"/>
    <w:rsid w:val="00A70404"/>
    <w:rsid w:val="00A70BD1"/>
    <w:rsid w:val="00A71812"/>
    <w:rsid w:val="00A74769"/>
    <w:rsid w:val="00A77350"/>
    <w:rsid w:val="00A84ED5"/>
    <w:rsid w:val="00A867D6"/>
    <w:rsid w:val="00A87B55"/>
    <w:rsid w:val="00A959A4"/>
    <w:rsid w:val="00AA73C1"/>
    <w:rsid w:val="00AA7E59"/>
    <w:rsid w:val="00AB2BF2"/>
    <w:rsid w:val="00AB77E4"/>
    <w:rsid w:val="00AB7FCB"/>
    <w:rsid w:val="00AC09FC"/>
    <w:rsid w:val="00AC23F7"/>
    <w:rsid w:val="00AD25D1"/>
    <w:rsid w:val="00AD468C"/>
    <w:rsid w:val="00AE352D"/>
    <w:rsid w:val="00AE4401"/>
    <w:rsid w:val="00AE5D02"/>
    <w:rsid w:val="00AF4AA5"/>
    <w:rsid w:val="00B17CED"/>
    <w:rsid w:val="00B20497"/>
    <w:rsid w:val="00B21983"/>
    <w:rsid w:val="00B25A83"/>
    <w:rsid w:val="00B45667"/>
    <w:rsid w:val="00B6015F"/>
    <w:rsid w:val="00B61147"/>
    <w:rsid w:val="00B62125"/>
    <w:rsid w:val="00B62126"/>
    <w:rsid w:val="00B62713"/>
    <w:rsid w:val="00B64891"/>
    <w:rsid w:val="00B67586"/>
    <w:rsid w:val="00B71877"/>
    <w:rsid w:val="00B73C28"/>
    <w:rsid w:val="00B74234"/>
    <w:rsid w:val="00B770FE"/>
    <w:rsid w:val="00B85DFF"/>
    <w:rsid w:val="00B874B7"/>
    <w:rsid w:val="00B87C9E"/>
    <w:rsid w:val="00B91814"/>
    <w:rsid w:val="00BA0B26"/>
    <w:rsid w:val="00BA7B2C"/>
    <w:rsid w:val="00BA7C59"/>
    <w:rsid w:val="00BB52D1"/>
    <w:rsid w:val="00BB573D"/>
    <w:rsid w:val="00BB7F54"/>
    <w:rsid w:val="00BC01B8"/>
    <w:rsid w:val="00BC2F10"/>
    <w:rsid w:val="00BC610A"/>
    <w:rsid w:val="00BD0804"/>
    <w:rsid w:val="00BD65EE"/>
    <w:rsid w:val="00BD7EBC"/>
    <w:rsid w:val="00BE2780"/>
    <w:rsid w:val="00BE728D"/>
    <w:rsid w:val="00BE7495"/>
    <w:rsid w:val="00BF0672"/>
    <w:rsid w:val="00BF1550"/>
    <w:rsid w:val="00BF4F9A"/>
    <w:rsid w:val="00BF7D0E"/>
    <w:rsid w:val="00C11B0E"/>
    <w:rsid w:val="00C12E3E"/>
    <w:rsid w:val="00C21A4B"/>
    <w:rsid w:val="00C25AC5"/>
    <w:rsid w:val="00C34E83"/>
    <w:rsid w:val="00C37583"/>
    <w:rsid w:val="00C46066"/>
    <w:rsid w:val="00C46144"/>
    <w:rsid w:val="00C47469"/>
    <w:rsid w:val="00C505AE"/>
    <w:rsid w:val="00C624E3"/>
    <w:rsid w:val="00C62AC4"/>
    <w:rsid w:val="00C66DB1"/>
    <w:rsid w:val="00C670BC"/>
    <w:rsid w:val="00C70EDE"/>
    <w:rsid w:val="00C7140E"/>
    <w:rsid w:val="00C71E51"/>
    <w:rsid w:val="00C77777"/>
    <w:rsid w:val="00C85ECA"/>
    <w:rsid w:val="00CA1C69"/>
    <w:rsid w:val="00CA2893"/>
    <w:rsid w:val="00CA393B"/>
    <w:rsid w:val="00CA3BCB"/>
    <w:rsid w:val="00CA7296"/>
    <w:rsid w:val="00CB2110"/>
    <w:rsid w:val="00CB6E2B"/>
    <w:rsid w:val="00CC28AB"/>
    <w:rsid w:val="00CC2C53"/>
    <w:rsid w:val="00CD3D78"/>
    <w:rsid w:val="00CD65B1"/>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276C9"/>
    <w:rsid w:val="00D27DFE"/>
    <w:rsid w:val="00D3039F"/>
    <w:rsid w:val="00D32B08"/>
    <w:rsid w:val="00D37130"/>
    <w:rsid w:val="00D435DB"/>
    <w:rsid w:val="00D43B13"/>
    <w:rsid w:val="00D447B2"/>
    <w:rsid w:val="00D46F69"/>
    <w:rsid w:val="00D5198D"/>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58B5"/>
    <w:rsid w:val="00DB70AE"/>
    <w:rsid w:val="00DD3375"/>
    <w:rsid w:val="00DE5BCE"/>
    <w:rsid w:val="00DF74BC"/>
    <w:rsid w:val="00E07DDD"/>
    <w:rsid w:val="00E1301A"/>
    <w:rsid w:val="00E136F7"/>
    <w:rsid w:val="00E151DA"/>
    <w:rsid w:val="00E23901"/>
    <w:rsid w:val="00E2570F"/>
    <w:rsid w:val="00E31C1C"/>
    <w:rsid w:val="00E342E5"/>
    <w:rsid w:val="00E37F6F"/>
    <w:rsid w:val="00E41E86"/>
    <w:rsid w:val="00E4628F"/>
    <w:rsid w:val="00E53E08"/>
    <w:rsid w:val="00E55191"/>
    <w:rsid w:val="00E600C5"/>
    <w:rsid w:val="00E615E8"/>
    <w:rsid w:val="00E62C39"/>
    <w:rsid w:val="00E70ABA"/>
    <w:rsid w:val="00E7114D"/>
    <w:rsid w:val="00E72351"/>
    <w:rsid w:val="00E72BE2"/>
    <w:rsid w:val="00E75382"/>
    <w:rsid w:val="00E8384B"/>
    <w:rsid w:val="00E83E98"/>
    <w:rsid w:val="00E8480F"/>
    <w:rsid w:val="00EA1A14"/>
    <w:rsid w:val="00EB0DF5"/>
    <w:rsid w:val="00EC0693"/>
    <w:rsid w:val="00EC0D08"/>
    <w:rsid w:val="00EC4A9B"/>
    <w:rsid w:val="00EC5267"/>
    <w:rsid w:val="00EC7330"/>
    <w:rsid w:val="00ED03AD"/>
    <w:rsid w:val="00ED0C59"/>
    <w:rsid w:val="00ED2B5E"/>
    <w:rsid w:val="00ED78EE"/>
    <w:rsid w:val="00EE0ABC"/>
    <w:rsid w:val="00EE0BF0"/>
    <w:rsid w:val="00EE3CE0"/>
    <w:rsid w:val="00EE4951"/>
    <w:rsid w:val="00EE517B"/>
    <w:rsid w:val="00EF044D"/>
    <w:rsid w:val="00EF470E"/>
    <w:rsid w:val="00EF4EA3"/>
    <w:rsid w:val="00EF6715"/>
    <w:rsid w:val="00F0560A"/>
    <w:rsid w:val="00F13C7E"/>
    <w:rsid w:val="00F15BF4"/>
    <w:rsid w:val="00F16626"/>
    <w:rsid w:val="00F2284B"/>
    <w:rsid w:val="00F33261"/>
    <w:rsid w:val="00F33658"/>
    <w:rsid w:val="00F35CCE"/>
    <w:rsid w:val="00F36CBD"/>
    <w:rsid w:val="00F40887"/>
    <w:rsid w:val="00F42487"/>
    <w:rsid w:val="00F443E3"/>
    <w:rsid w:val="00F5017A"/>
    <w:rsid w:val="00F56F48"/>
    <w:rsid w:val="00F64EF4"/>
    <w:rsid w:val="00F65DDC"/>
    <w:rsid w:val="00F7091A"/>
    <w:rsid w:val="00F73349"/>
    <w:rsid w:val="00F75322"/>
    <w:rsid w:val="00F759FA"/>
    <w:rsid w:val="00F75A3D"/>
    <w:rsid w:val="00F76960"/>
    <w:rsid w:val="00F772C1"/>
    <w:rsid w:val="00F810DB"/>
    <w:rsid w:val="00F858FD"/>
    <w:rsid w:val="00F868F7"/>
    <w:rsid w:val="00F94497"/>
    <w:rsid w:val="00F95B17"/>
    <w:rsid w:val="00FA206D"/>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 w:type="paragraph" w:styleId="ad">
    <w:name w:val="Normal (Web)"/>
    <w:basedOn w:val="a"/>
    <w:uiPriority w:val="99"/>
    <w:semiHidden/>
    <w:unhideWhenUsed/>
    <w:rsid w:val="00FA20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 w:id="374626452">
      <w:bodyDiv w:val="1"/>
      <w:marLeft w:val="0"/>
      <w:marRight w:val="0"/>
      <w:marTop w:val="0"/>
      <w:marBottom w:val="0"/>
      <w:divBdr>
        <w:top w:val="none" w:sz="0" w:space="0" w:color="auto"/>
        <w:left w:val="none" w:sz="0" w:space="0" w:color="auto"/>
        <w:bottom w:val="none" w:sz="0" w:space="0" w:color="auto"/>
        <w:right w:val="none" w:sz="0" w:space="0" w:color="auto"/>
      </w:divBdr>
      <w:divsChild>
        <w:div w:id="425460797">
          <w:marLeft w:val="446"/>
          <w:marRight w:val="0"/>
          <w:marTop w:val="0"/>
          <w:marBottom w:val="0"/>
          <w:divBdr>
            <w:top w:val="none" w:sz="0" w:space="0" w:color="auto"/>
            <w:left w:val="none" w:sz="0" w:space="0" w:color="auto"/>
            <w:bottom w:val="none" w:sz="0" w:space="0" w:color="auto"/>
            <w:right w:val="none" w:sz="0" w:space="0" w:color="auto"/>
          </w:divBdr>
        </w:div>
      </w:divsChild>
    </w:div>
    <w:div w:id="140510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45880</c:v>
                </c:pt>
                <c:pt idx="1">
                  <c:v>45881</c:v>
                </c:pt>
                <c:pt idx="2">
                  <c:v>45882</c:v>
                </c:pt>
                <c:pt idx="3">
                  <c:v>45883</c:v>
                </c:pt>
                <c:pt idx="4">
                  <c:v>45884</c:v>
                </c:pt>
                <c:pt idx="5">
                  <c:v>45887</c:v>
                </c:pt>
              </c:numCache>
            </c:numRef>
          </c:cat>
          <c:val>
            <c:numRef>
              <c:f>'图表6 在岸、离岸人民币及价差'!$G$5:$G$10</c:f>
              <c:numCache>
                <c:formatCode>0.0000_ </c:formatCode>
                <c:ptCount val="6"/>
                <c:pt idx="0">
                  <c:v>1.440000000000019E-2</c:v>
                </c:pt>
                <c:pt idx="1">
                  <c:v>-5.4999999999996163E-3</c:v>
                </c:pt>
                <c:pt idx="2">
                  <c:v>5.9999999999993392E-3</c:v>
                </c:pt>
                <c:pt idx="3">
                  <c:v>9.2999999999996419E-3</c:v>
                </c:pt>
                <c:pt idx="4">
                  <c:v>6.8000000000001393E-3</c:v>
                </c:pt>
                <c:pt idx="5">
                  <c:v>8.5000000000006182E-3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45880</c:v>
                </c:pt>
                <c:pt idx="1">
                  <c:v>45881</c:v>
                </c:pt>
                <c:pt idx="2">
                  <c:v>45882</c:v>
                </c:pt>
                <c:pt idx="3">
                  <c:v>45883</c:v>
                </c:pt>
                <c:pt idx="4">
                  <c:v>45884</c:v>
                </c:pt>
                <c:pt idx="5">
                  <c:v>45887</c:v>
                </c:pt>
              </c:numCache>
            </c:numRef>
          </c:cat>
          <c:val>
            <c:numRef>
              <c:f>'图表6 在岸、离岸人民币及价差'!$B$5:$B$10</c:f>
              <c:numCache>
                <c:formatCode>0.0000</c:formatCode>
                <c:ptCount val="6"/>
                <c:pt idx="0">
                  <c:v>7.1818</c:v>
                </c:pt>
                <c:pt idx="1">
                  <c:v>7.1910999999999996</c:v>
                </c:pt>
                <c:pt idx="2">
                  <c:v>7.1755000000000004</c:v>
                </c:pt>
                <c:pt idx="3">
                  <c:v>7.173</c:v>
                </c:pt>
                <c:pt idx="4">
                  <c:v>7.1822999999999997</c:v>
                </c:pt>
                <c:pt idx="5">
                  <c:v>7.1791999999999998</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45880</c:v>
                </c:pt>
                <c:pt idx="1">
                  <c:v>45881</c:v>
                </c:pt>
                <c:pt idx="2">
                  <c:v>45882</c:v>
                </c:pt>
                <c:pt idx="3">
                  <c:v>45883</c:v>
                </c:pt>
                <c:pt idx="4">
                  <c:v>45884</c:v>
                </c:pt>
                <c:pt idx="5">
                  <c:v>45887</c:v>
                </c:pt>
              </c:numCache>
            </c:numRef>
          </c:cat>
          <c:val>
            <c:numRef>
              <c:f>'图表6 在岸、离岸人民币及价差'!$E$5:$E$10</c:f>
              <c:numCache>
                <c:formatCode>0.0000</c:formatCode>
                <c:ptCount val="6"/>
                <c:pt idx="0">
                  <c:v>7.1962000000000002</c:v>
                </c:pt>
                <c:pt idx="1">
                  <c:v>7.1856</c:v>
                </c:pt>
                <c:pt idx="2">
                  <c:v>7.1814999999999998</c:v>
                </c:pt>
                <c:pt idx="3">
                  <c:v>7.1822999999999997</c:v>
                </c:pt>
                <c:pt idx="4">
                  <c:v>7.1890999999999998</c:v>
                </c:pt>
                <c:pt idx="5">
                  <c:v>7.1877000000000004</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36D5-C69E-47C1-86F7-970B0789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6</cp:revision>
  <cp:lastPrinted>2024-12-24T02:37:00Z</cp:lastPrinted>
  <dcterms:created xsi:type="dcterms:W3CDTF">2025-08-12T01:46:00Z</dcterms:created>
  <dcterms:modified xsi:type="dcterms:W3CDTF">2025-08-19T01:35:00Z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