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1847B0">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592501BE"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A70404">
        <w:t>8</w:t>
      </w:r>
      <w:r>
        <w:rPr>
          <w:rFonts w:hint="eastAsia"/>
        </w:rPr>
        <w:t>月</w:t>
      </w:r>
      <w:r w:rsidR="00336209">
        <w:t>22</w:t>
      </w:r>
      <w:r>
        <w:rPr>
          <w:rFonts w:hint="eastAsia"/>
        </w:rPr>
        <w:t>日）</w:t>
      </w:r>
      <w:r>
        <w:t>美元兑人民币中间价</w:t>
      </w:r>
      <w:r>
        <w:rPr>
          <w:rFonts w:ascii="宋体" w:hAnsi="宋体" w:cs="宋体"/>
        </w:rPr>
        <w:t>报</w:t>
      </w:r>
      <w:r w:rsidRPr="00076C89">
        <w:rPr>
          <w:rFonts w:ascii="宋体" w:hAnsi="宋体" w:cs="宋体"/>
        </w:rPr>
        <w:t>7.</w:t>
      </w:r>
      <w:r w:rsidR="00994228">
        <w:rPr>
          <w:rFonts w:ascii="宋体" w:hAnsi="宋体" w:cs="宋体"/>
        </w:rPr>
        <w:t>13</w:t>
      </w:r>
      <w:r w:rsidR="001847B0">
        <w:rPr>
          <w:rFonts w:ascii="宋体" w:hAnsi="宋体" w:cs="宋体"/>
        </w:rPr>
        <w:t>2</w:t>
      </w:r>
      <w:r w:rsidR="00994228">
        <w:rPr>
          <w:rFonts w:ascii="宋体" w:hAnsi="宋体" w:cs="宋体"/>
        </w:rPr>
        <w:t>1</w:t>
      </w:r>
      <w:r>
        <w:rPr>
          <w:rFonts w:ascii="宋体" w:hAnsi="宋体" w:cs="宋体"/>
        </w:rPr>
        <w:t>，</w:t>
      </w:r>
      <w:r w:rsidR="00A70BD1">
        <w:rPr>
          <w:rFonts w:ascii="宋体" w:hAnsi="宋体" w:cs="宋体" w:hint="eastAsia"/>
        </w:rPr>
        <w:t>调</w:t>
      </w:r>
      <w:r w:rsidR="001847B0">
        <w:rPr>
          <w:rFonts w:ascii="宋体" w:hAnsi="宋体" w:cs="宋体" w:hint="eastAsia"/>
        </w:rPr>
        <w:t>升3</w:t>
      </w:r>
      <w:r w:rsidR="001847B0">
        <w:rPr>
          <w:rFonts w:ascii="宋体" w:hAnsi="宋体" w:cs="宋体"/>
        </w:rPr>
        <w:t>4</w:t>
      </w:r>
      <w:r>
        <w:rPr>
          <w:rFonts w:ascii="宋体" w:hAnsi="宋体" w:cs="宋体" w:hint="eastAsia"/>
        </w:rPr>
        <w:t>基点，上周累计调</w:t>
      </w:r>
      <w:r w:rsidR="00F36CBD">
        <w:rPr>
          <w:rFonts w:ascii="宋体" w:hAnsi="宋体" w:cs="宋体" w:hint="eastAsia"/>
        </w:rPr>
        <w:t>降</w:t>
      </w:r>
      <w:r w:rsidR="001847B0">
        <w:rPr>
          <w:rFonts w:ascii="宋体" w:hAnsi="宋体" w:cs="宋体" w:hint="eastAsia"/>
        </w:rPr>
        <w:t>5</w:t>
      </w:r>
      <w:r w:rsidR="001847B0">
        <w:rPr>
          <w:rFonts w:ascii="宋体" w:hAnsi="宋体" w:cs="宋体"/>
        </w:rPr>
        <w:t>0</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A10A17">
        <w:rPr>
          <w:rFonts w:ascii="宋体" w:hAnsi="宋体" w:cs="宋体"/>
        </w:rPr>
        <w:t>9</w:t>
      </w:r>
      <w:r>
        <w:rPr>
          <w:rFonts w:ascii="宋体" w:hAnsi="宋体" w:cs="宋体" w:hint="eastAsia"/>
        </w:rPr>
        <w:t>收</w:t>
      </w:r>
      <w:r w:rsidR="00994228">
        <w:rPr>
          <w:rFonts w:ascii="宋体" w:hAnsi="宋体" w:cs="宋体" w:hint="eastAsia"/>
        </w:rPr>
        <w:t>涨0</w:t>
      </w:r>
      <w:r w:rsidR="00994228">
        <w:rPr>
          <w:rFonts w:ascii="宋体" w:hAnsi="宋体" w:cs="宋体"/>
        </w:rPr>
        <w:t>.0</w:t>
      </w:r>
      <w:r w:rsidR="00C3478E">
        <w:rPr>
          <w:rFonts w:ascii="宋体" w:hAnsi="宋体" w:cs="宋体"/>
        </w:rPr>
        <w:t>5</w:t>
      </w:r>
      <w:r>
        <w:rPr>
          <w:rFonts w:ascii="宋体" w:hAnsi="宋体" w:cs="宋体" w:hint="eastAsia"/>
        </w:rPr>
        <w:t>%。新交所美元兑离岸人民币期货主力合约</w:t>
      </w:r>
      <w:r>
        <w:rPr>
          <w:rFonts w:ascii="宋体" w:hAnsi="宋体" w:cs="宋体"/>
        </w:rPr>
        <w:t>UC</w:t>
      </w:r>
      <w:r w:rsidR="00A37796">
        <w:rPr>
          <w:rFonts w:ascii="宋体" w:hAnsi="宋体" w:cs="宋体"/>
        </w:rPr>
        <w:t>U</w:t>
      </w:r>
      <w:r>
        <w:rPr>
          <w:rFonts w:ascii="宋体" w:hAnsi="宋体" w:cs="宋体"/>
        </w:rPr>
        <w:t>2</w:t>
      </w:r>
      <w:r>
        <w:rPr>
          <w:rFonts w:ascii="宋体" w:hAnsi="宋体" w:cs="宋体" w:hint="eastAsia"/>
        </w:rPr>
        <w:t>5收</w:t>
      </w:r>
      <w:r w:rsidR="00994228">
        <w:rPr>
          <w:rFonts w:ascii="宋体" w:hAnsi="宋体" w:cs="宋体" w:hint="eastAsia"/>
        </w:rPr>
        <w:t>涨0</w:t>
      </w:r>
      <w:r w:rsidR="00994228">
        <w:rPr>
          <w:rFonts w:ascii="宋体" w:hAnsi="宋体" w:cs="宋体"/>
        </w:rPr>
        <w:t>.0</w:t>
      </w:r>
      <w:r w:rsidR="00C3478E">
        <w:rPr>
          <w:rFonts w:ascii="宋体" w:hAnsi="宋体" w:cs="宋体"/>
        </w:rPr>
        <w:t>6</w:t>
      </w:r>
      <w:r w:rsidR="007844B4">
        <w:rPr>
          <w:rFonts w:ascii="宋体" w:hAnsi="宋体" w:cs="宋体"/>
        </w:rPr>
        <w:t>%</w:t>
      </w:r>
      <w:r>
        <w:rPr>
          <w:rFonts w:ascii="宋体" w:hAnsi="宋体" w:cs="宋体" w:hint="eastAsia"/>
        </w:rPr>
        <w:t>。</w:t>
      </w:r>
    </w:p>
    <w:p w14:paraId="2A8620FC" w14:textId="101D0C2C"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787BFA">
        <w:t>18</w:t>
      </w:r>
      <w:r w:rsidR="00A4147F">
        <w:t>05</w:t>
      </w:r>
      <w:r>
        <w:t>，</w:t>
      </w:r>
      <w:r>
        <w:rPr>
          <w:rFonts w:hint="eastAsia"/>
        </w:rPr>
        <w:t>美元兑离岸人民币收报</w:t>
      </w:r>
      <w:r>
        <w:rPr>
          <w:rFonts w:hint="eastAsia"/>
        </w:rPr>
        <w:t>7</w:t>
      </w:r>
      <w:r>
        <w:t>.</w:t>
      </w:r>
      <w:r w:rsidR="001938CF">
        <w:t>1</w:t>
      </w:r>
      <w:r w:rsidR="00A4147F">
        <w:t>712</w:t>
      </w:r>
      <w:r>
        <w:rPr>
          <w:rFonts w:hint="eastAsia"/>
        </w:rPr>
        <w:t>，在当周</w:t>
      </w:r>
      <w:r>
        <w:t>分别</w:t>
      </w:r>
      <w:r w:rsidR="00787BFA">
        <w:rPr>
          <w:rFonts w:hint="eastAsia"/>
        </w:rPr>
        <w:t>下</w:t>
      </w:r>
      <w:r w:rsidR="00F76960">
        <w:rPr>
          <w:rFonts w:hint="eastAsia"/>
        </w:rPr>
        <w:t>调</w:t>
      </w:r>
      <w:r w:rsidR="00A4147F">
        <w:t>18</w:t>
      </w:r>
      <w:r>
        <w:t>和</w:t>
      </w:r>
      <w:r w:rsidR="00A4147F">
        <w:rPr>
          <w:rFonts w:hint="eastAsia"/>
        </w:rPr>
        <w:t>下</w:t>
      </w:r>
      <w:r w:rsidR="003576ED">
        <w:rPr>
          <w:rFonts w:hint="eastAsia"/>
        </w:rPr>
        <w:t>调</w:t>
      </w:r>
      <w:r w:rsidR="00994228">
        <w:rPr>
          <w:rFonts w:hint="eastAsia"/>
        </w:rPr>
        <w:t>1</w:t>
      </w:r>
      <w:r w:rsidR="00A4147F">
        <w:t>79</w:t>
      </w:r>
      <w:r>
        <w:rPr>
          <w:rFonts w:hint="eastAsia"/>
        </w:rPr>
        <w:t>个基点</w:t>
      </w:r>
      <w:r>
        <w:t>。欧元兑人民币报</w:t>
      </w:r>
      <w:r w:rsidR="00F64EF4">
        <w:t>8</w:t>
      </w:r>
      <w:r w:rsidR="003576ED">
        <w:t>.</w:t>
      </w:r>
      <w:r w:rsidR="00787BFA">
        <w:t>3</w:t>
      </w:r>
      <w:r w:rsidR="00A4147F">
        <w:t>942</w:t>
      </w:r>
      <w:r>
        <w:t>、英镑兑人民币报</w:t>
      </w:r>
      <w:r w:rsidR="00C66DB1">
        <w:t>9</w:t>
      </w:r>
      <w:r w:rsidR="001F0839">
        <w:t>.</w:t>
      </w:r>
      <w:r w:rsidR="00A4147F">
        <w:t>6269</w:t>
      </w:r>
      <w:r w:rsidR="00787BFA">
        <w:rPr>
          <w:rFonts w:hint="eastAsia"/>
        </w:rPr>
        <w:t>、</w:t>
      </w:r>
      <w:r w:rsidR="000959E1">
        <w:rPr>
          <w:rFonts w:hint="eastAsia"/>
        </w:rPr>
        <w:t>日元</w:t>
      </w:r>
      <w:r>
        <w:t>兑</w:t>
      </w:r>
      <w:r w:rsidR="000959E1">
        <w:rPr>
          <w:rFonts w:hint="eastAsia"/>
        </w:rPr>
        <w:t>人民币</w:t>
      </w:r>
      <w:r>
        <w:t>报</w:t>
      </w:r>
      <w:r w:rsidR="001938CF">
        <w:t>4</w:t>
      </w:r>
      <w:r w:rsidR="00787BFA">
        <w:t>.8</w:t>
      </w:r>
      <w:r w:rsidR="00994228">
        <w:t>83</w:t>
      </w:r>
      <w:r w:rsidR="00A4147F">
        <w:t>1</w:t>
      </w:r>
      <w:r w:rsidR="000959E1">
        <w:rPr>
          <w:rFonts w:hint="eastAsia"/>
        </w:rPr>
        <w:t>、</w:t>
      </w:r>
      <w:r>
        <w:t>澳元兑人民币报</w:t>
      </w:r>
      <w:r>
        <w:t>4</w:t>
      </w:r>
      <w:r w:rsidR="006B50D4">
        <w:t>.</w:t>
      </w:r>
      <w:r w:rsidR="00CD65B1">
        <w:t>6</w:t>
      </w:r>
      <w:r w:rsidR="00A4147F">
        <w:t>168</w:t>
      </w:r>
      <w:r>
        <w:rPr>
          <w:rFonts w:hint="eastAsia"/>
        </w:rPr>
        <w:t>，在当</w:t>
      </w:r>
      <w:r>
        <w:t>周分别</w:t>
      </w:r>
      <w:r w:rsidR="00787BFA">
        <w:rPr>
          <w:rFonts w:hint="eastAsia"/>
        </w:rPr>
        <w:t>升</w:t>
      </w:r>
      <w:r w:rsidR="00A4147F">
        <w:rPr>
          <w:rFonts w:hint="eastAsia"/>
        </w:rPr>
        <w:t>6</w:t>
      </w:r>
      <w:r w:rsidR="00A4147F">
        <w:t>6</w:t>
      </w:r>
      <w:r>
        <w:t>、</w:t>
      </w:r>
      <w:r w:rsidR="00A4147F">
        <w:rPr>
          <w:rFonts w:hint="eastAsia"/>
        </w:rPr>
        <w:t>降</w:t>
      </w:r>
      <w:r w:rsidR="00A4147F">
        <w:rPr>
          <w:rFonts w:hint="eastAsia"/>
        </w:rPr>
        <w:t>1</w:t>
      </w:r>
      <w:r w:rsidR="00A4147F">
        <w:t>102</w:t>
      </w:r>
      <w:r>
        <w:rPr>
          <w:rFonts w:hint="eastAsia"/>
        </w:rPr>
        <w:t>、</w:t>
      </w:r>
      <w:r w:rsidR="00A4147F">
        <w:rPr>
          <w:rFonts w:hint="eastAsia"/>
        </w:rPr>
        <w:t>降</w:t>
      </w:r>
      <w:r w:rsidR="00A4147F">
        <w:rPr>
          <w:rFonts w:hint="eastAsia"/>
        </w:rPr>
        <w:t>4</w:t>
      </w:r>
      <w:r>
        <w:t>和</w:t>
      </w:r>
      <w:r w:rsidR="00994228">
        <w:rPr>
          <w:rFonts w:hint="eastAsia"/>
        </w:rPr>
        <w:t>降</w:t>
      </w:r>
      <w:r w:rsidR="00A4147F">
        <w:t>554</w:t>
      </w:r>
      <w:r>
        <w:rPr>
          <w:rFonts w:hint="eastAsia"/>
        </w:rPr>
        <w:t>个基点</w:t>
      </w:r>
      <w:r>
        <w:t>。</w:t>
      </w:r>
    </w:p>
    <w:p w14:paraId="76AC2601" w14:textId="489FAE35" w:rsidR="00CA7296" w:rsidRDefault="00046EC5" w:rsidP="00CA7296">
      <w:pPr>
        <w:spacing w:line="312" w:lineRule="auto"/>
        <w:ind w:firstLine="420"/>
      </w:pPr>
      <w:r>
        <w:rPr>
          <w:rFonts w:hint="eastAsia"/>
        </w:rPr>
        <w:t>上周</w:t>
      </w:r>
      <w:r w:rsidR="00763B4A" w:rsidRPr="00763B4A">
        <w:rPr>
          <w:rFonts w:hint="eastAsia"/>
        </w:rPr>
        <w:t>央行公开市场累计进行了</w:t>
      </w:r>
      <w:r w:rsidR="00023083" w:rsidRPr="00023083">
        <w:rPr>
          <w:rFonts w:hint="eastAsia"/>
        </w:rPr>
        <w:t>21970</w:t>
      </w:r>
      <w:r w:rsidR="00023083" w:rsidRPr="00023083">
        <w:rPr>
          <w:rFonts w:hint="eastAsia"/>
        </w:rPr>
        <w:t>亿元逆回购操作，</w:t>
      </w:r>
      <w:r w:rsidR="00023083">
        <w:rPr>
          <w:rFonts w:hint="eastAsia"/>
        </w:rPr>
        <w:t>当</w:t>
      </w:r>
      <w:r w:rsidR="00023083" w:rsidRPr="00023083">
        <w:rPr>
          <w:rFonts w:hint="eastAsia"/>
        </w:rPr>
        <w:t>周央行公开市场有</w:t>
      </w:r>
      <w:r w:rsidR="00023083" w:rsidRPr="00023083">
        <w:rPr>
          <w:rFonts w:hint="eastAsia"/>
        </w:rPr>
        <w:t>9318</w:t>
      </w:r>
      <w:r w:rsidR="00023083" w:rsidRPr="00023083">
        <w:rPr>
          <w:rFonts w:hint="eastAsia"/>
        </w:rPr>
        <w:t>亿元逆回购到期，因此净投放</w:t>
      </w:r>
      <w:r w:rsidR="00023083" w:rsidRPr="00023083">
        <w:rPr>
          <w:rFonts w:hint="eastAsia"/>
        </w:rPr>
        <w:t>12652</w:t>
      </w:r>
      <w:r w:rsidR="00023083" w:rsidRPr="00023083">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0C7A222F"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DB11FD" w:rsidRPr="002C76C2">
        <w:rPr>
          <w:rFonts w:ascii="宋体" w:hAnsi="宋体" w:hint="eastAsia"/>
        </w:rPr>
        <w:t>国务院总理李强强调，要进一步提升宏观政策实施效能，及时回应市场关切，稳定市场预期。持续激发消费潜力，系统清理消费领域限制性措施，加快培育壮大服务消费、新型消费等新增长点。加力扩大有效投资，发挥重大工程引领带动作用，适应需求变化更多“投资于人”、服务于民生，积极促进民间投资。采取有力措施巩固房地产市场止跌回稳态势。</w:t>
      </w:r>
    </w:p>
    <w:p w14:paraId="3316BE34" w14:textId="744FE777" w:rsidR="00785749" w:rsidRPr="0011314B" w:rsidRDefault="00CA7296" w:rsidP="0011314B">
      <w:pPr>
        <w:spacing w:line="312" w:lineRule="auto"/>
        <w:ind w:firstLine="420"/>
        <w:rPr>
          <w:rFonts w:ascii="宋体" w:hAnsi="宋体"/>
        </w:rPr>
      </w:pPr>
      <w:r w:rsidRPr="0086476E">
        <w:rPr>
          <w:rFonts w:ascii="宋体" w:hAnsi="宋体" w:hint="eastAsia"/>
        </w:rPr>
        <w:t>2、</w:t>
      </w:r>
      <w:r w:rsidR="00A4147F" w:rsidRPr="0013758A">
        <w:rPr>
          <w:rFonts w:ascii="宋体" w:hAnsi="宋体" w:hint="eastAsia"/>
        </w:rPr>
        <w:t>美联储公布的</w:t>
      </w:r>
      <w:r w:rsidR="00A4147F" w:rsidRPr="0013758A">
        <w:rPr>
          <w:rFonts w:ascii="宋体" w:hAnsi="宋体"/>
        </w:rPr>
        <w:t>7月会议纪要显示，7月会上，几乎全体决策者支持暂不降息，只有两人反对。纪要体现了，对通胀和就业的风险以及关税对通胀的影响，联储官员均存在分歧，不过多数还是认为，通胀上升的风险比就业下行的风险高。多人认为，关税的影响需要一些时间才会全面显现。</w:t>
      </w:r>
    </w:p>
    <w:p w14:paraId="63094CBE" w14:textId="633843E7" w:rsidR="00BC01B8" w:rsidRPr="00AC09FC" w:rsidRDefault="00BC01B8" w:rsidP="0086476E">
      <w:pPr>
        <w:spacing w:line="312" w:lineRule="auto"/>
        <w:ind w:firstLine="420"/>
        <w:rPr>
          <w:rFonts w:ascii="宋体" w:hAnsi="宋体"/>
        </w:rPr>
      </w:pPr>
      <w:r w:rsidRPr="00CA1C69">
        <w:rPr>
          <w:rFonts w:ascii="宋体" w:hAnsi="宋体"/>
        </w:rPr>
        <w:t>3</w:t>
      </w:r>
      <w:r w:rsidRPr="00CA1C69">
        <w:rPr>
          <w:rFonts w:ascii="宋体" w:hAnsi="宋体" w:hint="eastAsia"/>
        </w:rPr>
        <w:t>、</w:t>
      </w:r>
      <w:r w:rsidR="00C3478E" w:rsidRPr="006B57CA">
        <w:rPr>
          <w:rFonts w:ascii="宋体" w:hAnsi="宋体" w:hint="eastAsia"/>
        </w:rPr>
        <w:t>美联储主席鲍威尔在杰克逊霍尔央行年会上发表重磅讲话，称风险平衡似乎正在发生变化，当前的形势意味着，就业面临的下行风险上升。随着政策处于紧缩区域，这种风险平衡的转变可能意味着需要调整政策立场。鲍威尔讲话后，交易员加大对美联储</w:t>
      </w:r>
      <w:r w:rsidR="00C3478E" w:rsidRPr="006B57CA">
        <w:rPr>
          <w:rFonts w:ascii="宋体" w:hAnsi="宋体"/>
        </w:rPr>
        <w:t>9月降息的押注，完全消化年底前降息两次预期。</w:t>
      </w:r>
    </w:p>
    <w:p w14:paraId="630B9579" w14:textId="2A639179" w:rsidR="00BC01B8" w:rsidRPr="00A867D6" w:rsidRDefault="00BC01B8" w:rsidP="001F0839">
      <w:pPr>
        <w:spacing w:line="312" w:lineRule="auto"/>
        <w:ind w:firstLine="420"/>
        <w:rPr>
          <w:rFonts w:ascii="宋体" w:hAnsi="宋体"/>
        </w:rPr>
      </w:pPr>
      <w:r w:rsidRPr="0086476E">
        <w:rPr>
          <w:rFonts w:ascii="宋体" w:hAnsi="宋体" w:hint="eastAsia"/>
        </w:rPr>
        <w:t>4、</w:t>
      </w:r>
      <w:bookmarkStart w:id="0" w:name="_GoBack"/>
      <w:r w:rsidR="00A4147F" w:rsidRPr="00D2261E">
        <w:rPr>
          <w:rFonts w:ascii="宋体" w:hAnsi="宋体" w:hint="eastAsia"/>
        </w:rPr>
        <w:t>欧盟与美国发表联合声明，公布了双方在</w:t>
      </w:r>
      <w:r w:rsidR="00A4147F" w:rsidRPr="00D2261E">
        <w:rPr>
          <w:rFonts w:ascii="宋体" w:hAnsi="宋体"/>
        </w:rPr>
        <w:t>7月达成新贸易协议的具体细节。根据联</w:t>
      </w:r>
      <w:r w:rsidR="00A4147F" w:rsidRPr="00D2261E">
        <w:rPr>
          <w:rFonts w:ascii="宋体" w:hAnsi="宋体"/>
        </w:rPr>
        <w:lastRenderedPageBreak/>
        <w:t>合声明，美国将对汽车、药品、半导体和木材等大多数欧盟输美商品征收15%的关税。欧盟承诺取消对美国产工业品的关税，并为美国海产品和农产品提供优惠市场准入。欧盟还计划到2028年前采购7500亿美元的美国液化天然气、石油和核能产品，另采购400亿美元的美国人工智能芯片。</w:t>
      </w:r>
      <w:bookmarkEnd w:id="0"/>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70B4EBB6" w:rsidR="00CA7296" w:rsidRDefault="001847B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67C38B18" wp14:editId="0B1E7821">
            <wp:extent cx="3694992" cy="189547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4439" cy="1905451"/>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15AF11AF" w:rsidR="00CA7296" w:rsidRDefault="00C3478E" w:rsidP="00CA7296">
      <w:pPr>
        <w:spacing w:line="360" w:lineRule="auto"/>
        <w:jc w:val="center"/>
        <w:rPr>
          <w:rFonts w:ascii="宋体" w:hAnsi="宋体"/>
          <w:sz w:val="18"/>
          <w:szCs w:val="18"/>
        </w:rPr>
      </w:pPr>
      <w:r>
        <w:rPr>
          <w:noProof/>
        </w:rPr>
        <w:drawing>
          <wp:inline distT="0" distB="0" distL="0" distR="0" wp14:anchorId="78461926" wp14:editId="69782FBA">
            <wp:extent cx="4990456" cy="2733675"/>
            <wp:effectExtent l="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6600" cy="2737040"/>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7642B292" w:rsidR="00CA7296" w:rsidRDefault="001847B0" w:rsidP="00CA7296">
      <w:pPr>
        <w:spacing w:line="360" w:lineRule="auto"/>
        <w:jc w:val="center"/>
        <w:rPr>
          <w:rFonts w:ascii="宋体" w:hAnsi="宋体"/>
          <w:sz w:val="18"/>
          <w:szCs w:val="18"/>
        </w:rPr>
      </w:pPr>
      <w:r>
        <w:rPr>
          <w:noProof/>
        </w:rPr>
        <w:drawing>
          <wp:inline distT="0" distB="0" distL="0" distR="0" wp14:anchorId="77C9834C" wp14:editId="1E3FDE95">
            <wp:extent cx="3876675" cy="216064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9138" cy="2162015"/>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6978925D" w:rsidR="00CA7296" w:rsidRDefault="00C3478E" w:rsidP="00CA7296">
      <w:pPr>
        <w:jc w:val="center"/>
      </w:pPr>
      <w:r>
        <w:rPr>
          <w:noProof/>
        </w:rPr>
        <w:drawing>
          <wp:inline distT="0" distB="0" distL="0" distR="0" wp14:anchorId="5193EA8D" wp14:editId="5F196B70">
            <wp:extent cx="4961542" cy="26289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6891" cy="2631734"/>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71FEE781" w:rsidR="00CA7296" w:rsidRDefault="001847B0" w:rsidP="00CA7296">
      <w:pPr>
        <w:jc w:val="center"/>
      </w:pPr>
      <w:r>
        <w:rPr>
          <w:noProof/>
        </w:rPr>
        <w:drawing>
          <wp:inline distT="0" distB="0" distL="0" distR="0" wp14:anchorId="5B044443" wp14:editId="12966AAE">
            <wp:extent cx="3657600" cy="216343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71572" cy="2171695"/>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2F875547">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8B3AA48" w14:textId="6263EAA5" w:rsidR="00351614" w:rsidRPr="00194A13" w:rsidRDefault="0048255E" w:rsidP="00351614">
      <w:pPr>
        <w:spacing w:line="312" w:lineRule="auto"/>
        <w:ind w:firstLine="420"/>
        <w:rPr>
          <w:rFonts w:ascii="宋体" w:hAnsi="宋体"/>
        </w:rPr>
      </w:pPr>
      <w:r w:rsidRPr="000E60E7">
        <w:rPr>
          <w:rFonts w:ascii="宋体" w:hAnsi="宋体" w:cs="宋体"/>
        </w:rPr>
        <w:t>最新数据显示，</w:t>
      </w:r>
      <w:r w:rsidRPr="00477042">
        <w:rPr>
          <w:rFonts w:ascii="宋体" w:hAnsi="宋体" w:cs="宋体" w:hint="eastAsia"/>
        </w:rPr>
        <w:t>美国</w:t>
      </w:r>
      <w:r w:rsidRPr="00BC1CF2">
        <w:rPr>
          <w:rFonts w:ascii="宋体" w:hAnsi="宋体" w:cs="宋体" w:hint="eastAsia"/>
        </w:rPr>
        <w:t>上周初请失业金人数增加</w:t>
      </w:r>
      <w:r w:rsidRPr="00BC1CF2">
        <w:rPr>
          <w:rFonts w:ascii="宋体" w:hAnsi="宋体" w:cs="宋体"/>
        </w:rPr>
        <w:t>1.1万人至23.5万人，创6月以来新高，高于市场预期的22.5万人。前一周续请失业金人数升至197万人，为2021年11月以来的最高水平。</w:t>
      </w:r>
      <w:r>
        <w:rPr>
          <w:rFonts w:ascii="宋体" w:hAnsi="宋体" w:cs="宋体" w:hint="eastAsia"/>
        </w:rPr>
        <w:t>此外，</w:t>
      </w:r>
      <w:r w:rsidRPr="000D085B">
        <w:rPr>
          <w:rFonts w:ascii="宋体" w:hAnsi="宋体" w:cs="宋体" w:hint="eastAsia"/>
        </w:rPr>
        <w:t>美联储主席鲍威尔在杰克逊霍尔央行年会上发表重磅讲话，称风险平衡似乎正在发生变化，当前的形势意味着，就业面临的下行风险上升。随着政策处于紧缩区域，这种风险平衡的转变可能意味着需要调整政策立场。</w:t>
      </w:r>
      <w:r>
        <w:rPr>
          <w:rFonts w:ascii="宋体" w:hAnsi="宋体" w:cs="宋体" w:hint="eastAsia"/>
        </w:rPr>
        <w:t>据C</w:t>
      </w:r>
      <w:r>
        <w:rPr>
          <w:rFonts w:ascii="宋体" w:hAnsi="宋体" w:cs="宋体"/>
        </w:rPr>
        <w:t>ME F</w:t>
      </w:r>
      <w:r>
        <w:rPr>
          <w:rFonts w:ascii="宋体" w:hAnsi="宋体" w:cs="宋体" w:hint="eastAsia"/>
        </w:rPr>
        <w:t>edwatch工具显示，</w:t>
      </w:r>
      <w:r w:rsidRPr="00A073D0">
        <w:rPr>
          <w:rFonts w:ascii="宋体" w:hAnsi="宋体" w:cs="宋体" w:hint="eastAsia"/>
        </w:rPr>
        <w:t>市场对美联储</w:t>
      </w:r>
      <w:r w:rsidRPr="000D085B">
        <w:rPr>
          <w:rFonts w:ascii="宋体" w:hAnsi="宋体" w:cs="宋体"/>
        </w:rPr>
        <w:t>在9月16-17日政策会议上降息几率的定价为85%，高于早些时候的72%。</w:t>
      </w:r>
      <w:r w:rsidRPr="00BC1CF2">
        <w:rPr>
          <w:rFonts w:ascii="宋体" w:hAnsi="宋体" w:cs="宋体" w:hint="eastAsia"/>
        </w:rPr>
        <w:t>但由于总统特朗普政府实施新的贸易关税，通胀上行风险仍是一个不确定因素，使部分政策制定者对放松政策持谨慎态度。</w:t>
      </w:r>
    </w:p>
    <w:p w14:paraId="455C826C" w14:textId="442540AE" w:rsidR="00BF7D0E" w:rsidRDefault="00A867D6" w:rsidP="00194A13">
      <w:pPr>
        <w:spacing w:line="312" w:lineRule="auto"/>
        <w:ind w:firstLine="420"/>
        <w:rPr>
          <w:rFonts w:ascii="宋体" w:hAnsi="宋体" w:cs="宋体"/>
        </w:rPr>
      </w:pPr>
      <w:r w:rsidRPr="00194A13">
        <w:rPr>
          <w:rFonts w:ascii="宋体" w:hAnsi="宋体"/>
        </w:rPr>
        <w:t>国内端，我国</w:t>
      </w:r>
      <w:r w:rsidR="00194A13" w:rsidRPr="00194A13">
        <w:rPr>
          <w:rFonts w:ascii="宋体" w:hAnsi="宋体" w:hint="eastAsia"/>
        </w:rPr>
        <w:t>《二季度货币政策执行报告》再度强调，</w:t>
      </w:r>
      <w:r w:rsidR="00194A13">
        <w:rPr>
          <w:rFonts w:ascii="宋体" w:hAnsi="宋体" w:hint="eastAsia"/>
        </w:rPr>
        <w:t>要</w:t>
      </w:r>
      <w:r w:rsidR="00194A13" w:rsidRPr="00194A13">
        <w:rPr>
          <w:rFonts w:ascii="宋体" w:hAnsi="宋体" w:hint="eastAsia"/>
        </w:rPr>
        <w:t>保持汇率基本稳定。坚持市场在汇率形成中起决定性作用，发挥好汇率对宏观经济、国际收支的调节功能，综合施策，促进预期平稳，在复杂形势下保持人民币汇率基本稳定。</w:t>
      </w:r>
      <w:r w:rsidR="00C3478E">
        <w:rPr>
          <w:rFonts w:ascii="宋体" w:hAnsi="宋体" w:hint="eastAsia"/>
        </w:rPr>
        <w:t>此外</w:t>
      </w:r>
      <w:r w:rsidR="00655606">
        <w:rPr>
          <w:rFonts w:ascii="宋体" w:hAnsi="宋体" w:cs="宋体" w:hint="eastAsia"/>
        </w:rPr>
        <w:t>7月我国出口同比在中美双方延长关税休战期的带动下改善显著，</w:t>
      </w:r>
      <w:r w:rsidR="00194A13" w:rsidRPr="004679FE">
        <w:rPr>
          <w:rFonts w:ascii="宋体" w:hAnsi="宋体" w:hint="eastAsia"/>
        </w:rPr>
        <w:t>出口交货值同比增长</w:t>
      </w:r>
      <w:r w:rsidR="00194A13" w:rsidRPr="004679FE">
        <w:rPr>
          <w:rFonts w:ascii="宋体" w:hAnsi="宋体"/>
        </w:rPr>
        <w:t>6.7%,增速比6月加快1.5个百分点</w:t>
      </w:r>
      <w:r w:rsidR="00194A13">
        <w:rPr>
          <w:rFonts w:ascii="宋体" w:hAnsi="宋体" w:hint="eastAsia"/>
        </w:rPr>
        <w:t>，</w:t>
      </w:r>
      <w:r w:rsidR="00194A13">
        <w:rPr>
          <w:rFonts w:ascii="宋体" w:hAnsi="宋体"/>
        </w:rPr>
        <w:t>创年内新高</w:t>
      </w:r>
      <w:r w:rsidR="00B45667">
        <w:rPr>
          <w:rFonts w:ascii="宋体" w:hAnsi="宋体" w:cs="宋体" w:hint="eastAsia"/>
        </w:rPr>
        <w:t>。我国</w:t>
      </w:r>
      <w:r>
        <w:rPr>
          <w:rFonts w:ascii="宋体" w:hAnsi="宋体" w:cs="宋体"/>
        </w:rPr>
        <w:t>经济复苏向好趋势不改，</w:t>
      </w:r>
      <w:r w:rsidR="00C3478E" w:rsidRPr="00C3478E">
        <w:rPr>
          <w:rFonts w:ascii="宋体" w:hAnsi="宋体" w:cs="宋体" w:hint="eastAsia"/>
        </w:rPr>
        <w:t>稳增长政策持续发力，宏观政策逆周期调节为汇率提供支撑</w:t>
      </w:r>
      <w:r w:rsidR="00C3478E">
        <w:rPr>
          <w:rFonts w:ascii="宋体" w:hAnsi="宋体" w:cs="宋体" w:hint="eastAsia"/>
        </w:rPr>
        <w:t>，叠加美联储</w:t>
      </w:r>
      <w:r w:rsidR="00C3478E">
        <w:rPr>
          <w:rFonts w:ascii="Arial" w:hAnsi="Arial" w:cs="Arial"/>
          <w:color w:val="333333"/>
          <w:shd w:val="clear" w:color="auto" w:fill="FFFFFF"/>
        </w:rPr>
        <w:t>降息预期加剧美元走弱，</w:t>
      </w:r>
      <w:r w:rsidRPr="001F0839">
        <w:rPr>
          <w:rFonts w:ascii="宋体" w:hAnsi="宋体" w:cs="宋体" w:hint="eastAsia"/>
        </w:rPr>
        <w:t>人民币汇率</w:t>
      </w:r>
      <w:r w:rsidR="00C3478E">
        <w:rPr>
          <w:rFonts w:ascii="宋体" w:hAnsi="宋体" w:cs="宋体" w:hint="eastAsia"/>
        </w:rPr>
        <w:t>料</w:t>
      </w:r>
      <w:r>
        <w:rPr>
          <w:rFonts w:ascii="宋体" w:hAnsi="宋体" w:cs="宋体" w:hint="eastAsia"/>
        </w:rPr>
        <w:t>稳</w:t>
      </w:r>
      <w:r w:rsidR="00C3478E">
        <w:rPr>
          <w:rFonts w:ascii="宋体" w:hAnsi="宋体" w:cs="宋体" w:hint="eastAsia"/>
        </w:rPr>
        <w:t>中向上</w:t>
      </w:r>
      <w:r>
        <w:rPr>
          <w:rFonts w:ascii="宋体" w:hAnsi="宋体" w:cs="宋体" w:hint="eastAsia"/>
        </w:rPr>
        <w:t>。但同时需要看到，</w:t>
      </w:r>
      <w:r w:rsidR="00194A13" w:rsidRPr="00194A13">
        <w:rPr>
          <w:rFonts w:ascii="宋体" w:hAnsi="宋体" w:cs="宋体" w:hint="eastAsia"/>
        </w:rPr>
        <w:t>虽关税战有所缓解</w:t>
      </w:r>
      <w:r w:rsidR="00194A13">
        <w:rPr>
          <w:rFonts w:ascii="宋体" w:hAnsi="宋体" w:cs="宋体" w:hint="eastAsia"/>
        </w:rPr>
        <w:t>，但</w:t>
      </w:r>
      <w:r>
        <w:rPr>
          <w:rFonts w:ascii="宋体" w:hAnsi="宋体" w:cs="宋体" w:hint="eastAsia"/>
        </w:rPr>
        <w:t>7月我国新出口订单指数跌幅走阔，海外需求端仍</w:t>
      </w:r>
      <w:r w:rsidR="00194A13">
        <w:rPr>
          <w:rFonts w:ascii="宋体" w:hAnsi="宋体" w:cs="宋体" w:hint="eastAsia"/>
        </w:rPr>
        <w:t>处于疲软态势</w:t>
      </w:r>
      <w:r w:rsidR="001F0839" w:rsidRPr="001F0839">
        <w:rPr>
          <w:rFonts w:ascii="宋体" w:hAnsi="宋体" w:cs="宋体" w:hint="eastAsia"/>
        </w:rPr>
        <w:t>。</w:t>
      </w:r>
      <w:r w:rsidR="00BF7D0E">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607CE" w14:textId="77777777" w:rsidR="00D80111" w:rsidRDefault="00D80111" w:rsidP="00127060">
      <w:r>
        <w:separator/>
      </w:r>
    </w:p>
  </w:endnote>
  <w:endnote w:type="continuationSeparator" w:id="0">
    <w:p w14:paraId="5D8B6DB6" w14:textId="77777777" w:rsidR="00D80111" w:rsidRDefault="00D80111"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1B66" w14:textId="77777777" w:rsidR="00D80111" w:rsidRDefault="00D80111" w:rsidP="00127060">
      <w:r>
        <w:separator/>
      </w:r>
    </w:p>
  </w:footnote>
  <w:footnote w:type="continuationSeparator" w:id="0">
    <w:p w14:paraId="7325866D" w14:textId="77777777" w:rsidR="00D80111" w:rsidRDefault="00D80111"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27E"/>
    <w:rsid w:val="00011E90"/>
    <w:rsid w:val="00015ABA"/>
    <w:rsid w:val="00015CEB"/>
    <w:rsid w:val="00016329"/>
    <w:rsid w:val="00017E90"/>
    <w:rsid w:val="000218EC"/>
    <w:rsid w:val="00023083"/>
    <w:rsid w:val="0002357D"/>
    <w:rsid w:val="00027E72"/>
    <w:rsid w:val="000301E2"/>
    <w:rsid w:val="000328C5"/>
    <w:rsid w:val="00032F98"/>
    <w:rsid w:val="000447DD"/>
    <w:rsid w:val="00046EC5"/>
    <w:rsid w:val="0005052B"/>
    <w:rsid w:val="00052952"/>
    <w:rsid w:val="000540B3"/>
    <w:rsid w:val="00054D2E"/>
    <w:rsid w:val="00055C18"/>
    <w:rsid w:val="0005615C"/>
    <w:rsid w:val="00056C00"/>
    <w:rsid w:val="00061E07"/>
    <w:rsid w:val="000649D8"/>
    <w:rsid w:val="000658CB"/>
    <w:rsid w:val="00066060"/>
    <w:rsid w:val="00072AF7"/>
    <w:rsid w:val="0007552B"/>
    <w:rsid w:val="000902C1"/>
    <w:rsid w:val="00094A69"/>
    <w:rsid w:val="000959E1"/>
    <w:rsid w:val="00096C6B"/>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0F6A0B"/>
    <w:rsid w:val="00100296"/>
    <w:rsid w:val="0011314B"/>
    <w:rsid w:val="00113D9E"/>
    <w:rsid w:val="00115730"/>
    <w:rsid w:val="0012070F"/>
    <w:rsid w:val="00125BEA"/>
    <w:rsid w:val="00127060"/>
    <w:rsid w:val="001470E8"/>
    <w:rsid w:val="00150521"/>
    <w:rsid w:val="00153427"/>
    <w:rsid w:val="001564E1"/>
    <w:rsid w:val="0015671A"/>
    <w:rsid w:val="001573DE"/>
    <w:rsid w:val="00182FB2"/>
    <w:rsid w:val="001847B0"/>
    <w:rsid w:val="001869F4"/>
    <w:rsid w:val="001938CF"/>
    <w:rsid w:val="00194A13"/>
    <w:rsid w:val="00195C4D"/>
    <w:rsid w:val="00197E1F"/>
    <w:rsid w:val="00197E3E"/>
    <w:rsid w:val="001A59DE"/>
    <w:rsid w:val="001B6505"/>
    <w:rsid w:val="001C598E"/>
    <w:rsid w:val="001C7A4C"/>
    <w:rsid w:val="001D5BF6"/>
    <w:rsid w:val="001F0839"/>
    <w:rsid w:val="001F0B8B"/>
    <w:rsid w:val="001F4E90"/>
    <w:rsid w:val="001F6D4B"/>
    <w:rsid w:val="0020319F"/>
    <w:rsid w:val="002041D1"/>
    <w:rsid w:val="0020501F"/>
    <w:rsid w:val="0020541A"/>
    <w:rsid w:val="00215D99"/>
    <w:rsid w:val="0021694A"/>
    <w:rsid w:val="00216CC4"/>
    <w:rsid w:val="00220075"/>
    <w:rsid w:val="00220B10"/>
    <w:rsid w:val="00220C9B"/>
    <w:rsid w:val="00223E72"/>
    <w:rsid w:val="00227DE4"/>
    <w:rsid w:val="002348D9"/>
    <w:rsid w:val="002348FA"/>
    <w:rsid w:val="00242AD4"/>
    <w:rsid w:val="00244509"/>
    <w:rsid w:val="00247EFC"/>
    <w:rsid w:val="00257436"/>
    <w:rsid w:val="0026035D"/>
    <w:rsid w:val="002617AF"/>
    <w:rsid w:val="00263BE6"/>
    <w:rsid w:val="00266134"/>
    <w:rsid w:val="0027103D"/>
    <w:rsid w:val="00273827"/>
    <w:rsid w:val="00276F3C"/>
    <w:rsid w:val="002779DB"/>
    <w:rsid w:val="0028510B"/>
    <w:rsid w:val="0028572C"/>
    <w:rsid w:val="00290F42"/>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1AA"/>
    <w:rsid w:val="00304D86"/>
    <w:rsid w:val="00304DF8"/>
    <w:rsid w:val="003066A3"/>
    <w:rsid w:val="003070DC"/>
    <w:rsid w:val="00310347"/>
    <w:rsid w:val="00312B57"/>
    <w:rsid w:val="00326BE8"/>
    <w:rsid w:val="00336209"/>
    <w:rsid w:val="00341353"/>
    <w:rsid w:val="00350819"/>
    <w:rsid w:val="00351614"/>
    <w:rsid w:val="0035301A"/>
    <w:rsid w:val="003576ED"/>
    <w:rsid w:val="00357828"/>
    <w:rsid w:val="00363129"/>
    <w:rsid w:val="0036506F"/>
    <w:rsid w:val="003665FF"/>
    <w:rsid w:val="0036685A"/>
    <w:rsid w:val="00371BC0"/>
    <w:rsid w:val="00377B85"/>
    <w:rsid w:val="00392306"/>
    <w:rsid w:val="003A2616"/>
    <w:rsid w:val="003A7F2C"/>
    <w:rsid w:val="003B49D5"/>
    <w:rsid w:val="003C55CB"/>
    <w:rsid w:val="003D2210"/>
    <w:rsid w:val="003D3AF3"/>
    <w:rsid w:val="003D3DB8"/>
    <w:rsid w:val="003D7A03"/>
    <w:rsid w:val="003E0E92"/>
    <w:rsid w:val="003E1D2F"/>
    <w:rsid w:val="003E2D6E"/>
    <w:rsid w:val="003E5930"/>
    <w:rsid w:val="003F2BF1"/>
    <w:rsid w:val="003F3205"/>
    <w:rsid w:val="004012E4"/>
    <w:rsid w:val="004023AC"/>
    <w:rsid w:val="0040735B"/>
    <w:rsid w:val="00407F4C"/>
    <w:rsid w:val="00413A6A"/>
    <w:rsid w:val="00414D5B"/>
    <w:rsid w:val="00416F99"/>
    <w:rsid w:val="00431962"/>
    <w:rsid w:val="00431FCF"/>
    <w:rsid w:val="00433DAC"/>
    <w:rsid w:val="00434A8A"/>
    <w:rsid w:val="004445D6"/>
    <w:rsid w:val="00447802"/>
    <w:rsid w:val="0045019A"/>
    <w:rsid w:val="004521D8"/>
    <w:rsid w:val="00456C36"/>
    <w:rsid w:val="00456F4B"/>
    <w:rsid w:val="00462568"/>
    <w:rsid w:val="00464902"/>
    <w:rsid w:val="00472C1A"/>
    <w:rsid w:val="0048255E"/>
    <w:rsid w:val="00482C6C"/>
    <w:rsid w:val="004855D9"/>
    <w:rsid w:val="004A483B"/>
    <w:rsid w:val="004A5DEA"/>
    <w:rsid w:val="004A618A"/>
    <w:rsid w:val="004B1822"/>
    <w:rsid w:val="004B3117"/>
    <w:rsid w:val="004B4636"/>
    <w:rsid w:val="004B569D"/>
    <w:rsid w:val="004B6B0F"/>
    <w:rsid w:val="004C131F"/>
    <w:rsid w:val="004C243D"/>
    <w:rsid w:val="004D283C"/>
    <w:rsid w:val="004D75A9"/>
    <w:rsid w:val="004E10AA"/>
    <w:rsid w:val="004E22E6"/>
    <w:rsid w:val="004F0C55"/>
    <w:rsid w:val="004F16E7"/>
    <w:rsid w:val="00505DD6"/>
    <w:rsid w:val="00511152"/>
    <w:rsid w:val="0051618C"/>
    <w:rsid w:val="00537CF9"/>
    <w:rsid w:val="0055205C"/>
    <w:rsid w:val="00571EBF"/>
    <w:rsid w:val="00574E1F"/>
    <w:rsid w:val="00583AD9"/>
    <w:rsid w:val="00585144"/>
    <w:rsid w:val="005B0999"/>
    <w:rsid w:val="005D4042"/>
    <w:rsid w:val="005D591B"/>
    <w:rsid w:val="005D6040"/>
    <w:rsid w:val="005E791A"/>
    <w:rsid w:val="005F55A3"/>
    <w:rsid w:val="00600382"/>
    <w:rsid w:val="006206E8"/>
    <w:rsid w:val="00621D14"/>
    <w:rsid w:val="00624E74"/>
    <w:rsid w:val="00626AF8"/>
    <w:rsid w:val="00626F9A"/>
    <w:rsid w:val="00637EE4"/>
    <w:rsid w:val="00646D9C"/>
    <w:rsid w:val="00647B32"/>
    <w:rsid w:val="0065442E"/>
    <w:rsid w:val="00655606"/>
    <w:rsid w:val="00655FE4"/>
    <w:rsid w:val="006603DF"/>
    <w:rsid w:val="0066318A"/>
    <w:rsid w:val="00671429"/>
    <w:rsid w:val="006938C5"/>
    <w:rsid w:val="006A2C2A"/>
    <w:rsid w:val="006A35D1"/>
    <w:rsid w:val="006A3F5D"/>
    <w:rsid w:val="006A584F"/>
    <w:rsid w:val="006B50D4"/>
    <w:rsid w:val="006B685C"/>
    <w:rsid w:val="006C158F"/>
    <w:rsid w:val="006C1898"/>
    <w:rsid w:val="006E2C2D"/>
    <w:rsid w:val="006E5C84"/>
    <w:rsid w:val="006E7ABA"/>
    <w:rsid w:val="00710E4C"/>
    <w:rsid w:val="0071470E"/>
    <w:rsid w:val="00715E21"/>
    <w:rsid w:val="00716E5A"/>
    <w:rsid w:val="0072465D"/>
    <w:rsid w:val="00724724"/>
    <w:rsid w:val="00730110"/>
    <w:rsid w:val="007348A2"/>
    <w:rsid w:val="00746E5A"/>
    <w:rsid w:val="00762458"/>
    <w:rsid w:val="00762BC0"/>
    <w:rsid w:val="00763B4A"/>
    <w:rsid w:val="00772ADA"/>
    <w:rsid w:val="00776BB4"/>
    <w:rsid w:val="00777880"/>
    <w:rsid w:val="00781600"/>
    <w:rsid w:val="007844B4"/>
    <w:rsid w:val="00785749"/>
    <w:rsid w:val="0078583C"/>
    <w:rsid w:val="00786FC0"/>
    <w:rsid w:val="00787BFA"/>
    <w:rsid w:val="00792957"/>
    <w:rsid w:val="00792E03"/>
    <w:rsid w:val="0079373C"/>
    <w:rsid w:val="007A5815"/>
    <w:rsid w:val="007B10D1"/>
    <w:rsid w:val="007B3FE4"/>
    <w:rsid w:val="007B677E"/>
    <w:rsid w:val="007B746D"/>
    <w:rsid w:val="007C0CD5"/>
    <w:rsid w:val="007C4700"/>
    <w:rsid w:val="007C648F"/>
    <w:rsid w:val="007C7C58"/>
    <w:rsid w:val="007D3E5A"/>
    <w:rsid w:val="007D4B15"/>
    <w:rsid w:val="007D60FF"/>
    <w:rsid w:val="007E4414"/>
    <w:rsid w:val="007F0835"/>
    <w:rsid w:val="007F6420"/>
    <w:rsid w:val="00804540"/>
    <w:rsid w:val="00813A5E"/>
    <w:rsid w:val="0083623C"/>
    <w:rsid w:val="00844DA7"/>
    <w:rsid w:val="00847CAE"/>
    <w:rsid w:val="00852D32"/>
    <w:rsid w:val="00853402"/>
    <w:rsid w:val="00854449"/>
    <w:rsid w:val="008575F1"/>
    <w:rsid w:val="0086476E"/>
    <w:rsid w:val="0087172E"/>
    <w:rsid w:val="00881976"/>
    <w:rsid w:val="00882F85"/>
    <w:rsid w:val="00886C14"/>
    <w:rsid w:val="00887911"/>
    <w:rsid w:val="008A1FB2"/>
    <w:rsid w:val="008A2B9D"/>
    <w:rsid w:val="008A4C3C"/>
    <w:rsid w:val="008B0DD1"/>
    <w:rsid w:val="008B325C"/>
    <w:rsid w:val="008B5B8F"/>
    <w:rsid w:val="008B5D1D"/>
    <w:rsid w:val="008B7950"/>
    <w:rsid w:val="008C13E8"/>
    <w:rsid w:val="008C1403"/>
    <w:rsid w:val="008C1856"/>
    <w:rsid w:val="008C2303"/>
    <w:rsid w:val="008C495E"/>
    <w:rsid w:val="008C55B1"/>
    <w:rsid w:val="008E52D9"/>
    <w:rsid w:val="0090054A"/>
    <w:rsid w:val="009078F0"/>
    <w:rsid w:val="00912158"/>
    <w:rsid w:val="00915D99"/>
    <w:rsid w:val="00916155"/>
    <w:rsid w:val="00916F88"/>
    <w:rsid w:val="00921AD3"/>
    <w:rsid w:val="00922740"/>
    <w:rsid w:val="0093171E"/>
    <w:rsid w:val="00941B7A"/>
    <w:rsid w:val="009425B7"/>
    <w:rsid w:val="00950AA4"/>
    <w:rsid w:val="0095193C"/>
    <w:rsid w:val="009528D9"/>
    <w:rsid w:val="009615A9"/>
    <w:rsid w:val="009624AE"/>
    <w:rsid w:val="00965238"/>
    <w:rsid w:val="0097610B"/>
    <w:rsid w:val="0097639B"/>
    <w:rsid w:val="009821C1"/>
    <w:rsid w:val="00982EB3"/>
    <w:rsid w:val="00984FF0"/>
    <w:rsid w:val="009866FF"/>
    <w:rsid w:val="009927F3"/>
    <w:rsid w:val="0099372E"/>
    <w:rsid w:val="00994228"/>
    <w:rsid w:val="009A27BC"/>
    <w:rsid w:val="009A75FC"/>
    <w:rsid w:val="009B25EF"/>
    <w:rsid w:val="009C0381"/>
    <w:rsid w:val="009C0504"/>
    <w:rsid w:val="009C3D02"/>
    <w:rsid w:val="009C7D4B"/>
    <w:rsid w:val="009D18C0"/>
    <w:rsid w:val="009D1C60"/>
    <w:rsid w:val="009D2952"/>
    <w:rsid w:val="009D30D7"/>
    <w:rsid w:val="009D3BE6"/>
    <w:rsid w:val="009D594C"/>
    <w:rsid w:val="009E58E4"/>
    <w:rsid w:val="009F2447"/>
    <w:rsid w:val="009F3358"/>
    <w:rsid w:val="009F417E"/>
    <w:rsid w:val="00A00F94"/>
    <w:rsid w:val="00A10A17"/>
    <w:rsid w:val="00A11272"/>
    <w:rsid w:val="00A12E97"/>
    <w:rsid w:val="00A234E0"/>
    <w:rsid w:val="00A26326"/>
    <w:rsid w:val="00A31FA7"/>
    <w:rsid w:val="00A32364"/>
    <w:rsid w:val="00A33EC9"/>
    <w:rsid w:val="00A3670A"/>
    <w:rsid w:val="00A3724E"/>
    <w:rsid w:val="00A37796"/>
    <w:rsid w:val="00A37AF9"/>
    <w:rsid w:val="00A4147F"/>
    <w:rsid w:val="00A46DE2"/>
    <w:rsid w:val="00A53530"/>
    <w:rsid w:val="00A568F0"/>
    <w:rsid w:val="00A618F2"/>
    <w:rsid w:val="00A70404"/>
    <w:rsid w:val="00A70BD1"/>
    <w:rsid w:val="00A71812"/>
    <w:rsid w:val="00A74769"/>
    <w:rsid w:val="00A77350"/>
    <w:rsid w:val="00A84ED5"/>
    <w:rsid w:val="00A867D6"/>
    <w:rsid w:val="00A87B55"/>
    <w:rsid w:val="00A959A4"/>
    <w:rsid w:val="00AA73C1"/>
    <w:rsid w:val="00AA7E59"/>
    <w:rsid w:val="00AB2BF2"/>
    <w:rsid w:val="00AB77E4"/>
    <w:rsid w:val="00AB7FCB"/>
    <w:rsid w:val="00AC09FC"/>
    <w:rsid w:val="00AC23F7"/>
    <w:rsid w:val="00AD25D1"/>
    <w:rsid w:val="00AD468C"/>
    <w:rsid w:val="00AE352D"/>
    <w:rsid w:val="00AE4401"/>
    <w:rsid w:val="00AE5D02"/>
    <w:rsid w:val="00AF4AA5"/>
    <w:rsid w:val="00B17CED"/>
    <w:rsid w:val="00B20497"/>
    <w:rsid w:val="00B21983"/>
    <w:rsid w:val="00B25A83"/>
    <w:rsid w:val="00B45667"/>
    <w:rsid w:val="00B6015F"/>
    <w:rsid w:val="00B61147"/>
    <w:rsid w:val="00B62125"/>
    <w:rsid w:val="00B62126"/>
    <w:rsid w:val="00B62713"/>
    <w:rsid w:val="00B64891"/>
    <w:rsid w:val="00B67586"/>
    <w:rsid w:val="00B71877"/>
    <w:rsid w:val="00B73C28"/>
    <w:rsid w:val="00B74234"/>
    <w:rsid w:val="00B770FE"/>
    <w:rsid w:val="00B85DFF"/>
    <w:rsid w:val="00B874B7"/>
    <w:rsid w:val="00B87C9E"/>
    <w:rsid w:val="00B91814"/>
    <w:rsid w:val="00BA0B26"/>
    <w:rsid w:val="00BA7B2C"/>
    <w:rsid w:val="00BA7C59"/>
    <w:rsid w:val="00BB52D1"/>
    <w:rsid w:val="00BB573D"/>
    <w:rsid w:val="00BB7F54"/>
    <w:rsid w:val="00BC01B8"/>
    <w:rsid w:val="00BC2F10"/>
    <w:rsid w:val="00BC610A"/>
    <w:rsid w:val="00BD0804"/>
    <w:rsid w:val="00BD65EE"/>
    <w:rsid w:val="00BD7EBC"/>
    <w:rsid w:val="00BE2780"/>
    <w:rsid w:val="00BE728D"/>
    <w:rsid w:val="00BE7495"/>
    <w:rsid w:val="00BF0672"/>
    <w:rsid w:val="00BF1550"/>
    <w:rsid w:val="00BF4F9A"/>
    <w:rsid w:val="00BF7D0E"/>
    <w:rsid w:val="00C11B0E"/>
    <w:rsid w:val="00C12E3E"/>
    <w:rsid w:val="00C21A4B"/>
    <w:rsid w:val="00C25AC5"/>
    <w:rsid w:val="00C3478E"/>
    <w:rsid w:val="00C34E83"/>
    <w:rsid w:val="00C37583"/>
    <w:rsid w:val="00C46066"/>
    <w:rsid w:val="00C46144"/>
    <w:rsid w:val="00C47469"/>
    <w:rsid w:val="00C505AE"/>
    <w:rsid w:val="00C624E3"/>
    <w:rsid w:val="00C62AC4"/>
    <w:rsid w:val="00C66DB1"/>
    <w:rsid w:val="00C670BC"/>
    <w:rsid w:val="00C70EDE"/>
    <w:rsid w:val="00C7140E"/>
    <w:rsid w:val="00C71E51"/>
    <w:rsid w:val="00C77777"/>
    <w:rsid w:val="00C85ECA"/>
    <w:rsid w:val="00CA1C69"/>
    <w:rsid w:val="00CA2893"/>
    <w:rsid w:val="00CA393B"/>
    <w:rsid w:val="00CA3BCB"/>
    <w:rsid w:val="00CA7296"/>
    <w:rsid w:val="00CB2110"/>
    <w:rsid w:val="00CB6E2B"/>
    <w:rsid w:val="00CC28AB"/>
    <w:rsid w:val="00CC2C53"/>
    <w:rsid w:val="00CD3D78"/>
    <w:rsid w:val="00CD65B1"/>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276C9"/>
    <w:rsid w:val="00D27DFE"/>
    <w:rsid w:val="00D3039F"/>
    <w:rsid w:val="00D32B08"/>
    <w:rsid w:val="00D37130"/>
    <w:rsid w:val="00D435DB"/>
    <w:rsid w:val="00D43B13"/>
    <w:rsid w:val="00D447B2"/>
    <w:rsid w:val="00D46F69"/>
    <w:rsid w:val="00D5198D"/>
    <w:rsid w:val="00D521AE"/>
    <w:rsid w:val="00D63942"/>
    <w:rsid w:val="00D63AF2"/>
    <w:rsid w:val="00D66AEE"/>
    <w:rsid w:val="00D710D7"/>
    <w:rsid w:val="00D72D1D"/>
    <w:rsid w:val="00D7687B"/>
    <w:rsid w:val="00D80111"/>
    <w:rsid w:val="00D87535"/>
    <w:rsid w:val="00D906DE"/>
    <w:rsid w:val="00D96A08"/>
    <w:rsid w:val="00DA3C42"/>
    <w:rsid w:val="00DA6F42"/>
    <w:rsid w:val="00DB06A2"/>
    <w:rsid w:val="00DB11FD"/>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351"/>
    <w:rsid w:val="00E72BE2"/>
    <w:rsid w:val="00E75382"/>
    <w:rsid w:val="00E8384B"/>
    <w:rsid w:val="00E83E98"/>
    <w:rsid w:val="00E8480F"/>
    <w:rsid w:val="00EA1A14"/>
    <w:rsid w:val="00EB0DF5"/>
    <w:rsid w:val="00EC0693"/>
    <w:rsid w:val="00EC0D08"/>
    <w:rsid w:val="00EC4A9B"/>
    <w:rsid w:val="00EC5267"/>
    <w:rsid w:val="00EC7330"/>
    <w:rsid w:val="00ED03AD"/>
    <w:rsid w:val="00ED0C59"/>
    <w:rsid w:val="00ED2B5E"/>
    <w:rsid w:val="00ED78EE"/>
    <w:rsid w:val="00EE0ABC"/>
    <w:rsid w:val="00EE0BF0"/>
    <w:rsid w:val="00EE3CE0"/>
    <w:rsid w:val="00EE4951"/>
    <w:rsid w:val="00EE517B"/>
    <w:rsid w:val="00EF044D"/>
    <w:rsid w:val="00EF470E"/>
    <w:rsid w:val="00EF4EA3"/>
    <w:rsid w:val="00EF6715"/>
    <w:rsid w:val="00F0560A"/>
    <w:rsid w:val="00F13C7E"/>
    <w:rsid w:val="00F15BF4"/>
    <w:rsid w:val="00F16626"/>
    <w:rsid w:val="00F2284B"/>
    <w:rsid w:val="00F33261"/>
    <w:rsid w:val="00F33658"/>
    <w:rsid w:val="00F35CCE"/>
    <w:rsid w:val="00F36CBD"/>
    <w:rsid w:val="00F40887"/>
    <w:rsid w:val="00F42487"/>
    <w:rsid w:val="00F443E3"/>
    <w:rsid w:val="00F5017A"/>
    <w:rsid w:val="00F56F48"/>
    <w:rsid w:val="00F64EF4"/>
    <w:rsid w:val="00F65DDC"/>
    <w:rsid w:val="00F7091A"/>
    <w:rsid w:val="00F73349"/>
    <w:rsid w:val="00F75322"/>
    <w:rsid w:val="00F759FA"/>
    <w:rsid w:val="00F75A3D"/>
    <w:rsid w:val="00F76960"/>
    <w:rsid w:val="00F772C1"/>
    <w:rsid w:val="00F810DB"/>
    <w:rsid w:val="00F858FD"/>
    <w:rsid w:val="00F868F7"/>
    <w:rsid w:val="00F94497"/>
    <w:rsid w:val="00F95B17"/>
    <w:rsid w:val="00FA206D"/>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 w:type="paragraph" w:styleId="ad">
    <w:name w:val="Normal (Web)"/>
    <w:basedOn w:val="a"/>
    <w:uiPriority w:val="99"/>
    <w:semiHidden/>
    <w:unhideWhenUsed/>
    <w:rsid w:val="00FA20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 w:id="374626452">
      <w:bodyDiv w:val="1"/>
      <w:marLeft w:val="0"/>
      <w:marRight w:val="0"/>
      <w:marTop w:val="0"/>
      <w:marBottom w:val="0"/>
      <w:divBdr>
        <w:top w:val="none" w:sz="0" w:space="0" w:color="auto"/>
        <w:left w:val="none" w:sz="0" w:space="0" w:color="auto"/>
        <w:bottom w:val="none" w:sz="0" w:space="0" w:color="auto"/>
        <w:right w:val="none" w:sz="0" w:space="0" w:color="auto"/>
      </w:divBdr>
      <w:divsChild>
        <w:div w:id="425460797">
          <w:marLeft w:val="446"/>
          <w:marRight w:val="0"/>
          <w:marTop w:val="0"/>
          <w:marBottom w:val="0"/>
          <w:divBdr>
            <w:top w:val="none" w:sz="0" w:space="0" w:color="auto"/>
            <w:left w:val="none" w:sz="0" w:space="0" w:color="auto"/>
            <w:bottom w:val="none" w:sz="0" w:space="0" w:color="auto"/>
            <w:right w:val="none" w:sz="0" w:space="0" w:color="auto"/>
          </w:divBdr>
        </w:div>
      </w:divsChild>
    </w:div>
    <w:div w:id="140510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45887</c:v>
                </c:pt>
                <c:pt idx="1">
                  <c:v>45888</c:v>
                </c:pt>
                <c:pt idx="2">
                  <c:v>45889</c:v>
                </c:pt>
                <c:pt idx="3">
                  <c:v>45890</c:v>
                </c:pt>
                <c:pt idx="4">
                  <c:v>45891</c:v>
                </c:pt>
                <c:pt idx="5">
                  <c:v>45894</c:v>
                </c:pt>
              </c:numCache>
            </c:numRef>
          </c:cat>
          <c:val>
            <c:numRef>
              <c:f>'图表6 在岸、离岸人民币及价差'!$G$5:$G$10</c:f>
              <c:numCache>
                <c:formatCode>0.0000_ </c:formatCode>
                <c:ptCount val="6"/>
                <c:pt idx="0">
                  <c:v>8.5000000000006182E-3</c:v>
                </c:pt>
                <c:pt idx="1">
                  <c:v>6.1999999999997613E-3</c:v>
                </c:pt>
                <c:pt idx="2">
                  <c:v>2.2000000000002018E-3</c:v>
                </c:pt>
                <c:pt idx="3">
                  <c:v>5.4999999999996163E-3</c:v>
                </c:pt>
                <c:pt idx="4">
                  <c:v>-9.3000000000005301E-3</c:v>
                </c:pt>
                <c:pt idx="5">
                  <c:v>6.4000000000001833E-3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45887</c:v>
                </c:pt>
                <c:pt idx="1">
                  <c:v>45888</c:v>
                </c:pt>
                <c:pt idx="2">
                  <c:v>45889</c:v>
                </c:pt>
                <c:pt idx="3">
                  <c:v>45890</c:v>
                </c:pt>
                <c:pt idx="4">
                  <c:v>45891</c:v>
                </c:pt>
                <c:pt idx="5">
                  <c:v>45894</c:v>
                </c:pt>
              </c:numCache>
            </c:numRef>
          </c:cat>
          <c:val>
            <c:numRef>
              <c:f>'图表6 在岸、离岸人民币及价差'!$B$5:$B$10</c:f>
              <c:numCache>
                <c:formatCode>0.0000</c:formatCode>
                <c:ptCount val="6"/>
                <c:pt idx="0">
                  <c:v>7.1791999999999998</c:v>
                </c:pt>
                <c:pt idx="1">
                  <c:v>7.1820000000000004</c:v>
                </c:pt>
                <c:pt idx="2">
                  <c:v>7.1792999999999996</c:v>
                </c:pt>
                <c:pt idx="3">
                  <c:v>7.1778000000000004</c:v>
                </c:pt>
                <c:pt idx="4">
                  <c:v>7.1805000000000003</c:v>
                </c:pt>
                <c:pt idx="5">
                  <c:v>7.1516999999999999</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45887</c:v>
                </c:pt>
                <c:pt idx="1">
                  <c:v>45888</c:v>
                </c:pt>
                <c:pt idx="2">
                  <c:v>45889</c:v>
                </c:pt>
                <c:pt idx="3">
                  <c:v>45890</c:v>
                </c:pt>
                <c:pt idx="4">
                  <c:v>45891</c:v>
                </c:pt>
                <c:pt idx="5">
                  <c:v>45894</c:v>
                </c:pt>
              </c:numCache>
            </c:numRef>
          </c:cat>
          <c:val>
            <c:numRef>
              <c:f>'图表6 在岸、离岸人民币及价差'!$E$5:$E$10</c:f>
              <c:numCache>
                <c:formatCode>0.0000</c:formatCode>
                <c:ptCount val="6"/>
                <c:pt idx="0">
                  <c:v>7.1877000000000004</c:v>
                </c:pt>
                <c:pt idx="1">
                  <c:v>7.1882000000000001</c:v>
                </c:pt>
                <c:pt idx="2">
                  <c:v>7.1814999999999998</c:v>
                </c:pt>
                <c:pt idx="3">
                  <c:v>7.1833</c:v>
                </c:pt>
                <c:pt idx="4">
                  <c:v>7.1711999999999998</c:v>
                </c:pt>
                <c:pt idx="5">
                  <c:v>7.1581000000000001</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AD93-A898-4434-A21D-709164FB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8</cp:revision>
  <cp:lastPrinted>2024-12-24T02:37:00Z</cp:lastPrinted>
  <dcterms:created xsi:type="dcterms:W3CDTF">2025-08-19T01:35:00Z</dcterms:created>
  <dcterms:modified xsi:type="dcterms:W3CDTF">2025-08-26T01:31:00Z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